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兴银理财财智人生灵动1号A款净值型理财产品2021年第一季度报告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兴银理财财智人生灵动1号A款净值型理财产品</w:t>
              <w:br/>
              <w:t xml:space="preserve">2021年第一季度报告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理财产品管理人：兴银理财有限责任公司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报告送出日期：2021年4月22日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兴银理财财智人生灵动1号A款净值型理财产品2021年第一季度报告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兴银理财财智人生灵动1号A款净值型理财产品2021年第一季度报告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兴银理财有限责任公司保留对所有文字说明的最终解释权。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兴银理财财智人生灵动1号A款净值型理财产品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9K211010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Z7002020000104</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开放式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536,744,263.97份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无</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兴银理财有限责任公司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兴银理财财智人生灵动1号A款净值型理财产品2021年第一季度报告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产品9K211010自起息日以来，累计净值增长率为2.8540%，年化累计净值增长率为4.2519%。</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1.02854</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1.02854</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552,063,768.74</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薛纪晔先生，香港中文大学管理学博士，清华大学数学系硕士和本科，5年资产管理和衍生品研究经验。2018年加入兴业银行资产管理部担任投资经理。曾任中国金融期货交易所金融期货博士后研究员，在衍生品投资研究方面具有丰富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稳步对固收仓位进行调整，增加高收益流动性资产比例。积极把握衍生品机会，努力增厚收益。</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2.98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5.37</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1.03</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92.21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92.21</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衍生品</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1.39</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委外投资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4.81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r>
          </w:tbl>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兴银理财财智人生灵动1号A款净值型理财产品2021年第一季度报告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r>
      <w:tr>
        <w:trPr>
          <w:trHeight w:hRule="atLeast" w:val="1000"/>
        </w:trPr>
        <w:tc>
          <w:tcPr>
     </w:tcPr>
          <w:p>
            <w:pPr>
              <w:pStyle w:val="EMPTY_CELL_STYLE"/>
            </w:pPr>
          </w:p>
        </w:tc>
        <w:tc>
          <w:tcPr>
            <w:gridSpan w:val="4"/>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报告期末本产品债券回购融资余额未超过净资产规模的40%，本产品总资产未超过该产品净资产规模的140%，符合产品协议对本产品杠杆比例的要求。</w:t>
            </w:r>
          </w:p>
        </w:tc>
        <w:tc>
          <w:tcPr>
     </w:tcPr>
          <w:p>
            <w:pPr>
              <w:pStyle w:val="EMPTY_CELL_STYLE"/>
            </w:pPr>
          </w:p>
        </w:tc>
      </w:tr>
      <w:tr>
        <w:trPr>
          <w:trHeight w:hRule="atLeast" w:val="600"/>
        </w:trPr>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r>
      <w:tr>
        <w:trPr>
          <w:trHeight w:hRule="atLeast" w:val="2580"/>
        </w:trPr>
        <w:tc>
          <w:tcPr>
     </w:tcPr>
          <w:p>
            <w:pPr>
              <w:pStyle w:val="EMPTY_CELL_STYLE"/>
            </w:pPr>
          </w:p>
        </w:tc>
        <w:tc>
          <w:tcPr>
            <w:gridSpan w:val="4"/>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br/>
              <w:t xml:space="preserve">    为防范无法支付赎回款而产生的流动性风险，本理财产品管理人将合理安排所投资产期限，持续根据市场变化情况做好投资安排，尽可能降低产品流动性风险，有效保障理财持有人利益。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4"/>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6640"/>
        </w:trPr>
        <w:tc>
          <w:tcPr>
     </w:tcPr>
          <w:p>
            <w:pPr>
              <w:pStyle w:val="EMPTY_CELL_STYLE"/>
            </w:pPr>
          </w:p>
        </w:tc>
        <w:tc>
          <w:tcPr>
            <w:gridSpan w:val="4"/>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20江苏银行CD114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17.60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兴业期货-财智人生灵动1号单一资产管理计划</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33,863,843.57</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6.58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19大横琴MTN001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5.46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20株国06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5.43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20鲁能源MTN002A</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5.28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19豫水利MTN001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4.52</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20曲控一</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3.65</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21大华01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3.63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21沿江01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3.62</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21东台01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3.62</w:t>
                        </w:r>
                      </w:p>
                    </w:tc>
                  </w:tr>
                </w:tbl>
                <w:p>
                  <w:pPr>
                    <w:pStyle w:val="EMPTY_CELL_STYLE"/>
                  </w:pPr>
                </w:p>
              </w:tc>
            </w:tr>
          </w:tbl>
          <w:p>
            <w:pPr>
              <w:pStyle w:val="EMPTY_CELL_STYLE"/>
            </w:pPr>
          </w:p>
        </w:tc>
        <w:tc>
          <w:tcPr>
     </w:tcPr>
          <w:p>
            <w:pPr>
              <w:pStyle w:val="EMPTY_CELL_STYLE"/>
            </w:pPr>
          </w:p>
        </w:tc>
      </w:tr>
      <w:tr>
        <w:trPr>
          <w:trHeight w:hRule="exact" w:val="2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兴银理财财智人生灵动1号A款净值型理财产品2021年第一季度报告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3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9K211010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20新余城建MTN001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9K211010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20盐城东方MTN001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9K211010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20南平武夷MTN001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9K211010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20鲁能源MTN002A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9K211010</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20芙蓉城投MTN001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051010100101068813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兴银理财财智人生灵动1号A款净值型理财产品</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兴银理财有限责任公司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2021年4月22日</w:t>
            </w:r>
          </w:p>
        </w:tc>
        <w:tc>
          <w:tcPr>
     </w:tcPr>
          <w:p>
            <w:pPr>
              <w:pStyle w:val="EMPTY_CELL_STYLE"/>
            </w:pPr>
          </w:p>
        </w:tc>
        <w:tc>
          <w:tcPr>
     </w:tcPr>
          <w:p>
            <w:pPr>
              <w:pStyle w:val="EMPTY_CELL_STYLE"/>
            </w:pPr>
          </w:p>
        </w:tc>
      </w:tr>
      <w:tr>
        <w:trPr>
          <w:trHeight w:hRule="exact" w:val="3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