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11" w:rsidRPr="007B2180" w:rsidRDefault="00E42B11" w:rsidP="00E42B11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7B2180">
        <w:rPr>
          <w:rFonts w:ascii="宋体" w:eastAsia="宋体" w:hAnsi="宋体" w:cs="Times New Roman" w:hint="eastAsia"/>
          <w:b/>
          <w:sz w:val="32"/>
          <w:szCs w:val="32"/>
        </w:rPr>
        <w:t>兴业银行“</w:t>
      </w:r>
      <w:r w:rsidRPr="007B2180">
        <w:rPr>
          <w:rFonts w:ascii="宋体" w:eastAsia="宋体" w:hAnsi="宋体" w:cs="Times New Roman"/>
          <w:b/>
          <w:sz w:val="32"/>
          <w:szCs w:val="32"/>
        </w:rPr>
        <w:t>添利1号净值型理财产品</w:t>
      </w:r>
      <w:r w:rsidR="00D957E4" w:rsidRPr="007B2180">
        <w:rPr>
          <w:rFonts w:ascii="宋体" w:eastAsia="宋体" w:hAnsi="宋体" w:cs="Times New Roman" w:hint="eastAsia"/>
          <w:b/>
          <w:sz w:val="32"/>
          <w:szCs w:val="32"/>
        </w:rPr>
        <w:t>”</w:t>
      </w:r>
      <w:r w:rsidR="00D957E4" w:rsidRPr="007B2180">
        <w:rPr>
          <w:rFonts w:ascii="宋体" w:eastAsia="宋体" w:hAnsi="宋体" w:cs="Times New Roman"/>
          <w:b/>
          <w:sz w:val="32"/>
          <w:szCs w:val="32"/>
        </w:rPr>
        <w:t>2018年第</w:t>
      </w:r>
      <w:r w:rsidR="00E82255" w:rsidRPr="007B2180">
        <w:rPr>
          <w:rFonts w:ascii="宋体" w:eastAsia="宋体" w:hAnsi="宋体" w:cs="Times New Roman" w:hint="eastAsia"/>
          <w:b/>
          <w:sz w:val="32"/>
          <w:szCs w:val="32"/>
        </w:rPr>
        <w:t>3</w:t>
      </w:r>
      <w:r w:rsidR="00D957E4" w:rsidRPr="007B2180">
        <w:rPr>
          <w:rFonts w:ascii="宋体" w:eastAsia="宋体" w:hAnsi="宋体" w:cs="Times New Roman"/>
          <w:b/>
          <w:sz w:val="32"/>
          <w:szCs w:val="32"/>
        </w:rPr>
        <w:t>季度报告</w:t>
      </w:r>
    </w:p>
    <w:p w:rsidR="00DF765A" w:rsidRPr="007B2180" w:rsidRDefault="00DF765A" w:rsidP="00E42B11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7B2180">
        <w:rPr>
          <w:rFonts w:ascii="宋体" w:eastAsia="宋体" w:hAnsi="宋体" w:cs="Times New Roman" w:hint="eastAsia"/>
          <w:b/>
          <w:sz w:val="28"/>
          <w:szCs w:val="28"/>
        </w:rPr>
        <w:t>2018年9月30日</w:t>
      </w:r>
    </w:p>
    <w:p w:rsidR="00DF765A" w:rsidRPr="00D05884" w:rsidRDefault="00DF765A" w:rsidP="009D311D">
      <w:pPr>
        <w:pStyle w:val="1"/>
        <w:numPr>
          <w:ilvl w:val="0"/>
          <w:numId w:val="3"/>
        </w:numPr>
        <w:rPr>
          <w:sz w:val="32"/>
          <w:szCs w:val="32"/>
        </w:rPr>
      </w:pPr>
      <w:bookmarkStart w:id="0" w:name="_Toc528160350"/>
      <w:r w:rsidRPr="00D05884">
        <w:rPr>
          <w:rFonts w:hint="eastAsia"/>
          <w:sz w:val="32"/>
          <w:szCs w:val="32"/>
        </w:rPr>
        <w:t>目录</w:t>
      </w:r>
      <w:bookmarkEnd w:id="0"/>
    </w:p>
    <w:p w:rsidR="00F8490C" w:rsidRDefault="00B46C37">
      <w:pPr>
        <w:pStyle w:val="10"/>
        <w:tabs>
          <w:tab w:val="left" w:pos="630"/>
          <w:tab w:val="right" w:leader="dot" w:pos="8296"/>
        </w:tabs>
        <w:rPr>
          <w:noProof/>
        </w:rPr>
      </w:pPr>
      <w:r w:rsidRPr="007B2180">
        <w:rPr>
          <w:sz w:val="22"/>
        </w:rPr>
        <w:fldChar w:fldCharType="begin"/>
      </w:r>
      <w:r w:rsidR="003B28B8" w:rsidRPr="007B2180">
        <w:rPr>
          <w:sz w:val="22"/>
        </w:rPr>
        <w:instrText xml:space="preserve"> TOC \o "1-2" \h \z \u </w:instrText>
      </w:r>
      <w:r w:rsidRPr="007B2180">
        <w:rPr>
          <w:sz w:val="22"/>
        </w:rPr>
        <w:fldChar w:fldCharType="separate"/>
      </w:r>
      <w:hyperlink w:anchor="_Toc528160350" w:history="1">
        <w:r w:rsidR="00F8490C" w:rsidRPr="009C1993">
          <w:rPr>
            <w:rStyle w:val="a8"/>
            <w:rFonts w:hint="eastAsia"/>
            <w:noProof/>
          </w:rPr>
          <w:t>一</w:t>
        </w:r>
        <w:r w:rsidR="00F8490C" w:rsidRPr="009C1993">
          <w:rPr>
            <w:rStyle w:val="a8"/>
            <w:rFonts w:hint="eastAsia"/>
            <w:noProof/>
          </w:rPr>
          <w:t>.</w:t>
        </w:r>
        <w:r w:rsidR="00F8490C">
          <w:rPr>
            <w:noProof/>
          </w:rPr>
          <w:tab/>
        </w:r>
        <w:r w:rsidR="00F8490C" w:rsidRPr="009C1993">
          <w:rPr>
            <w:rStyle w:val="a8"/>
            <w:rFonts w:hint="eastAsia"/>
            <w:noProof/>
          </w:rPr>
          <w:t>目录</w:t>
        </w:r>
        <w:r w:rsidR="00F8490C">
          <w:rPr>
            <w:noProof/>
            <w:webHidden/>
          </w:rPr>
          <w:tab/>
        </w:r>
        <w:r w:rsidR="00F8490C">
          <w:rPr>
            <w:noProof/>
            <w:webHidden/>
          </w:rPr>
          <w:fldChar w:fldCharType="begin"/>
        </w:r>
        <w:r w:rsidR="00F8490C">
          <w:rPr>
            <w:noProof/>
            <w:webHidden/>
          </w:rPr>
          <w:instrText xml:space="preserve"> PAGEREF _Toc528160350 \h </w:instrText>
        </w:r>
        <w:r w:rsidR="00F8490C">
          <w:rPr>
            <w:noProof/>
            <w:webHidden/>
          </w:rPr>
        </w:r>
        <w:r w:rsidR="00F8490C">
          <w:rPr>
            <w:noProof/>
            <w:webHidden/>
          </w:rPr>
          <w:fldChar w:fldCharType="separate"/>
        </w:r>
        <w:r w:rsidR="00F8490C">
          <w:rPr>
            <w:noProof/>
            <w:webHidden/>
          </w:rPr>
          <w:t>1</w:t>
        </w:r>
        <w:r w:rsidR="00F8490C">
          <w:rPr>
            <w:noProof/>
            <w:webHidden/>
          </w:rPr>
          <w:fldChar w:fldCharType="end"/>
        </w:r>
      </w:hyperlink>
    </w:p>
    <w:p w:rsidR="00F8490C" w:rsidRDefault="00F8490C">
      <w:pPr>
        <w:pStyle w:val="10"/>
        <w:tabs>
          <w:tab w:val="left" w:pos="630"/>
          <w:tab w:val="right" w:leader="dot" w:pos="8296"/>
        </w:tabs>
        <w:rPr>
          <w:noProof/>
        </w:rPr>
      </w:pPr>
      <w:hyperlink w:anchor="_Toc528160351" w:history="1">
        <w:r w:rsidRPr="009C1993">
          <w:rPr>
            <w:rStyle w:val="a8"/>
            <w:rFonts w:hint="eastAsia"/>
            <w:noProof/>
          </w:rPr>
          <w:t>二</w:t>
        </w:r>
        <w:r w:rsidRPr="009C1993">
          <w:rPr>
            <w:rStyle w:val="a8"/>
            <w:rFonts w:hint="eastAsia"/>
            <w:noProof/>
          </w:rPr>
          <w:t>.</w:t>
        </w:r>
        <w:r>
          <w:rPr>
            <w:noProof/>
          </w:rPr>
          <w:tab/>
        </w:r>
        <w:r w:rsidRPr="009C1993">
          <w:rPr>
            <w:rStyle w:val="a8"/>
            <w:rFonts w:hint="eastAsia"/>
            <w:noProof/>
          </w:rPr>
          <w:t>产品基本情况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_Toc528160351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8490C" w:rsidRDefault="00F8490C">
      <w:pPr>
        <w:pStyle w:val="10"/>
        <w:tabs>
          <w:tab w:val="left" w:pos="630"/>
          <w:tab w:val="right" w:leader="dot" w:pos="8296"/>
        </w:tabs>
        <w:rPr>
          <w:noProof/>
        </w:rPr>
      </w:pPr>
      <w:hyperlink w:anchor="_Toc528160352" w:history="1">
        <w:r w:rsidRPr="009C1993">
          <w:rPr>
            <w:rStyle w:val="a8"/>
            <w:rFonts w:hint="eastAsia"/>
            <w:noProof/>
          </w:rPr>
          <w:t>三</w:t>
        </w:r>
        <w:r w:rsidRPr="009C1993">
          <w:rPr>
            <w:rStyle w:val="a8"/>
            <w:rFonts w:hint="eastAsia"/>
            <w:noProof/>
          </w:rPr>
          <w:t>.</w:t>
        </w:r>
        <w:r>
          <w:rPr>
            <w:noProof/>
          </w:rPr>
          <w:tab/>
        </w:r>
        <w:r w:rsidRPr="009C1993">
          <w:rPr>
            <w:rStyle w:val="a8"/>
            <w:rFonts w:hint="eastAsia"/>
            <w:noProof/>
          </w:rPr>
          <w:t>产品收益</w:t>
        </w:r>
        <w:r w:rsidRPr="009C1993">
          <w:rPr>
            <w:rStyle w:val="a8"/>
            <w:noProof/>
          </w:rPr>
          <w:t>/</w:t>
        </w:r>
        <w:r w:rsidRPr="009C1993">
          <w:rPr>
            <w:rStyle w:val="a8"/>
            <w:rFonts w:hint="eastAsia"/>
            <w:noProof/>
          </w:rPr>
          <w:t>净值表现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_Toc528160352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490C" w:rsidRDefault="00F8490C">
      <w:pPr>
        <w:pStyle w:val="10"/>
        <w:tabs>
          <w:tab w:val="left" w:pos="630"/>
          <w:tab w:val="right" w:leader="dot" w:pos="8296"/>
        </w:tabs>
        <w:rPr>
          <w:noProof/>
        </w:rPr>
      </w:pPr>
      <w:hyperlink w:anchor="_Toc528160353" w:history="1">
        <w:r w:rsidRPr="009C1993">
          <w:rPr>
            <w:rStyle w:val="a8"/>
            <w:rFonts w:hint="eastAsia"/>
            <w:noProof/>
          </w:rPr>
          <w:t>四</w:t>
        </w:r>
        <w:r w:rsidRPr="009C1993">
          <w:rPr>
            <w:rStyle w:val="a8"/>
            <w:rFonts w:hint="eastAsia"/>
            <w:noProof/>
          </w:rPr>
          <w:t>.</w:t>
        </w:r>
        <w:r>
          <w:rPr>
            <w:noProof/>
          </w:rPr>
          <w:tab/>
        </w:r>
        <w:r w:rsidRPr="009C1993">
          <w:rPr>
            <w:rStyle w:val="a8"/>
            <w:rFonts w:hint="eastAsia"/>
            <w:noProof/>
          </w:rPr>
          <w:t>报告期内产品的投资策略和运作分析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_Toc528160353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490C" w:rsidRDefault="00F8490C">
      <w:pPr>
        <w:pStyle w:val="10"/>
        <w:tabs>
          <w:tab w:val="left" w:pos="630"/>
          <w:tab w:val="right" w:leader="dot" w:pos="8296"/>
        </w:tabs>
        <w:rPr>
          <w:noProof/>
        </w:rPr>
      </w:pPr>
      <w:hyperlink w:anchor="_Toc528160354" w:history="1">
        <w:r w:rsidRPr="009C1993">
          <w:rPr>
            <w:rStyle w:val="a8"/>
            <w:rFonts w:hint="eastAsia"/>
            <w:noProof/>
          </w:rPr>
          <w:t>五</w:t>
        </w:r>
        <w:r w:rsidRPr="009C1993">
          <w:rPr>
            <w:rStyle w:val="a8"/>
            <w:rFonts w:hint="eastAsia"/>
            <w:noProof/>
          </w:rPr>
          <w:t>.</w:t>
        </w:r>
        <w:r>
          <w:rPr>
            <w:noProof/>
          </w:rPr>
          <w:tab/>
        </w:r>
        <w:r w:rsidRPr="009C1993">
          <w:rPr>
            <w:rStyle w:val="a8"/>
            <w:rFonts w:asciiTheme="minorEastAsia" w:hAnsiTheme="minorEastAsia" w:hint="eastAsia"/>
            <w:noProof/>
          </w:rPr>
          <w:t>财务会计报告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_Toc528160354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490C" w:rsidRDefault="00F8490C">
      <w:pPr>
        <w:pStyle w:val="20"/>
        <w:tabs>
          <w:tab w:val="right" w:leader="dot" w:pos="8296"/>
        </w:tabs>
        <w:rPr>
          <w:noProof/>
        </w:rPr>
      </w:pPr>
      <w:hyperlink w:anchor="_Toc528160355" w:history="1">
        <w:r w:rsidRPr="009C1993">
          <w:rPr>
            <w:rStyle w:val="a8"/>
            <w:rFonts w:asciiTheme="minorEastAsia" w:hAnsiTheme="minorEastAsia"/>
            <w:noProof/>
          </w:rPr>
          <w:t>1.</w:t>
        </w:r>
        <w:r w:rsidRPr="009C1993">
          <w:rPr>
            <w:rStyle w:val="a8"/>
            <w:rFonts w:asciiTheme="minorEastAsia" w:hAnsiTheme="minorEastAsia" w:hint="eastAsia"/>
            <w:noProof/>
          </w:rPr>
          <w:t>资产负债表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_Toc528160355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490C" w:rsidRDefault="00F8490C">
      <w:pPr>
        <w:pStyle w:val="20"/>
        <w:tabs>
          <w:tab w:val="right" w:leader="dot" w:pos="8296"/>
        </w:tabs>
        <w:rPr>
          <w:noProof/>
        </w:rPr>
      </w:pPr>
      <w:hyperlink w:anchor="_Toc528160356" w:history="1">
        <w:r w:rsidRPr="009C1993">
          <w:rPr>
            <w:rStyle w:val="a8"/>
            <w:noProof/>
          </w:rPr>
          <w:t>2.</w:t>
        </w:r>
        <w:r w:rsidRPr="009C1993">
          <w:rPr>
            <w:rStyle w:val="a8"/>
            <w:rFonts w:hint="eastAsia"/>
            <w:noProof/>
          </w:rPr>
          <w:t>利润表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_Toc528160356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490C" w:rsidRDefault="00F8490C">
      <w:pPr>
        <w:pStyle w:val="20"/>
        <w:tabs>
          <w:tab w:val="right" w:leader="dot" w:pos="8296"/>
        </w:tabs>
        <w:rPr>
          <w:noProof/>
        </w:rPr>
      </w:pPr>
      <w:hyperlink w:anchor="_Toc528160357" w:history="1">
        <w:r w:rsidRPr="009C1993">
          <w:rPr>
            <w:rStyle w:val="a8"/>
            <w:noProof/>
          </w:rPr>
          <w:t>3.</w:t>
        </w:r>
        <w:r w:rsidRPr="009C1993">
          <w:rPr>
            <w:rStyle w:val="a8"/>
            <w:rFonts w:hint="eastAsia"/>
            <w:noProof/>
          </w:rPr>
          <w:t>所有者权益表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_Toc528160357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490C" w:rsidRDefault="00F8490C">
      <w:pPr>
        <w:pStyle w:val="10"/>
        <w:tabs>
          <w:tab w:val="left" w:pos="630"/>
          <w:tab w:val="right" w:leader="dot" w:pos="8296"/>
        </w:tabs>
        <w:rPr>
          <w:noProof/>
        </w:rPr>
      </w:pPr>
      <w:hyperlink w:anchor="_Toc528160358" w:history="1">
        <w:r w:rsidRPr="009C1993">
          <w:rPr>
            <w:rStyle w:val="a8"/>
            <w:rFonts w:hint="eastAsia"/>
            <w:noProof/>
          </w:rPr>
          <w:t>六</w:t>
        </w:r>
        <w:r w:rsidRPr="009C1993">
          <w:rPr>
            <w:rStyle w:val="a8"/>
            <w:rFonts w:hint="eastAsia"/>
            <w:noProof/>
          </w:rPr>
          <w:t>.</w:t>
        </w:r>
        <w:r>
          <w:rPr>
            <w:noProof/>
          </w:rPr>
          <w:tab/>
        </w:r>
        <w:r w:rsidRPr="009C1993">
          <w:rPr>
            <w:rStyle w:val="a8"/>
            <w:rFonts w:hint="eastAsia"/>
            <w:noProof/>
          </w:rPr>
          <w:t>投资组合情况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_Toc528160358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490C" w:rsidRDefault="00F8490C">
      <w:pPr>
        <w:pStyle w:val="20"/>
        <w:tabs>
          <w:tab w:val="right" w:leader="dot" w:pos="8296"/>
        </w:tabs>
        <w:rPr>
          <w:noProof/>
        </w:rPr>
      </w:pPr>
      <w:hyperlink w:anchor="_Toc528160359" w:history="1">
        <w:r w:rsidRPr="009C1993">
          <w:rPr>
            <w:rStyle w:val="a8"/>
            <w:noProof/>
          </w:rPr>
          <w:t xml:space="preserve">1. </w:t>
        </w:r>
        <w:r w:rsidRPr="009C1993">
          <w:rPr>
            <w:rStyle w:val="a8"/>
            <w:rFonts w:hint="eastAsia"/>
            <w:noProof/>
          </w:rPr>
          <w:t>报告期末产品资产组合情况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_Toc528160359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490C" w:rsidRDefault="00F8490C">
      <w:pPr>
        <w:pStyle w:val="20"/>
        <w:tabs>
          <w:tab w:val="right" w:leader="dot" w:pos="8296"/>
        </w:tabs>
        <w:rPr>
          <w:noProof/>
        </w:rPr>
      </w:pPr>
      <w:hyperlink w:anchor="_Toc528160360" w:history="1">
        <w:r w:rsidRPr="009C1993">
          <w:rPr>
            <w:rStyle w:val="a8"/>
            <w:noProof/>
          </w:rPr>
          <w:t xml:space="preserve">2. </w:t>
        </w:r>
        <w:r w:rsidRPr="009C1993">
          <w:rPr>
            <w:rStyle w:val="a8"/>
            <w:rFonts w:hint="eastAsia"/>
            <w:noProof/>
          </w:rPr>
          <w:t>报告期末杠杆融资情况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_Toc528160360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490C" w:rsidRDefault="00F8490C">
      <w:pPr>
        <w:pStyle w:val="20"/>
        <w:tabs>
          <w:tab w:val="right" w:leader="dot" w:pos="8296"/>
        </w:tabs>
        <w:rPr>
          <w:noProof/>
        </w:rPr>
      </w:pPr>
      <w:hyperlink w:anchor="_Toc528160361" w:history="1">
        <w:r w:rsidRPr="009C1993">
          <w:rPr>
            <w:rStyle w:val="a8"/>
            <w:noProof/>
          </w:rPr>
          <w:t xml:space="preserve">3. </w:t>
        </w:r>
        <w:r w:rsidRPr="009C1993">
          <w:rPr>
            <w:rStyle w:val="a8"/>
            <w:rFonts w:hint="eastAsia"/>
            <w:noProof/>
          </w:rPr>
          <w:t>报告期末资产持仓前十基本信息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_Toc528160361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B28B8" w:rsidRPr="003B28B8" w:rsidRDefault="00B46C37" w:rsidP="003B28B8">
      <w:r w:rsidRPr="007B2180">
        <w:rPr>
          <w:sz w:val="22"/>
        </w:rPr>
        <w:fldChar w:fldCharType="end"/>
      </w:r>
    </w:p>
    <w:p w:rsidR="00D957E4" w:rsidRPr="00DF765A" w:rsidRDefault="00D957E4" w:rsidP="009D311D">
      <w:pPr>
        <w:pStyle w:val="1"/>
        <w:numPr>
          <w:ilvl w:val="0"/>
          <w:numId w:val="3"/>
        </w:numPr>
        <w:rPr>
          <w:sz w:val="30"/>
          <w:szCs w:val="30"/>
        </w:rPr>
      </w:pPr>
      <w:bookmarkStart w:id="1" w:name="_Toc528160351"/>
      <w:r w:rsidRPr="00DF765A">
        <w:rPr>
          <w:rFonts w:hint="eastAsia"/>
          <w:sz w:val="30"/>
          <w:szCs w:val="30"/>
        </w:rPr>
        <w:t>产品基本情况</w:t>
      </w:r>
      <w:bookmarkEnd w:id="1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DD6476" w:rsidRPr="00DD6476" w:rsidTr="00DD6476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添利1号净值型理财产品</w:t>
            </w:r>
          </w:p>
        </w:tc>
      </w:tr>
      <w:tr w:rsidR="00DD6476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90318011</w:t>
            </w:r>
          </w:p>
        </w:tc>
      </w:tr>
      <w:tr w:rsidR="00DD6476" w:rsidRPr="00DD6476" w:rsidTr="00DD6476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C1030918000502</w:t>
            </w:r>
          </w:p>
        </w:tc>
      </w:tr>
      <w:tr w:rsidR="00DD6476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T+0开放式</w:t>
            </w:r>
          </w:p>
        </w:tc>
      </w:tr>
      <w:tr w:rsidR="00DD6476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AC0AFF" w:rsidRPr="00AC0AF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156</w:t>
            </w:r>
            <w:r w:rsidR="00AC0A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,</w:t>
            </w:r>
            <w:r w:rsidR="00AC0AFF" w:rsidRPr="00AC0AF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903</w:t>
            </w:r>
            <w:r w:rsidR="00AC0A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,</w:t>
            </w:r>
            <w:r w:rsidR="00AC0AFF" w:rsidRPr="00AC0AF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407</w:t>
            </w:r>
            <w:r w:rsidR="00AC0A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,</w:t>
            </w:r>
            <w:r w:rsidR="00AC0AFF" w:rsidRPr="00AC0AF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377.7</w:t>
            </w:r>
            <w:r w:rsidR="00AC0A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0</w:t>
            </w: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份 </w:t>
            </w:r>
          </w:p>
        </w:tc>
      </w:tr>
      <w:tr w:rsidR="00DD6476" w:rsidRPr="00DD6476" w:rsidTr="00DD6476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在保持理财资产的低风险和高流动性的前提下，力争实现超越业绩比较基准的投资回报。</w:t>
            </w:r>
          </w:p>
        </w:tc>
      </w:tr>
      <w:tr w:rsidR="00DD6476" w:rsidRPr="00DD6476" w:rsidTr="00DD6476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本产品将遵循安全性和流动性优先原则，通过对宏观经济、政策环境、市场状况和资金供求的深入分析，在严格控制风险的前提下，主动构建及调整投资组合，力争获取超额收益。</w:t>
            </w:r>
          </w:p>
        </w:tc>
      </w:tr>
      <w:tr w:rsidR="00DD6476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6A5F01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当前</w:t>
            </w:r>
            <w:r w:rsidR="00DD6476"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</w:t>
            </w:r>
            <w:proofErr w:type="gramEnd"/>
            <w:r w:rsidR="00DD6476"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682D6D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人民银行</w:t>
            </w:r>
            <w:r w:rsidRPr="00545CE3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7天通知存款利率</w:t>
            </w:r>
            <w:r w:rsidR="00660FD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(1.35%)+2.</w:t>
            </w:r>
            <w:r w:rsidR="00660FD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  <w:r w:rsidRPr="00545CE3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5%</w:t>
            </w:r>
            <w:r w:rsidR="000775F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=3.5%</w:t>
            </w:r>
          </w:p>
        </w:tc>
      </w:tr>
      <w:tr w:rsidR="00545CE3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2D26E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2D26E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本产品具有低风险、高流动性的特征。</w:t>
            </w:r>
          </w:p>
        </w:tc>
      </w:tr>
      <w:tr w:rsidR="00545CE3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545CE3" w:rsidRPr="00DD6476" w:rsidTr="00DD6476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D957E4" w:rsidRPr="00DF765A" w:rsidRDefault="005978D1" w:rsidP="009D311D">
      <w:pPr>
        <w:pStyle w:val="1"/>
        <w:numPr>
          <w:ilvl w:val="0"/>
          <w:numId w:val="3"/>
        </w:numPr>
        <w:rPr>
          <w:sz w:val="30"/>
          <w:szCs w:val="30"/>
        </w:rPr>
      </w:pPr>
      <w:bookmarkStart w:id="2" w:name="_Toc528160352"/>
      <w:r w:rsidRPr="00DF765A">
        <w:rPr>
          <w:rFonts w:hint="eastAsia"/>
          <w:sz w:val="30"/>
          <w:szCs w:val="30"/>
        </w:rPr>
        <w:lastRenderedPageBreak/>
        <w:t>产品收益</w:t>
      </w:r>
      <w:r w:rsidR="00F8490C">
        <w:rPr>
          <w:rFonts w:hint="eastAsia"/>
          <w:sz w:val="30"/>
          <w:szCs w:val="30"/>
        </w:rPr>
        <w:t>/</w:t>
      </w:r>
      <w:r w:rsidR="00F8490C">
        <w:rPr>
          <w:rFonts w:hint="eastAsia"/>
          <w:sz w:val="30"/>
          <w:szCs w:val="30"/>
        </w:rPr>
        <w:t>净值</w:t>
      </w:r>
      <w:r w:rsidRPr="00DF765A">
        <w:rPr>
          <w:rFonts w:hint="eastAsia"/>
          <w:sz w:val="30"/>
          <w:szCs w:val="30"/>
        </w:rPr>
        <w:t>表现</w:t>
      </w:r>
      <w:bookmarkEnd w:id="2"/>
      <w:r w:rsidR="00921320" w:rsidRPr="00DF765A">
        <w:rPr>
          <w:sz w:val="30"/>
          <w:szCs w:val="30"/>
        </w:rPr>
        <w:tab/>
      </w:r>
    </w:p>
    <w:p w:rsidR="000447A7" w:rsidRDefault="00765D1B" w:rsidP="003C6D13">
      <w:pPr>
        <w:ind w:firstLineChars="200" w:firstLine="600"/>
        <w:rPr>
          <w:sz w:val="30"/>
          <w:szCs w:val="30"/>
        </w:rPr>
      </w:pPr>
      <w:r w:rsidRPr="003C6D13">
        <w:rPr>
          <w:rFonts w:hint="eastAsia"/>
          <w:sz w:val="30"/>
          <w:szCs w:val="30"/>
        </w:rPr>
        <w:t>报告期内，本产品</w:t>
      </w:r>
      <w:proofErr w:type="gramStart"/>
      <w:r w:rsidRPr="003C6D13">
        <w:rPr>
          <w:rFonts w:hint="eastAsia"/>
          <w:sz w:val="30"/>
          <w:szCs w:val="30"/>
        </w:rPr>
        <w:t>七日年化收益率</w:t>
      </w:r>
      <w:proofErr w:type="gramEnd"/>
      <w:r w:rsidRPr="003C6D13">
        <w:rPr>
          <w:rFonts w:hint="eastAsia"/>
          <w:sz w:val="30"/>
          <w:szCs w:val="30"/>
        </w:rPr>
        <w:t>均值</w:t>
      </w:r>
      <w:r w:rsidRPr="003C6D13">
        <w:rPr>
          <w:rFonts w:hint="eastAsia"/>
          <w:sz w:val="30"/>
          <w:szCs w:val="30"/>
        </w:rPr>
        <w:t>4.</w:t>
      </w:r>
      <w:r w:rsidR="00265805">
        <w:rPr>
          <w:rFonts w:hint="eastAsia"/>
          <w:sz w:val="30"/>
          <w:szCs w:val="30"/>
        </w:rPr>
        <w:t>22</w:t>
      </w:r>
      <w:r w:rsidRPr="003C6D13">
        <w:rPr>
          <w:rFonts w:hint="eastAsia"/>
          <w:sz w:val="30"/>
          <w:szCs w:val="30"/>
        </w:rPr>
        <w:t>%</w:t>
      </w:r>
      <w:r w:rsidRPr="003C6D13">
        <w:rPr>
          <w:rFonts w:hint="eastAsia"/>
          <w:sz w:val="30"/>
          <w:szCs w:val="30"/>
        </w:rPr>
        <w:t>，同期业绩比较基准</w:t>
      </w:r>
      <w:r w:rsidR="000447A7">
        <w:rPr>
          <w:rFonts w:hint="eastAsia"/>
          <w:sz w:val="30"/>
          <w:szCs w:val="30"/>
        </w:rPr>
        <w:t>如下：</w:t>
      </w:r>
    </w:p>
    <w:tbl>
      <w:tblPr>
        <w:tblW w:w="7800" w:type="dxa"/>
        <w:jc w:val="center"/>
        <w:tblInd w:w="93" w:type="dxa"/>
        <w:tblLook w:val="04A0"/>
      </w:tblPr>
      <w:tblGrid>
        <w:gridCol w:w="2460"/>
        <w:gridCol w:w="5340"/>
      </w:tblGrid>
      <w:tr w:rsidR="000447A7" w:rsidRPr="000447A7" w:rsidTr="000447A7">
        <w:trPr>
          <w:trHeight w:val="27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A7" w:rsidRPr="000447A7" w:rsidRDefault="00F133DC" w:rsidP="00044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适用期间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A7" w:rsidRPr="000447A7" w:rsidRDefault="000447A7" w:rsidP="00044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47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业绩比较基准</w:t>
            </w:r>
          </w:p>
        </w:tc>
      </w:tr>
      <w:tr w:rsidR="000447A7" w:rsidRPr="000447A7" w:rsidTr="000447A7">
        <w:trPr>
          <w:trHeight w:val="27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A7" w:rsidRPr="000447A7" w:rsidRDefault="000447A7" w:rsidP="00044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47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2018.7.1-2018.9.11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A7" w:rsidRPr="000447A7" w:rsidRDefault="000447A7" w:rsidP="00044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47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人民银行7天通知存款利率(1.35%)+2.65%=4.0%</w:t>
            </w:r>
          </w:p>
        </w:tc>
      </w:tr>
      <w:tr w:rsidR="000447A7" w:rsidRPr="000447A7" w:rsidTr="000447A7">
        <w:trPr>
          <w:trHeight w:val="27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A7" w:rsidRPr="000447A7" w:rsidRDefault="000447A7" w:rsidP="00044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47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2018.9.12-2018.9.30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A7" w:rsidRPr="000447A7" w:rsidRDefault="000447A7" w:rsidP="00044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47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人民银行7天通知存款利率(1.35%)+2.15%=3.5%</w:t>
            </w:r>
          </w:p>
        </w:tc>
      </w:tr>
    </w:tbl>
    <w:p w:rsidR="000447A7" w:rsidRDefault="000447A7" w:rsidP="00D957E4">
      <w:pPr>
        <w:rPr>
          <w:rFonts w:ascii="宋体" w:eastAsia="宋体" w:hAnsi="宋体" w:cs="Times New Roman"/>
          <w:sz w:val="24"/>
          <w:szCs w:val="24"/>
        </w:rPr>
      </w:pPr>
    </w:p>
    <w:p w:rsidR="001F2ACD" w:rsidRDefault="004A59D4" w:rsidP="00D957E4">
      <w:pPr>
        <w:rPr>
          <w:sz w:val="30"/>
          <w:szCs w:val="30"/>
        </w:rPr>
      </w:pPr>
      <w:r w:rsidRPr="004A59D4">
        <w:rPr>
          <w:noProof/>
          <w:sz w:val="30"/>
          <w:szCs w:val="30"/>
        </w:rPr>
        <w:drawing>
          <wp:inline distT="0" distB="0" distL="0" distR="0">
            <wp:extent cx="5274310" cy="2397858"/>
            <wp:effectExtent l="19050" t="0" r="21590" b="2442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47A7" w:rsidRDefault="000447A7" w:rsidP="000447A7">
      <w:pPr>
        <w:jc w:val="center"/>
        <w:rPr>
          <w:rFonts w:ascii="宋体" w:eastAsia="宋体" w:hAnsi="宋体" w:cs="Times New Roman"/>
          <w:sz w:val="24"/>
          <w:szCs w:val="24"/>
        </w:rPr>
      </w:pPr>
      <w:r w:rsidRPr="005B583E">
        <w:rPr>
          <w:rFonts w:ascii="宋体" w:eastAsia="宋体" w:hAnsi="宋体" w:cs="Times New Roman"/>
          <w:sz w:val="24"/>
          <w:szCs w:val="24"/>
        </w:rPr>
        <w:t>添利1号净值型理财产品</w:t>
      </w:r>
      <w:proofErr w:type="gramStart"/>
      <w:r w:rsidRPr="005B583E">
        <w:rPr>
          <w:rFonts w:ascii="宋体" w:eastAsia="宋体" w:hAnsi="宋体" w:cs="Times New Roman" w:hint="eastAsia"/>
          <w:sz w:val="24"/>
          <w:szCs w:val="24"/>
        </w:rPr>
        <w:t>七日年化收益率</w:t>
      </w:r>
      <w:proofErr w:type="gramEnd"/>
      <w:r w:rsidRPr="005B583E">
        <w:rPr>
          <w:rFonts w:ascii="宋体" w:eastAsia="宋体" w:hAnsi="宋体" w:cs="Times New Roman" w:hint="eastAsia"/>
          <w:sz w:val="24"/>
          <w:szCs w:val="24"/>
        </w:rPr>
        <w:t>与业绩比较基准对比图</w:t>
      </w:r>
    </w:p>
    <w:p w:rsidR="00DF765A" w:rsidRPr="00F8490C" w:rsidRDefault="00DF765A" w:rsidP="000447A7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DF765A" w:rsidRPr="00F8490C" w:rsidRDefault="00F8490C" w:rsidP="00DF765A">
      <w:pPr>
        <w:rPr>
          <w:rFonts w:ascii="宋体" w:eastAsia="宋体" w:hAnsi="宋体" w:cs="Times New Roman"/>
          <w:sz w:val="30"/>
          <w:szCs w:val="30"/>
        </w:rPr>
      </w:pPr>
      <w:r w:rsidRPr="00F8490C">
        <w:rPr>
          <w:rFonts w:ascii="宋体" w:eastAsia="宋体" w:hAnsi="宋体" w:cs="Times New Roman" w:hint="eastAsia"/>
          <w:sz w:val="30"/>
          <w:szCs w:val="30"/>
        </w:rPr>
        <w:t>报告期末，产品净值</w:t>
      </w:r>
      <w:r>
        <w:rPr>
          <w:rFonts w:ascii="宋体" w:eastAsia="宋体" w:hAnsi="宋体" w:cs="Times New Roman" w:hint="eastAsia"/>
          <w:sz w:val="30"/>
          <w:szCs w:val="30"/>
        </w:rPr>
        <w:t>表现</w:t>
      </w:r>
      <w:r w:rsidRPr="00F8490C">
        <w:rPr>
          <w:rFonts w:ascii="宋体" w:eastAsia="宋体" w:hAnsi="宋体" w:cs="Times New Roman" w:hint="eastAsia"/>
          <w:sz w:val="30"/>
          <w:szCs w:val="30"/>
        </w:rPr>
        <w:t>如下：</w:t>
      </w:r>
    </w:p>
    <w:tbl>
      <w:tblPr>
        <w:tblW w:w="5240" w:type="dxa"/>
        <w:jc w:val="center"/>
        <w:tblInd w:w="93" w:type="dxa"/>
        <w:tblLook w:val="04A0"/>
      </w:tblPr>
      <w:tblGrid>
        <w:gridCol w:w="1260"/>
        <w:gridCol w:w="1080"/>
        <w:gridCol w:w="1820"/>
        <w:gridCol w:w="1080"/>
      </w:tblGrid>
      <w:tr w:rsidR="00DF765A" w:rsidRPr="00B5163B" w:rsidTr="00DF765A">
        <w:trPr>
          <w:trHeight w:val="2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5A" w:rsidRPr="00B5163B" w:rsidRDefault="00DF765A" w:rsidP="00DF765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5163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报告时点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5A" w:rsidRPr="00B5163B" w:rsidRDefault="00DF765A" w:rsidP="00DF765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5163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万份收益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5A" w:rsidRPr="00B5163B" w:rsidRDefault="00DF765A" w:rsidP="00DF765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 w:rsidRPr="00B5163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七日年化收益率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5A" w:rsidRPr="00B5163B" w:rsidRDefault="00DF765A" w:rsidP="00DF765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5163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</w:tr>
      <w:tr w:rsidR="00DF765A" w:rsidRPr="00DF765A" w:rsidTr="00DF765A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5A" w:rsidRPr="00DF765A" w:rsidRDefault="00DF765A" w:rsidP="00DF76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76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2018/9/30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5A" w:rsidRPr="00DF765A" w:rsidRDefault="00DF765A" w:rsidP="00DF76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76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5A" w:rsidRPr="00DF765A" w:rsidRDefault="00DF765A" w:rsidP="00DF76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76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5A" w:rsidRPr="00DF765A" w:rsidRDefault="00DF765A" w:rsidP="00DF76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76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3.50%</w:t>
            </w:r>
          </w:p>
        </w:tc>
      </w:tr>
    </w:tbl>
    <w:p w:rsidR="00DF765A" w:rsidRDefault="00DF765A" w:rsidP="00DF765A">
      <w:pPr>
        <w:jc w:val="left"/>
        <w:rPr>
          <w:rFonts w:ascii="宋体" w:eastAsia="宋体" w:hAnsi="宋体" w:cs="Times New Roman"/>
          <w:sz w:val="24"/>
          <w:szCs w:val="24"/>
        </w:rPr>
      </w:pPr>
    </w:p>
    <w:p w:rsidR="00DF765A" w:rsidRPr="005B583E" w:rsidRDefault="00DF765A" w:rsidP="00DF765A">
      <w:pPr>
        <w:jc w:val="left"/>
        <w:rPr>
          <w:rFonts w:ascii="宋体" w:eastAsia="宋体" w:hAnsi="宋体" w:cs="Times New Roman"/>
          <w:sz w:val="24"/>
          <w:szCs w:val="24"/>
        </w:rPr>
      </w:pPr>
    </w:p>
    <w:p w:rsidR="005978D1" w:rsidRPr="00DF765A" w:rsidRDefault="001F2ACD" w:rsidP="009D311D">
      <w:pPr>
        <w:pStyle w:val="1"/>
        <w:numPr>
          <w:ilvl w:val="0"/>
          <w:numId w:val="3"/>
        </w:numPr>
        <w:rPr>
          <w:sz w:val="30"/>
          <w:szCs w:val="30"/>
        </w:rPr>
      </w:pPr>
      <w:bookmarkStart w:id="3" w:name="_Toc528160353"/>
      <w:r w:rsidRPr="00DF765A">
        <w:rPr>
          <w:rFonts w:hint="eastAsia"/>
          <w:sz w:val="30"/>
          <w:szCs w:val="30"/>
        </w:rPr>
        <w:t>报告期内产品的投资策略和运作分析</w:t>
      </w:r>
      <w:bookmarkEnd w:id="3"/>
    </w:p>
    <w:p w:rsidR="00527CDB" w:rsidRPr="00527CDB" w:rsidRDefault="00527CDB" w:rsidP="00527CDB">
      <w:pPr>
        <w:ind w:firstLineChars="200" w:firstLine="600"/>
        <w:rPr>
          <w:sz w:val="30"/>
          <w:szCs w:val="30"/>
        </w:rPr>
      </w:pPr>
      <w:r w:rsidRPr="00527CDB">
        <w:rPr>
          <w:rFonts w:hint="eastAsia"/>
          <w:sz w:val="30"/>
          <w:szCs w:val="30"/>
        </w:rPr>
        <w:t>2018</w:t>
      </w:r>
      <w:r w:rsidRPr="00527CDB">
        <w:rPr>
          <w:rFonts w:hint="eastAsia"/>
          <w:sz w:val="30"/>
          <w:szCs w:val="30"/>
        </w:rPr>
        <w:t>年三季度我国经济稳中趋缓。从需求端看，在投资方面，</w:t>
      </w:r>
      <w:r w:rsidRPr="00527CDB">
        <w:rPr>
          <w:rFonts w:hint="eastAsia"/>
          <w:sz w:val="30"/>
          <w:szCs w:val="30"/>
        </w:rPr>
        <w:t>1-8</w:t>
      </w:r>
      <w:r w:rsidRPr="00527CDB">
        <w:rPr>
          <w:rFonts w:hint="eastAsia"/>
          <w:sz w:val="30"/>
          <w:szCs w:val="30"/>
        </w:rPr>
        <w:t>月固定资产投资完成额累计同比增长</w:t>
      </w:r>
      <w:r w:rsidRPr="00527CDB">
        <w:rPr>
          <w:rFonts w:hint="eastAsia"/>
          <w:sz w:val="30"/>
          <w:szCs w:val="30"/>
        </w:rPr>
        <w:t>5.3%</w:t>
      </w:r>
      <w:r w:rsidRPr="00527CDB">
        <w:rPr>
          <w:rFonts w:hint="eastAsia"/>
          <w:sz w:val="30"/>
          <w:szCs w:val="30"/>
        </w:rPr>
        <w:t>，创历史新低，主要受基建投资大幅下降的拖累。</w:t>
      </w:r>
      <w:r w:rsidRPr="00527CDB">
        <w:rPr>
          <w:rFonts w:hint="eastAsia"/>
          <w:sz w:val="30"/>
          <w:szCs w:val="30"/>
        </w:rPr>
        <w:t>1-8</w:t>
      </w:r>
      <w:r w:rsidRPr="00527CDB">
        <w:rPr>
          <w:rFonts w:hint="eastAsia"/>
          <w:sz w:val="30"/>
          <w:szCs w:val="30"/>
        </w:rPr>
        <w:t>月基础设施建设投资完成</w:t>
      </w:r>
      <w:r w:rsidRPr="00527CDB">
        <w:rPr>
          <w:rFonts w:hint="eastAsia"/>
          <w:sz w:val="30"/>
          <w:szCs w:val="30"/>
        </w:rPr>
        <w:lastRenderedPageBreak/>
        <w:t>额累计同比增长</w:t>
      </w:r>
      <w:r w:rsidRPr="00527CDB">
        <w:rPr>
          <w:rFonts w:hint="eastAsia"/>
          <w:sz w:val="30"/>
          <w:szCs w:val="30"/>
        </w:rPr>
        <w:t>4.2%</w:t>
      </w:r>
      <w:r w:rsidRPr="00527CDB">
        <w:rPr>
          <w:rFonts w:hint="eastAsia"/>
          <w:sz w:val="30"/>
          <w:szCs w:val="30"/>
        </w:rPr>
        <w:t>，今年以来逐月下滑，处于历史较低水平。除基建投资外，房地产和制造业投资保持稳定。</w:t>
      </w:r>
      <w:r w:rsidRPr="00527CDB">
        <w:rPr>
          <w:rFonts w:hint="eastAsia"/>
          <w:sz w:val="30"/>
          <w:szCs w:val="30"/>
        </w:rPr>
        <w:t>1-8</w:t>
      </w:r>
      <w:r w:rsidRPr="00527CDB">
        <w:rPr>
          <w:rFonts w:hint="eastAsia"/>
          <w:sz w:val="30"/>
          <w:szCs w:val="30"/>
        </w:rPr>
        <w:t>月房地产开发投资完成额累计同比增长</w:t>
      </w:r>
      <w:r w:rsidRPr="00527CDB">
        <w:rPr>
          <w:rFonts w:hint="eastAsia"/>
          <w:sz w:val="30"/>
          <w:szCs w:val="30"/>
        </w:rPr>
        <w:t>10.1%</w:t>
      </w:r>
      <w:r w:rsidRPr="00527CDB">
        <w:rPr>
          <w:rFonts w:hint="eastAsia"/>
          <w:sz w:val="30"/>
          <w:szCs w:val="30"/>
        </w:rPr>
        <w:t>，处于自</w:t>
      </w:r>
      <w:r w:rsidRPr="00527CDB">
        <w:rPr>
          <w:rFonts w:hint="eastAsia"/>
          <w:sz w:val="30"/>
          <w:szCs w:val="30"/>
        </w:rPr>
        <w:t>2016</w:t>
      </w:r>
      <w:r w:rsidRPr="00527CDB">
        <w:rPr>
          <w:rFonts w:hint="eastAsia"/>
          <w:sz w:val="30"/>
          <w:szCs w:val="30"/>
        </w:rPr>
        <w:t>年以来回升的高位。</w:t>
      </w:r>
      <w:r w:rsidRPr="00527CDB">
        <w:rPr>
          <w:rFonts w:hint="eastAsia"/>
          <w:sz w:val="30"/>
          <w:szCs w:val="30"/>
        </w:rPr>
        <w:t>1-8</w:t>
      </w:r>
      <w:r w:rsidRPr="00527CDB">
        <w:rPr>
          <w:rFonts w:hint="eastAsia"/>
          <w:sz w:val="30"/>
          <w:szCs w:val="30"/>
        </w:rPr>
        <w:t>月制造业投资完成额累计同比增长</w:t>
      </w:r>
      <w:r w:rsidRPr="00527CDB">
        <w:rPr>
          <w:rFonts w:hint="eastAsia"/>
          <w:sz w:val="30"/>
          <w:szCs w:val="30"/>
        </w:rPr>
        <w:t>7.5%</w:t>
      </w:r>
      <w:r w:rsidRPr="00527CDB">
        <w:rPr>
          <w:rFonts w:hint="eastAsia"/>
          <w:sz w:val="30"/>
          <w:szCs w:val="30"/>
        </w:rPr>
        <w:t>，保持良好的回升势头。为对</w:t>
      </w:r>
      <w:proofErr w:type="gramStart"/>
      <w:r w:rsidRPr="00527CDB">
        <w:rPr>
          <w:rFonts w:hint="eastAsia"/>
          <w:sz w:val="30"/>
          <w:szCs w:val="30"/>
        </w:rPr>
        <w:t>冲未来</w:t>
      </w:r>
      <w:proofErr w:type="gramEnd"/>
      <w:r w:rsidRPr="00527CDB">
        <w:rPr>
          <w:rFonts w:hint="eastAsia"/>
          <w:sz w:val="30"/>
          <w:szCs w:val="30"/>
        </w:rPr>
        <w:t>中美贸易摩擦可能对经济增长产生的不利影响，三季度以来基建投资开始发力，地方债发行明显加快，预计四季度基建投资或将企稳，对固定资产投资形成一定的支撑。在消费方面，</w:t>
      </w:r>
      <w:r w:rsidRPr="00527CDB">
        <w:rPr>
          <w:rFonts w:hint="eastAsia"/>
          <w:sz w:val="30"/>
          <w:szCs w:val="30"/>
        </w:rPr>
        <w:t>1-8</w:t>
      </w:r>
      <w:r w:rsidRPr="00527CDB">
        <w:rPr>
          <w:rFonts w:hint="eastAsia"/>
          <w:sz w:val="30"/>
          <w:szCs w:val="30"/>
        </w:rPr>
        <w:t>月社会消费品零售总额累计同比增长</w:t>
      </w:r>
      <w:r w:rsidRPr="00527CDB">
        <w:rPr>
          <w:rFonts w:hint="eastAsia"/>
          <w:sz w:val="30"/>
          <w:szCs w:val="30"/>
        </w:rPr>
        <w:t>9.3%</w:t>
      </w:r>
      <w:r w:rsidRPr="00527CDB">
        <w:rPr>
          <w:rFonts w:hint="eastAsia"/>
          <w:sz w:val="30"/>
          <w:szCs w:val="30"/>
        </w:rPr>
        <w:t>，下行趋势并未改变。考虑到近年来居民部门杠杆</w:t>
      </w:r>
      <w:proofErr w:type="gramStart"/>
      <w:r w:rsidRPr="00527CDB">
        <w:rPr>
          <w:rFonts w:hint="eastAsia"/>
          <w:sz w:val="30"/>
          <w:szCs w:val="30"/>
        </w:rPr>
        <w:t>率增长</w:t>
      </w:r>
      <w:proofErr w:type="gramEnd"/>
      <w:r w:rsidRPr="00527CDB">
        <w:rPr>
          <w:rFonts w:hint="eastAsia"/>
          <w:sz w:val="30"/>
          <w:szCs w:val="30"/>
        </w:rPr>
        <w:t>过快，将对未来居民消费能力形成制约。在出口方面，今年以来受欧盟、日本等发达经济体增长放缓影响，我国出口呈现缓慢下行趋势。</w:t>
      </w:r>
      <w:r w:rsidRPr="00527CDB">
        <w:rPr>
          <w:rFonts w:hint="eastAsia"/>
          <w:sz w:val="30"/>
          <w:szCs w:val="30"/>
        </w:rPr>
        <w:t>8</w:t>
      </w:r>
      <w:r w:rsidRPr="00527CDB">
        <w:rPr>
          <w:rFonts w:hint="eastAsia"/>
          <w:sz w:val="30"/>
          <w:szCs w:val="30"/>
        </w:rPr>
        <w:t>月出口增长</w:t>
      </w:r>
      <w:r w:rsidRPr="00527CDB">
        <w:rPr>
          <w:rFonts w:hint="eastAsia"/>
          <w:sz w:val="30"/>
          <w:szCs w:val="30"/>
        </w:rPr>
        <w:t>9.8%</w:t>
      </w:r>
      <w:r w:rsidRPr="00527CDB">
        <w:rPr>
          <w:rFonts w:hint="eastAsia"/>
          <w:sz w:val="30"/>
          <w:szCs w:val="30"/>
        </w:rPr>
        <w:t>，前值</w:t>
      </w:r>
      <w:r w:rsidRPr="00527CDB">
        <w:rPr>
          <w:rFonts w:hint="eastAsia"/>
          <w:sz w:val="30"/>
          <w:szCs w:val="30"/>
        </w:rPr>
        <w:t>12.2%</w:t>
      </w:r>
      <w:r w:rsidRPr="00527CDB">
        <w:rPr>
          <w:rFonts w:hint="eastAsia"/>
          <w:sz w:val="30"/>
          <w:szCs w:val="30"/>
        </w:rPr>
        <w:t>；进口增长</w:t>
      </w:r>
      <w:r w:rsidRPr="00527CDB">
        <w:rPr>
          <w:rFonts w:hint="eastAsia"/>
          <w:sz w:val="30"/>
          <w:szCs w:val="30"/>
        </w:rPr>
        <w:t>20%</w:t>
      </w:r>
      <w:r w:rsidRPr="00527CDB">
        <w:rPr>
          <w:rFonts w:hint="eastAsia"/>
          <w:sz w:val="30"/>
          <w:szCs w:val="30"/>
        </w:rPr>
        <w:t>，前值</w:t>
      </w:r>
      <w:r w:rsidRPr="00527CDB">
        <w:rPr>
          <w:rFonts w:hint="eastAsia"/>
          <w:sz w:val="30"/>
          <w:szCs w:val="30"/>
        </w:rPr>
        <w:t>27.3%</w:t>
      </w:r>
      <w:r w:rsidRPr="00527CDB">
        <w:rPr>
          <w:rFonts w:hint="eastAsia"/>
          <w:sz w:val="30"/>
          <w:szCs w:val="30"/>
        </w:rPr>
        <w:t>。目前中美贸易摩擦的影响尚未显现，预计未来将对我国出口环境造成一定冲击。从供给端看，</w:t>
      </w:r>
      <w:r w:rsidRPr="00527CDB">
        <w:rPr>
          <w:rFonts w:hint="eastAsia"/>
          <w:sz w:val="30"/>
          <w:szCs w:val="30"/>
        </w:rPr>
        <w:t>8</w:t>
      </w:r>
      <w:r w:rsidRPr="00527CDB">
        <w:rPr>
          <w:rFonts w:hint="eastAsia"/>
          <w:sz w:val="30"/>
          <w:szCs w:val="30"/>
        </w:rPr>
        <w:t>月规模以上工业增加值累计同比</w:t>
      </w:r>
      <w:r w:rsidRPr="00527CDB">
        <w:rPr>
          <w:rFonts w:hint="eastAsia"/>
          <w:sz w:val="30"/>
          <w:szCs w:val="30"/>
        </w:rPr>
        <w:t>6.5%</w:t>
      </w:r>
      <w:r w:rsidRPr="00527CDB">
        <w:rPr>
          <w:rFonts w:hint="eastAsia"/>
          <w:sz w:val="30"/>
          <w:szCs w:val="30"/>
        </w:rPr>
        <w:t>，保持基本平稳。</w:t>
      </w:r>
    </w:p>
    <w:p w:rsidR="00527CDB" w:rsidRPr="00527CDB" w:rsidRDefault="00527CDB" w:rsidP="00527CDB">
      <w:pPr>
        <w:ind w:firstLineChars="200" w:firstLine="600"/>
        <w:rPr>
          <w:sz w:val="30"/>
          <w:szCs w:val="30"/>
        </w:rPr>
      </w:pPr>
      <w:r w:rsidRPr="00527CDB">
        <w:rPr>
          <w:rFonts w:hint="eastAsia"/>
          <w:sz w:val="30"/>
          <w:szCs w:val="30"/>
        </w:rPr>
        <w:t>在利率方面，三季度债券收益率震荡上行，</w:t>
      </w:r>
      <w:r w:rsidRPr="00527CDB">
        <w:rPr>
          <w:rFonts w:hint="eastAsia"/>
          <w:sz w:val="30"/>
          <w:szCs w:val="30"/>
        </w:rPr>
        <w:t>10</w:t>
      </w:r>
      <w:r w:rsidRPr="00527CDB">
        <w:rPr>
          <w:rFonts w:hint="eastAsia"/>
          <w:sz w:val="30"/>
          <w:szCs w:val="30"/>
        </w:rPr>
        <w:t>年国债收益率小幅反弹，上升</w:t>
      </w:r>
      <w:r w:rsidRPr="00527CDB">
        <w:rPr>
          <w:rFonts w:hint="eastAsia"/>
          <w:sz w:val="30"/>
          <w:szCs w:val="30"/>
        </w:rPr>
        <w:t>14</w:t>
      </w:r>
      <w:r w:rsidRPr="00527CDB">
        <w:rPr>
          <w:rFonts w:hint="eastAsia"/>
          <w:sz w:val="30"/>
          <w:szCs w:val="30"/>
        </w:rPr>
        <w:t>个基点。特别是</w:t>
      </w:r>
      <w:r w:rsidRPr="00527CDB">
        <w:rPr>
          <w:rFonts w:hint="eastAsia"/>
          <w:sz w:val="30"/>
          <w:szCs w:val="30"/>
        </w:rPr>
        <w:t>8</w:t>
      </w:r>
      <w:r w:rsidRPr="00527CDB">
        <w:rPr>
          <w:rFonts w:hint="eastAsia"/>
          <w:sz w:val="30"/>
          <w:szCs w:val="30"/>
        </w:rPr>
        <w:t>月以来无风险利率快速反弹。总体上看，央行保持市场流动性合理充裕，短</w:t>
      </w:r>
      <w:proofErr w:type="gramStart"/>
      <w:r w:rsidRPr="00527CDB">
        <w:rPr>
          <w:rFonts w:hint="eastAsia"/>
          <w:sz w:val="30"/>
          <w:szCs w:val="30"/>
        </w:rPr>
        <w:t>端利率</w:t>
      </w:r>
      <w:proofErr w:type="gramEnd"/>
      <w:r w:rsidRPr="00527CDB">
        <w:rPr>
          <w:rFonts w:hint="eastAsia"/>
          <w:sz w:val="30"/>
          <w:szCs w:val="30"/>
        </w:rPr>
        <w:t>处于低位。为维持汇率稳定叠加下半年利率债供给加速，将对长</w:t>
      </w:r>
      <w:proofErr w:type="gramStart"/>
      <w:r w:rsidRPr="00527CDB">
        <w:rPr>
          <w:rFonts w:hint="eastAsia"/>
          <w:sz w:val="30"/>
          <w:szCs w:val="30"/>
        </w:rPr>
        <w:t>端利率</w:t>
      </w:r>
      <w:proofErr w:type="gramEnd"/>
      <w:r w:rsidRPr="00527CDB">
        <w:rPr>
          <w:rFonts w:hint="eastAsia"/>
          <w:sz w:val="30"/>
          <w:szCs w:val="30"/>
        </w:rPr>
        <w:t>形成支撑；另一方面，经济增速放缓导致融资需求下降，市场利率或将维持区间震荡格局。</w:t>
      </w:r>
    </w:p>
    <w:p w:rsidR="00527CDB" w:rsidRPr="00527CDB" w:rsidRDefault="00527CDB" w:rsidP="00527CDB">
      <w:pPr>
        <w:ind w:firstLineChars="200" w:firstLine="600"/>
        <w:rPr>
          <w:sz w:val="30"/>
          <w:szCs w:val="30"/>
        </w:rPr>
      </w:pPr>
      <w:r w:rsidRPr="00527CDB">
        <w:rPr>
          <w:rFonts w:hint="eastAsia"/>
          <w:sz w:val="30"/>
          <w:szCs w:val="30"/>
        </w:rPr>
        <w:t>在信用方面，当前我国信用环境结构性收紧导致民营企业、</w:t>
      </w:r>
      <w:r w:rsidRPr="00527CDB">
        <w:rPr>
          <w:rFonts w:hint="eastAsia"/>
          <w:sz w:val="30"/>
          <w:szCs w:val="30"/>
        </w:rPr>
        <w:lastRenderedPageBreak/>
        <w:t>弱资质主体再融资面临较大困难，前期经营比较激进的企业信用风险逐渐暴露，三季度发生违约的企业数量和债券规模明显提高。在此背景下，产品以高等级信用债为主要配置对象，主动规避可能因信用结构性紧缩而出现再融资困难的主体，坚持安全性原则，为投资者创造稳健的收益，确保资产实现保值增值。</w:t>
      </w:r>
    </w:p>
    <w:p w:rsidR="00D160E5" w:rsidRPr="00D160E5" w:rsidRDefault="00FD57E3" w:rsidP="00067D5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在流动性方面，</w:t>
      </w:r>
      <w:r w:rsidRPr="00FD57E3">
        <w:rPr>
          <w:rFonts w:hint="eastAsia"/>
          <w:sz w:val="30"/>
          <w:szCs w:val="30"/>
        </w:rPr>
        <w:t>由于经济存在下行压力、低评级债券信用利差仍高、表外融资风险得到一定的控制，流动性收紧的可能性不大。但为了防范宏观杠杆率再度抬升，流动性进一步放松的空间有限。预计第四季度资金面将维持当前合理充裕的水平。</w:t>
      </w:r>
    </w:p>
    <w:p w:rsidR="001D2F7A" w:rsidRDefault="00FF6934" w:rsidP="00B36784">
      <w:pPr>
        <w:ind w:firstLineChars="200" w:firstLine="600"/>
        <w:rPr>
          <w:sz w:val="30"/>
          <w:szCs w:val="30"/>
        </w:rPr>
      </w:pPr>
      <w:r w:rsidRPr="00B82B81">
        <w:rPr>
          <w:sz w:val="30"/>
          <w:szCs w:val="30"/>
        </w:rPr>
        <w:t>本</w:t>
      </w:r>
      <w:r w:rsidRPr="00B82B81">
        <w:rPr>
          <w:rFonts w:hint="eastAsia"/>
          <w:sz w:val="30"/>
          <w:szCs w:val="30"/>
        </w:rPr>
        <w:t>产品</w:t>
      </w:r>
      <w:r w:rsidRPr="00B82B81">
        <w:rPr>
          <w:sz w:val="30"/>
          <w:szCs w:val="30"/>
        </w:rPr>
        <w:t>将保持流动性安全和防范信用风险作为第一要务，投放的资产以</w:t>
      </w:r>
      <w:r w:rsidRPr="00B82B81">
        <w:rPr>
          <w:rFonts w:hint="eastAsia"/>
          <w:sz w:val="30"/>
          <w:szCs w:val="30"/>
        </w:rPr>
        <w:t>中</w:t>
      </w:r>
      <w:r w:rsidRPr="00B82B81">
        <w:rPr>
          <w:sz w:val="30"/>
          <w:szCs w:val="30"/>
        </w:rPr>
        <w:t>短期限的</w:t>
      </w:r>
      <w:r w:rsidRPr="00B82B81">
        <w:rPr>
          <w:rFonts w:hint="eastAsia"/>
          <w:sz w:val="30"/>
          <w:szCs w:val="30"/>
        </w:rPr>
        <w:t>货币工具</w:t>
      </w:r>
      <w:r w:rsidR="00B335AF" w:rsidRPr="00B82B81">
        <w:rPr>
          <w:rFonts w:hint="eastAsia"/>
          <w:sz w:val="30"/>
          <w:szCs w:val="30"/>
        </w:rPr>
        <w:t>、政策性金融</w:t>
      </w:r>
      <w:r w:rsidRPr="00B82B81">
        <w:rPr>
          <w:rFonts w:hint="eastAsia"/>
          <w:sz w:val="30"/>
          <w:szCs w:val="30"/>
        </w:rPr>
        <w:t>债、高评级信用债</w:t>
      </w:r>
      <w:r w:rsidR="00845254" w:rsidRPr="00B82B81">
        <w:rPr>
          <w:sz w:val="30"/>
          <w:szCs w:val="30"/>
        </w:rPr>
        <w:t>为主</w:t>
      </w:r>
      <w:r w:rsidR="00845254" w:rsidRPr="00B82B81">
        <w:rPr>
          <w:rFonts w:hint="eastAsia"/>
          <w:sz w:val="30"/>
          <w:szCs w:val="30"/>
        </w:rPr>
        <w:t>。</w:t>
      </w:r>
      <w:r w:rsidR="00480C55" w:rsidRPr="00B82B81">
        <w:rPr>
          <w:rFonts w:hint="eastAsia"/>
          <w:sz w:val="30"/>
          <w:szCs w:val="30"/>
        </w:rPr>
        <w:t>其中</w:t>
      </w:r>
      <w:r w:rsidR="005B583E" w:rsidRPr="00B82B81">
        <w:rPr>
          <w:rFonts w:hint="eastAsia"/>
          <w:sz w:val="30"/>
          <w:szCs w:val="30"/>
        </w:rPr>
        <w:t>货币工具</w:t>
      </w:r>
      <w:r w:rsidRPr="00B82B81">
        <w:rPr>
          <w:sz w:val="30"/>
          <w:szCs w:val="30"/>
        </w:rPr>
        <w:t>期限以</w:t>
      </w:r>
      <w:r w:rsidR="00845254" w:rsidRPr="00B82B81">
        <w:rPr>
          <w:rFonts w:hint="eastAsia"/>
          <w:sz w:val="30"/>
          <w:szCs w:val="30"/>
        </w:rPr>
        <w:t>1</w:t>
      </w:r>
      <w:r w:rsidR="00845254" w:rsidRPr="00B82B81">
        <w:rPr>
          <w:rFonts w:hint="eastAsia"/>
          <w:sz w:val="30"/>
          <w:szCs w:val="30"/>
        </w:rPr>
        <w:t>年</w:t>
      </w:r>
      <w:r w:rsidRPr="00B82B81">
        <w:rPr>
          <w:sz w:val="30"/>
          <w:szCs w:val="30"/>
        </w:rPr>
        <w:t>内为主</w:t>
      </w:r>
      <w:r w:rsidR="00845254" w:rsidRPr="00B82B81">
        <w:rPr>
          <w:rFonts w:hint="eastAsia"/>
          <w:sz w:val="30"/>
          <w:szCs w:val="30"/>
        </w:rPr>
        <w:t>，债券</w:t>
      </w:r>
      <w:proofErr w:type="gramStart"/>
      <w:r w:rsidR="00845254" w:rsidRPr="00B82B81">
        <w:rPr>
          <w:rFonts w:hint="eastAsia"/>
          <w:sz w:val="30"/>
          <w:szCs w:val="30"/>
        </w:rPr>
        <w:t>的久期</w:t>
      </w:r>
      <w:r w:rsidR="00C21680">
        <w:rPr>
          <w:rFonts w:hint="eastAsia"/>
          <w:sz w:val="30"/>
          <w:szCs w:val="30"/>
        </w:rPr>
        <w:t>不</w:t>
      </w:r>
      <w:proofErr w:type="gramEnd"/>
      <w:r w:rsidR="00C21680">
        <w:rPr>
          <w:rFonts w:hint="eastAsia"/>
          <w:sz w:val="30"/>
          <w:szCs w:val="30"/>
        </w:rPr>
        <w:t>超过</w:t>
      </w:r>
      <w:r w:rsidR="00C21680">
        <w:rPr>
          <w:rFonts w:hint="eastAsia"/>
          <w:sz w:val="30"/>
          <w:szCs w:val="30"/>
        </w:rPr>
        <w:t>3</w:t>
      </w:r>
      <w:r w:rsidR="00C21680">
        <w:rPr>
          <w:rFonts w:hint="eastAsia"/>
          <w:sz w:val="30"/>
          <w:szCs w:val="30"/>
        </w:rPr>
        <w:t>年</w:t>
      </w:r>
      <w:r w:rsidR="00DF6B41">
        <w:rPr>
          <w:rFonts w:hint="eastAsia"/>
          <w:sz w:val="30"/>
          <w:szCs w:val="30"/>
        </w:rPr>
        <w:t>，信用债主体评级均在</w:t>
      </w:r>
      <w:r w:rsidR="00DF6B41">
        <w:rPr>
          <w:rFonts w:hint="eastAsia"/>
          <w:sz w:val="30"/>
          <w:szCs w:val="30"/>
        </w:rPr>
        <w:t>AA+</w:t>
      </w:r>
      <w:r w:rsidR="00DF6B41">
        <w:rPr>
          <w:rFonts w:hint="eastAsia"/>
          <w:sz w:val="30"/>
          <w:szCs w:val="30"/>
        </w:rPr>
        <w:t>以上</w:t>
      </w:r>
      <w:r w:rsidR="00BC36F4" w:rsidRPr="00B82B81">
        <w:rPr>
          <w:rFonts w:hint="eastAsia"/>
          <w:sz w:val="30"/>
          <w:szCs w:val="30"/>
        </w:rPr>
        <w:t>，</w:t>
      </w:r>
      <w:r w:rsidRPr="00B82B81">
        <w:rPr>
          <w:sz w:val="30"/>
          <w:szCs w:val="30"/>
        </w:rPr>
        <w:t>在努力做好流动性管理的同时保持了相对平稳的收益。</w:t>
      </w:r>
    </w:p>
    <w:p w:rsidR="00841896" w:rsidRPr="009D311D" w:rsidRDefault="00841896" w:rsidP="00841896">
      <w:pPr>
        <w:pStyle w:val="1"/>
        <w:numPr>
          <w:ilvl w:val="0"/>
          <w:numId w:val="3"/>
        </w:numPr>
        <w:rPr>
          <w:sz w:val="30"/>
          <w:szCs w:val="30"/>
        </w:rPr>
      </w:pPr>
      <w:bookmarkStart w:id="4" w:name="_Toc528080791"/>
      <w:bookmarkStart w:id="5" w:name="_Toc528160354"/>
      <w:r w:rsidRPr="009D311D">
        <w:rPr>
          <w:rFonts w:asciiTheme="minorEastAsia" w:hAnsiTheme="minorEastAsia" w:hint="eastAsia"/>
          <w:sz w:val="30"/>
          <w:szCs w:val="30"/>
        </w:rPr>
        <w:t>财务会计报告</w:t>
      </w:r>
      <w:bookmarkEnd w:id="4"/>
      <w:bookmarkEnd w:id="5"/>
    </w:p>
    <w:p w:rsidR="00841896" w:rsidRPr="00180842" w:rsidRDefault="00841896" w:rsidP="00841896">
      <w:pPr>
        <w:pStyle w:val="2"/>
        <w:rPr>
          <w:rFonts w:asciiTheme="minorEastAsia" w:eastAsiaTheme="minorEastAsia" w:hAnsiTheme="minorEastAsia"/>
          <w:sz w:val="30"/>
          <w:szCs w:val="30"/>
        </w:rPr>
      </w:pPr>
      <w:bookmarkStart w:id="6" w:name="_Toc528080792"/>
      <w:bookmarkStart w:id="7" w:name="_Toc528160355"/>
      <w:r w:rsidRPr="00180842">
        <w:rPr>
          <w:rFonts w:asciiTheme="minorEastAsia" w:eastAsiaTheme="minorEastAsia" w:hAnsiTheme="minorEastAsia" w:hint="eastAsia"/>
          <w:sz w:val="30"/>
          <w:szCs w:val="30"/>
        </w:rPr>
        <w:t>1.资产负债表</w:t>
      </w:r>
      <w:bookmarkEnd w:id="6"/>
      <w:bookmarkEnd w:id="7"/>
    </w:p>
    <w:p w:rsidR="00165214" w:rsidRDefault="00841896" w:rsidP="00841896">
      <w:pPr>
        <w:rPr>
          <w:sz w:val="22"/>
        </w:rPr>
      </w:pPr>
      <w:r w:rsidRPr="00841896">
        <w:rPr>
          <w:rFonts w:hint="eastAsia"/>
          <w:sz w:val="22"/>
        </w:rPr>
        <w:t>会计主体：兴业银行“现金宝</w:t>
      </w:r>
      <w:r w:rsidRPr="00841896">
        <w:rPr>
          <w:rFonts w:hint="eastAsia"/>
          <w:sz w:val="22"/>
        </w:rPr>
        <w:t>-</w:t>
      </w:r>
      <w:r w:rsidRPr="00841896">
        <w:rPr>
          <w:rFonts w:hint="eastAsia"/>
          <w:sz w:val="22"/>
        </w:rPr>
        <w:t>添利</w:t>
      </w:r>
      <w:r w:rsidRPr="00841896">
        <w:rPr>
          <w:rFonts w:hint="eastAsia"/>
          <w:sz w:val="22"/>
        </w:rPr>
        <w:t>1</w:t>
      </w:r>
      <w:r w:rsidRPr="00841896">
        <w:rPr>
          <w:rFonts w:hint="eastAsia"/>
          <w:sz w:val="22"/>
        </w:rPr>
        <w:t>号”净值型理财产品</w:t>
      </w:r>
    </w:p>
    <w:p w:rsidR="00841896" w:rsidRDefault="008269AB" w:rsidP="00841896">
      <w:pPr>
        <w:rPr>
          <w:rFonts w:asciiTheme="minorEastAsia" w:hAnsiTheme="minorEastAsia" w:cs="宋体"/>
          <w:kern w:val="0"/>
          <w:sz w:val="22"/>
        </w:rPr>
      </w:pPr>
      <w:r>
        <w:rPr>
          <w:rFonts w:hint="eastAsia"/>
          <w:sz w:val="22"/>
        </w:rPr>
        <w:t>报告截止日：</w:t>
      </w:r>
      <w:r w:rsidRPr="00580FF4">
        <w:rPr>
          <w:rFonts w:asciiTheme="minorEastAsia" w:hAnsiTheme="minorEastAsia" w:cs="宋体" w:hint="eastAsia"/>
          <w:kern w:val="0"/>
          <w:sz w:val="22"/>
        </w:rPr>
        <w:t>2018年9月30日</w:t>
      </w:r>
    </w:p>
    <w:p w:rsidR="008269AB" w:rsidRDefault="008269AB" w:rsidP="00841896">
      <w:pPr>
        <w:rPr>
          <w:rFonts w:asciiTheme="minorEastAsia" w:hAnsiTheme="minorEastAsia" w:cs="宋体"/>
          <w:kern w:val="0"/>
          <w:sz w:val="22"/>
        </w:rPr>
      </w:pPr>
    </w:p>
    <w:tbl>
      <w:tblPr>
        <w:tblW w:w="11280" w:type="dxa"/>
        <w:jc w:val="center"/>
        <w:tblLook w:val="04A0"/>
      </w:tblPr>
      <w:tblGrid>
        <w:gridCol w:w="1245"/>
        <w:gridCol w:w="2174"/>
        <w:gridCol w:w="2052"/>
        <w:gridCol w:w="1583"/>
        <w:gridCol w:w="2174"/>
        <w:gridCol w:w="2052"/>
      </w:tblGrid>
      <w:tr w:rsidR="008269AB" w:rsidRPr="008269AB" w:rsidTr="00A56D20">
        <w:trPr>
          <w:trHeight w:val="28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2D26E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编制单位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kern w:val="0"/>
                <w:sz w:val="22"/>
              </w:rPr>
              <w:t xml:space="preserve"> 兴业银行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币种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kern w:val="0"/>
                <w:sz w:val="22"/>
              </w:rPr>
              <w:t xml:space="preserve"> 人民币元 </w:t>
            </w:r>
          </w:p>
        </w:tc>
      </w:tr>
      <w:tr w:rsidR="008269AB" w:rsidRPr="008269AB" w:rsidTr="00A56D20">
        <w:trPr>
          <w:trHeight w:val="28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 xml:space="preserve"> 期末余额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 xml:space="preserve"> 期初余额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负债和所有者权益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 xml:space="preserve"> 期末余额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 xml:space="preserve"> 期初余额 </w:t>
            </w:r>
          </w:p>
        </w:tc>
      </w:tr>
      <w:tr w:rsidR="008269AB" w:rsidRPr="008269AB" w:rsidTr="00A56D20">
        <w:trPr>
          <w:trHeight w:val="28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银行存款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44,042,722,327.93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21,636,425,919.00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拆入资金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存出保证</w:t>
            </w:r>
            <w:r w:rsidRPr="008269AB">
              <w:rPr>
                <w:rFonts w:ascii="Arial" w:eastAsia="宋体" w:hAnsi="Arial" w:cs="Arial"/>
                <w:kern w:val="0"/>
                <w:sz w:val="22"/>
              </w:rPr>
              <w:lastRenderedPageBreak/>
              <w:t>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lastRenderedPageBreak/>
              <w:t xml:space="preserve">594,973.53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交易性金融负</w:t>
            </w:r>
            <w:r w:rsidRPr="008269AB">
              <w:rPr>
                <w:rFonts w:ascii="Arial" w:eastAsia="宋体" w:hAnsi="Arial" w:cs="Arial"/>
                <w:kern w:val="0"/>
                <w:sz w:val="22"/>
              </w:rPr>
              <w:lastRenderedPageBreak/>
              <w:t>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lastRenderedPageBreak/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lastRenderedPageBreak/>
              <w:t>拆出资金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23,350,000,000.00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26,350,000,000.00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衍生金融负债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交易性金融资产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卖出回购金融资产款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7,929,263,189.44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6,009,998,175.60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衍生金融资产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应付管理人报酬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155,776,469.75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52,462,197.40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买入返售金融资产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25,960,516,490.83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应付托管费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524,197.22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292,198.89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可供出售金融资产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69,964,778,486.77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37,129,824,028.25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应付销售服务费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155,776,469.75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52,462,197.40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应收款项类投资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应交税费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3,508,186.64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932,315.51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持有到期投资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应付利息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7,907,889.18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2,150,969.82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应收利息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1,855,540,530.84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584,101,655.21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应付利润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应收股利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其他负债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250,943.31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101,140.20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其他资产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应付</w:t>
            </w:r>
            <w:proofErr w:type="gramStart"/>
            <w:r w:rsidRPr="008269AB">
              <w:rPr>
                <w:rFonts w:ascii="Arial" w:eastAsia="宋体" w:hAnsi="Arial" w:cs="Arial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</w:tr>
      <w:tr w:rsidR="008269AB" w:rsidRPr="008269AB" w:rsidTr="00A56D20">
        <w:trPr>
          <w:trHeight w:val="28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8,253,007,345.29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6,118,399,194.82 </w:t>
            </w:r>
          </w:p>
        </w:tc>
      </w:tr>
      <w:tr w:rsidR="008269AB" w:rsidRPr="008269AB" w:rsidTr="00A56D20">
        <w:trPr>
          <w:trHeight w:val="28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所有者权益：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实收资金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156,903,407,377.70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79,572,111,484.26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资本公积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>未分配利润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17,738,086.91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9,840,923.38 </w:t>
            </w:r>
          </w:p>
        </w:tc>
      </w:tr>
      <w:tr w:rsidR="008269AB" w:rsidRPr="008269AB" w:rsidTr="00A56D20">
        <w:trPr>
          <w:trHeight w:val="2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8269AB">
              <w:rPr>
                <w:rFonts w:ascii="Arial" w:eastAsia="宋体" w:hAnsi="Arial" w:cs="Arial"/>
                <w:kern w:val="0"/>
                <w:sz w:val="22"/>
              </w:rPr>
              <w:t>损益平准金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0.00 </w:t>
            </w:r>
          </w:p>
        </w:tc>
      </w:tr>
      <w:tr w:rsidR="008269AB" w:rsidRPr="008269AB" w:rsidTr="00A56D20">
        <w:trPr>
          <w:trHeight w:val="28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所有者权益合计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156,921,145,464.61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79,581,952,407.64 </w:t>
            </w:r>
          </w:p>
        </w:tc>
      </w:tr>
      <w:tr w:rsidR="008269AB" w:rsidRPr="008269AB" w:rsidTr="00A56D20">
        <w:trPr>
          <w:trHeight w:val="555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资产总计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165,174,152,809.90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85,700,351,602.46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8269A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8269A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负债和所有者权益总计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165,174,152,809.90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9AB" w:rsidRPr="008269AB" w:rsidRDefault="008269AB" w:rsidP="00A56D2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8269AB">
              <w:rPr>
                <w:rFonts w:ascii="Arial" w:eastAsia="宋体" w:hAnsi="Arial" w:cs="Arial"/>
                <w:kern w:val="0"/>
                <w:sz w:val="22"/>
              </w:rPr>
              <w:t xml:space="preserve">85,700,351,602.46 </w:t>
            </w:r>
          </w:p>
        </w:tc>
      </w:tr>
    </w:tbl>
    <w:p w:rsidR="008269AB" w:rsidRPr="00841896" w:rsidRDefault="008269AB" w:rsidP="00841896">
      <w:pPr>
        <w:rPr>
          <w:sz w:val="22"/>
        </w:rPr>
      </w:pPr>
    </w:p>
    <w:p w:rsidR="00DF2704" w:rsidRDefault="00DF2704" w:rsidP="00B36784">
      <w:pPr>
        <w:ind w:firstLineChars="200" w:firstLine="600"/>
        <w:rPr>
          <w:sz w:val="30"/>
          <w:szCs w:val="30"/>
        </w:rPr>
      </w:pPr>
    </w:p>
    <w:p w:rsidR="00DF2704" w:rsidRDefault="008269AB" w:rsidP="008269AB">
      <w:pPr>
        <w:pStyle w:val="2"/>
        <w:rPr>
          <w:sz w:val="30"/>
          <w:szCs w:val="30"/>
        </w:rPr>
      </w:pPr>
      <w:bookmarkStart w:id="8" w:name="_Toc528160356"/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利润表</w:t>
      </w:r>
      <w:bookmarkEnd w:id="8"/>
    </w:p>
    <w:p w:rsidR="00A56D20" w:rsidRDefault="00A56D20" w:rsidP="00A56D20">
      <w:pPr>
        <w:rPr>
          <w:sz w:val="22"/>
        </w:rPr>
      </w:pPr>
      <w:r w:rsidRPr="00841896">
        <w:rPr>
          <w:rFonts w:hint="eastAsia"/>
          <w:sz w:val="22"/>
        </w:rPr>
        <w:t>会计主体：兴业银行“现金宝</w:t>
      </w:r>
      <w:r w:rsidRPr="00841896">
        <w:rPr>
          <w:rFonts w:hint="eastAsia"/>
          <w:sz w:val="22"/>
        </w:rPr>
        <w:t>-</w:t>
      </w:r>
      <w:r w:rsidRPr="00841896">
        <w:rPr>
          <w:rFonts w:hint="eastAsia"/>
          <w:sz w:val="22"/>
        </w:rPr>
        <w:t>添利</w:t>
      </w:r>
      <w:r w:rsidRPr="00841896">
        <w:rPr>
          <w:rFonts w:hint="eastAsia"/>
          <w:sz w:val="22"/>
        </w:rPr>
        <w:t>1</w:t>
      </w:r>
      <w:r w:rsidRPr="00841896">
        <w:rPr>
          <w:rFonts w:hint="eastAsia"/>
          <w:sz w:val="22"/>
        </w:rPr>
        <w:t>号”净值型理财产品</w:t>
      </w:r>
    </w:p>
    <w:p w:rsidR="00A56D20" w:rsidRDefault="00A56D20" w:rsidP="00A56D20">
      <w:pPr>
        <w:rPr>
          <w:rFonts w:asciiTheme="minorEastAsia" w:hAnsiTheme="minorEastAsia" w:cs="宋体"/>
          <w:kern w:val="0"/>
          <w:sz w:val="22"/>
        </w:rPr>
      </w:pPr>
      <w:r>
        <w:rPr>
          <w:rFonts w:hint="eastAsia"/>
          <w:sz w:val="22"/>
        </w:rPr>
        <w:t>报告截止日：</w:t>
      </w:r>
      <w:r w:rsidRPr="00580FF4">
        <w:rPr>
          <w:rFonts w:asciiTheme="minorEastAsia" w:hAnsiTheme="minorEastAsia" w:cs="宋体" w:hint="eastAsia"/>
          <w:kern w:val="0"/>
          <w:sz w:val="22"/>
        </w:rPr>
        <w:t>2018年7月1日至2018年9月30日</w:t>
      </w:r>
    </w:p>
    <w:p w:rsidR="00A56D20" w:rsidRDefault="00A56D20" w:rsidP="00A56D20">
      <w:pPr>
        <w:rPr>
          <w:rFonts w:asciiTheme="minorEastAsia" w:hAnsiTheme="minorEastAsia" w:cs="宋体"/>
          <w:kern w:val="0"/>
          <w:sz w:val="22"/>
        </w:rPr>
      </w:pPr>
    </w:p>
    <w:tbl>
      <w:tblPr>
        <w:tblW w:w="10960" w:type="dxa"/>
        <w:jc w:val="center"/>
        <w:tblInd w:w="93" w:type="dxa"/>
        <w:tblLook w:val="04A0"/>
      </w:tblPr>
      <w:tblGrid>
        <w:gridCol w:w="1090"/>
        <w:gridCol w:w="1126"/>
        <w:gridCol w:w="2655"/>
        <w:gridCol w:w="791"/>
        <w:gridCol w:w="2818"/>
        <w:gridCol w:w="2480"/>
      </w:tblGrid>
      <w:tr w:rsidR="00A56D20" w:rsidRPr="00A56D20" w:rsidTr="002D26EB">
        <w:trPr>
          <w:trHeight w:val="300"/>
          <w:jc w:val="center"/>
        </w:trPr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本年累计金额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1,644,399,169.61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1,637,248,262.01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682,840.76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276,401,797.01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26,266,764.53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20,694,268.82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1,339,469,355.42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7,150,907.60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6,564,192.31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323,758.99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262,956.30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226,768,622.41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103,314,272.34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10,331,427.24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103,314,272.34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16,511.38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9,479,554.60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9,479,554.60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312,584.51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1,417,630,547.20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A56D20" w:rsidRPr="00A56D20" w:rsidTr="002D26EB">
        <w:trPr>
          <w:trHeight w:val="300"/>
          <w:jc w:val="center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1,417,630,547.20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20" w:rsidRPr="00A56D20" w:rsidRDefault="00A56D20" w:rsidP="00A56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</w:tbl>
    <w:p w:rsidR="008269AB" w:rsidRDefault="008269AB" w:rsidP="00B36784">
      <w:pPr>
        <w:ind w:firstLineChars="200" w:firstLine="600"/>
        <w:rPr>
          <w:sz w:val="30"/>
          <w:szCs w:val="30"/>
        </w:rPr>
      </w:pPr>
    </w:p>
    <w:p w:rsidR="00DF2704" w:rsidRDefault="00A56D20" w:rsidP="002D26EB">
      <w:pPr>
        <w:pStyle w:val="2"/>
        <w:rPr>
          <w:sz w:val="30"/>
          <w:szCs w:val="30"/>
        </w:rPr>
      </w:pPr>
      <w:bookmarkStart w:id="9" w:name="_Toc528160357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所有者权益表</w:t>
      </w:r>
      <w:bookmarkEnd w:id="9"/>
    </w:p>
    <w:p w:rsidR="00A56D20" w:rsidRDefault="00A56D20" w:rsidP="00A56D20">
      <w:pPr>
        <w:rPr>
          <w:sz w:val="22"/>
        </w:rPr>
      </w:pPr>
      <w:r w:rsidRPr="00841896">
        <w:rPr>
          <w:rFonts w:hint="eastAsia"/>
          <w:sz w:val="22"/>
        </w:rPr>
        <w:t>会计主体：兴业银行“现金宝</w:t>
      </w:r>
      <w:r w:rsidRPr="00841896">
        <w:rPr>
          <w:rFonts w:hint="eastAsia"/>
          <w:sz w:val="22"/>
        </w:rPr>
        <w:t>-</w:t>
      </w:r>
      <w:r w:rsidRPr="00841896">
        <w:rPr>
          <w:rFonts w:hint="eastAsia"/>
          <w:sz w:val="22"/>
        </w:rPr>
        <w:t>添利</w:t>
      </w:r>
      <w:r w:rsidRPr="00841896">
        <w:rPr>
          <w:rFonts w:hint="eastAsia"/>
          <w:sz w:val="22"/>
        </w:rPr>
        <w:t>1</w:t>
      </w:r>
      <w:r w:rsidRPr="00841896">
        <w:rPr>
          <w:rFonts w:hint="eastAsia"/>
          <w:sz w:val="22"/>
        </w:rPr>
        <w:t>号”净值型理财产品</w:t>
      </w:r>
    </w:p>
    <w:p w:rsidR="00A56D20" w:rsidRDefault="00A56D20" w:rsidP="00A56D20">
      <w:pPr>
        <w:rPr>
          <w:rFonts w:asciiTheme="minorEastAsia" w:hAnsiTheme="minorEastAsia" w:cs="宋体"/>
          <w:kern w:val="0"/>
          <w:sz w:val="22"/>
        </w:rPr>
      </w:pPr>
      <w:r>
        <w:rPr>
          <w:rFonts w:hint="eastAsia"/>
          <w:sz w:val="22"/>
        </w:rPr>
        <w:t>报告截止日：</w:t>
      </w:r>
      <w:r w:rsidRPr="00580FF4">
        <w:rPr>
          <w:rFonts w:asciiTheme="minorEastAsia" w:hAnsiTheme="minorEastAsia" w:cs="宋体" w:hint="eastAsia"/>
          <w:kern w:val="0"/>
          <w:sz w:val="22"/>
        </w:rPr>
        <w:t>2018年9月30日</w:t>
      </w:r>
    </w:p>
    <w:tbl>
      <w:tblPr>
        <w:tblW w:w="11060" w:type="dxa"/>
        <w:jc w:val="center"/>
        <w:tblInd w:w="93" w:type="dxa"/>
        <w:tblLook w:val="04A0"/>
      </w:tblPr>
      <w:tblGrid>
        <w:gridCol w:w="3820"/>
        <w:gridCol w:w="2480"/>
        <w:gridCol w:w="2260"/>
        <w:gridCol w:w="2500"/>
      </w:tblGrid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2D26EB" w:rsidRPr="00F8490C" w:rsidTr="002D26EB">
        <w:trPr>
          <w:trHeight w:val="402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6EB" w:rsidRPr="00F8490C" w:rsidRDefault="002D26EB" w:rsidP="002D26E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项     目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F8490C" w:rsidRDefault="002D26EB" w:rsidP="002D26E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本期金额</w:t>
            </w:r>
          </w:p>
        </w:tc>
      </w:tr>
      <w:tr w:rsidR="002D26EB" w:rsidRPr="00F8490C" w:rsidTr="002D26EB">
        <w:trPr>
          <w:trHeight w:val="402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6EB" w:rsidRPr="00F8490C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F8490C" w:rsidRDefault="002D26EB" w:rsidP="002D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实收基金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F8490C" w:rsidRDefault="002D26EB" w:rsidP="002D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未分配利润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F8490C" w:rsidRDefault="002D26EB" w:rsidP="002D26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所有者权益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一、期初所有者权益（基金净值）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79,572,111,484.26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79,572,111,484.26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二、本期经营活动产生的基金净值变动数（本期净利润）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三、本期基金份额交易产生的基金净值变动数（净值减少以“-”号填列）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77,331,295,893.44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77,331,295,893.44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其中：1.基金申购款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604,188,933,801.16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604,188,933,801.16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       　　　2.基金</w:t>
            </w:r>
            <w:proofErr w:type="gramStart"/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-526,857,637,907.72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-526,857,637,907.72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四、本期向基金份额持有人分配利润产生的基金净值变动（净值减少以"-"号填列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-1,417,630,547.01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-1,417,630,547.01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五、期末所有者权益（基金净值）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156,903,407,377.70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-1,417,630,547.01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155,485,776,830.69 </w:t>
            </w:r>
          </w:p>
        </w:tc>
      </w:tr>
      <w:tr w:rsidR="002D26EB" w:rsidRPr="00F8490C" w:rsidTr="002D26EB">
        <w:trPr>
          <w:trHeight w:val="402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F8490C" w:rsidRDefault="002D26EB" w:rsidP="002D26E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     目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F8490C" w:rsidRDefault="002D26EB" w:rsidP="002D26E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上期金额</w:t>
            </w:r>
          </w:p>
        </w:tc>
      </w:tr>
      <w:tr w:rsidR="002D26EB" w:rsidRPr="00F8490C" w:rsidTr="002D26EB">
        <w:trPr>
          <w:trHeight w:val="402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F8490C" w:rsidRDefault="002D26EB" w:rsidP="002D26E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F8490C" w:rsidRDefault="002D26EB" w:rsidP="002D26E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实收基金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F8490C" w:rsidRDefault="002D26EB" w:rsidP="002D26E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未分配利润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F8490C" w:rsidRDefault="002D26EB" w:rsidP="002D26E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849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所有者权益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一、期初所有者权益（基金净值）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二、本期经营活动产生的基金净值变动数（本期净利润）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三、本期基金份额交易产生的基金净值变动数（净值减少以“-”号填列）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79,572,111,484.26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79,572,111,484.26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其中：1.基金申购款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434,904,462,310.13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434,904,462,310.13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2.基金</w:t>
            </w:r>
            <w:proofErr w:type="gramStart"/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-355,332,350,825.87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-355,332,350,825.87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四、本期向基金份额持有人分配利润产生的基金净值变动（净值减少以"-"号填列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-756,186,645.16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-756,186,645.16 </w:t>
            </w:r>
          </w:p>
        </w:tc>
      </w:tr>
      <w:tr w:rsidR="002D26EB" w:rsidRPr="002D26EB" w:rsidTr="002D26EB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五、期末所有者权益（基金净值）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79,572,111,484.26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-756,186,645.16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EB" w:rsidRPr="002D26EB" w:rsidRDefault="002D26EB" w:rsidP="002D2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6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78,815,924,839.10 </w:t>
            </w:r>
          </w:p>
        </w:tc>
      </w:tr>
    </w:tbl>
    <w:p w:rsidR="00A56D20" w:rsidRPr="00DF2704" w:rsidRDefault="00A56D20" w:rsidP="00B36784">
      <w:pPr>
        <w:ind w:firstLineChars="200" w:firstLine="600"/>
        <w:rPr>
          <w:sz w:val="30"/>
          <w:szCs w:val="30"/>
        </w:rPr>
      </w:pPr>
    </w:p>
    <w:p w:rsidR="001F2ACD" w:rsidRPr="00604F9C" w:rsidRDefault="001F2ACD" w:rsidP="000C651F">
      <w:pPr>
        <w:pStyle w:val="1"/>
        <w:numPr>
          <w:ilvl w:val="0"/>
          <w:numId w:val="3"/>
        </w:numPr>
        <w:rPr>
          <w:sz w:val="30"/>
          <w:szCs w:val="30"/>
        </w:rPr>
      </w:pPr>
      <w:bookmarkStart w:id="10" w:name="_Toc528160358"/>
      <w:r w:rsidRPr="00604F9C">
        <w:rPr>
          <w:rFonts w:hint="eastAsia"/>
          <w:sz w:val="30"/>
          <w:szCs w:val="30"/>
        </w:rPr>
        <w:t>投资组合情况</w:t>
      </w:r>
      <w:bookmarkEnd w:id="10"/>
    </w:p>
    <w:p w:rsidR="001F2ACD" w:rsidRDefault="007B501B" w:rsidP="00DD6C55">
      <w:pPr>
        <w:pStyle w:val="2"/>
        <w:rPr>
          <w:sz w:val="30"/>
          <w:szCs w:val="30"/>
        </w:rPr>
      </w:pPr>
      <w:bookmarkStart w:id="11" w:name="_Toc528160359"/>
      <w:r>
        <w:rPr>
          <w:rFonts w:hint="eastAsia"/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报告期末产品资产组合情况</w:t>
      </w:r>
      <w:bookmarkEnd w:id="11"/>
    </w:p>
    <w:tbl>
      <w:tblPr>
        <w:tblW w:w="6962" w:type="dxa"/>
        <w:jc w:val="center"/>
        <w:tblInd w:w="93" w:type="dxa"/>
        <w:tblLook w:val="04A0"/>
      </w:tblPr>
      <w:tblGrid>
        <w:gridCol w:w="2796"/>
        <w:gridCol w:w="2324"/>
        <w:gridCol w:w="1842"/>
      </w:tblGrid>
      <w:tr w:rsidR="00550BC4" w:rsidRPr="00550BC4" w:rsidTr="006A0F9B">
        <w:trPr>
          <w:trHeight w:val="27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50BC4" w:rsidP="00550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0B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资产类型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50BC4" w:rsidP="00550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0B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资产规模</w:t>
            </w:r>
            <w:r w:rsidR="004118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（亿元）</w:t>
            </w:r>
            <w:r w:rsidRPr="00550B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50BC4" w:rsidP="00550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0B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占总资产比例</w:t>
            </w:r>
          </w:p>
        </w:tc>
      </w:tr>
      <w:tr w:rsidR="00550BC4" w:rsidRPr="00550BC4" w:rsidTr="006A0F9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50BC4" w:rsidP="00550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银行存款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1769C2" w:rsidP="0041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50BC4" w:rsidP="001769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7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  <w:r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50BC4" w:rsidRPr="00550BC4" w:rsidTr="006A0F9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50BC4" w:rsidP="00550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DE5EE5" w:rsidP="0041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DE5EE5" w:rsidP="0041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</w:t>
            </w:r>
            <w:r w:rsidR="00550BC4"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50BC4" w:rsidRPr="00550BC4" w:rsidTr="006A0F9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50BC4" w:rsidP="00550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8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政策性金融</w:t>
            </w:r>
            <w:r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883A4F" w:rsidP="0041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883A4F" w:rsidP="0041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550BC4"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.2%</w:t>
            </w:r>
          </w:p>
        </w:tc>
      </w:tr>
      <w:tr w:rsidR="00550BC4" w:rsidRPr="00550BC4" w:rsidTr="006A0F9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41186A" w:rsidP="00550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8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="00550BC4"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</w:t>
            </w:r>
            <w:r w:rsidRPr="004118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等债务融资工具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AD2D0C" w:rsidP="005B7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5B7A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B7A75" w:rsidP="0041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29.3</w:t>
            </w:r>
            <w:r w:rsidR="00AD2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50BC4" w:rsidRPr="00550BC4" w:rsidTr="006A0F9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50BC4" w:rsidP="00550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资产支持证券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DC5710" w:rsidP="0041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DC5710" w:rsidP="0041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  <w:r w:rsidR="00550BC4"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DC5710" w:rsidRPr="00550BC4" w:rsidTr="006A0F9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10" w:rsidRPr="00550BC4" w:rsidRDefault="00DC5710" w:rsidP="00E71B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债券逆回购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10" w:rsidRDefault="00DC5710" w:rsidP="0041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10" w:rsidRDefault="00DC5710" w:rsidP="0041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15.7%</w:t>
            </w:r>
          </w:p>
        </w:tc>
      </w:tr>
      <w:tr w:rsidR="00550BC4" w:rsidRPr="00550BC4" w:rsidTr="006A0F9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50BC4" w:rsidP="00550B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其他债权类资产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50BC4" w:rsidP="00207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2076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  <w:r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B94046" w:rsidP="0041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14.1</w:t>
            </w:r>
            <w:r w:rsidR="00550BC4" w:rsidRPr="00550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50BC4" w:rsidRPr="00550BC4" w:rsidTr="006A0F9B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550BC4" w:rsidP="00550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0B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0B2D52" w:rsidP="004118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1654.19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C4" w:rsidRPr="00550BC4" w:rsidRDefault="0041186A" w:rsidP="0041186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323F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550BC4" w:rsidRDefault="00B352EF" w:rsidP="00DB17F1">
      <w:pPr>
        <w:ind w:firstLineChars="200" w:firstLine="600"/>
        <w:rPr>
          <w:bCs/>
          <w:sz w:val="30"/>
          <w:szCs w:val="30"/>
        </w:rPr>
      </w:pPr>
      <w:r w:rsidRPr="00034EB6">
        <w:rPr>
          <w:rFonts w:hint="eastAsia"/>
          <w:bCs/>
          <w:sz w:val="30"/>
          <w:szCs w:val="30"/>
        </w:rPr>
        <w:t>上述资产组合中，银行存款、同业存单、利率债等具有高流动性资产投资占比</w:t>
      </w:r>
      <w:r w:rsidR="00525364">
        <w:rPr>
          <w:rFonts w:hint="eastAsia"/>
          <w:bCs/>
          <w:sz w:val="30"/>
          <w:szCs w:val="30"/>
        </w:rPr>
        <w:t>39.7</w:t>
      </w:r>
      <w:r w:rsidR="00CD4799" w:rsidRPr="00034EB6">
        <w:rPr>
          <w:rFonts w:hint="eastAsia"/>
          <w:bCs/>
          <w:sz w:val="30"/>
          <w:szCs w:val="30"/>
        </w:rPr>
        <w:t>%</w:t>
      </w:r>
      <w:r w:rsidRPr="00034EB6">
        <w:rPr>
          <w:rFonts w:hint="eastAsia"/>
          <w:bCs/>
          <w:sz w:val="30"/>
          <w:szCs w:val="30"/>
        </w:rPr>
        <w:t>，</w:t>
      </w:r>
      <w:r w:rsidR="00CD4799" w:rsidRPr="00034EB6">
        <w:rPr>
          <w:rFonts w:hint="eastAsia"/>
          <w:bCs/>
          <w:sz w:val="30"/>
          <w:szCs w:val="30"/>
        </w:rPr>
        <w:t>符合产品协议对于本产品流动性资产最低投资比例（</w:t>
      </w:r>
      <w:r w:rsidR="00CD4799" w:rsidRPr="00034EB6">
        <w:rPr>
          <w:rFonts w:hint="eastAsia"/>
          <w:bCs/>
          <w:sz w:val="30"/>
          <w:szCs w:val="30"/>
        </w:rPr>
        <w:t>30%</w:t>
      </w:r>
      <w:r w:rsidR="00CD4799" w:rsidRPr="00034EB6">
        <w:rPr>
          <w:rFonts w:hint="eastAsia"/>
          <w:bCs/>
          <w:sz w:val="30"/>
          <w:szCs w:val="30"/>
        </w:rPr>
        <w:t>）的要求。</w:t>
      </w:r>
    </w:p>
    <w:p w:rsidR="00E9356F" w:rsidRPr="00DB17F1" w:rsidRDefault="00E9356F" w:rsidP="00DB17F1">
      <w:pPr>
        <w:ind w:firstLineChars="200" w:firstLine="600"/>
        <w:rPr>
          <w:bCs/>
          <w:sz w:val="30"/>
          <w:szCs w:val="30"/>
        </w:rPr>
      </w:pPr>
    </w:p>
    <w:p w:rsidR="007B501B" w:rsidRDefault="007B501B" w:rsidP="00DD6C55">
      <w:pPr>
        <w:pStyle w:val="2"/>
        <w:rPr>
          <w:sz w:val="30"/>
          <w:szCs w:val="30"/>
        </w:rPr>
      </w:pPr>
      <w:bookmarkStart w:id="12" w:name="_Toc528160360"/>
      <w:r>
        <w:rPr>
          <w:rFonts w:hint="eastAsia"/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报告期末</w:t>
      </w:r>
      <w:r w:rsidR="00D72610">
        <w:rPr>
          <w:rFonts w:hint="eastAsia"/>
          <w:sz w:val="30"/>
          <w:szCs w:val="30"/>
        </w:rPr>
        <w:t>杠杆</w:t>
      </w:r>
      <w:r>
        <w:rPr>
          <w:rFonts w:hint="eastAsia"/>
          <w:sz w:val="30"/>
          <w:szCs w:val="30"/>
        </w:rPr>
        <w:t>融资情况</w:t>
      </w:r>
      <w:bookmarkEnd w:id="12"/>
    </w:p>
    <w:tbl>
      <w:tblPr>
        <w:tblW w:w="6940" w:type="dxa"/>
        <w:jc w:val="center"/>
        <w:tblInd w:w="93" w:type="dxa"/>
        <w:tblLook w:val="04A0"/>
      </w:tblPr>
      <w:tblGrid>
        <w:gridCol w:w="3060"/>
        <w:gridCol w:w="1560"/>
        <w:gridCol w:w="2320"/>
      </w:tblGrid>
      <w:tr w:rsidR="00934839" w:rsidRPr="00934839" w:rsidTr="00934839">
        <w:trPr>
          <w:trHeight w:val="2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39" w:rsidRPr="00934839" w:rsidRDefault="00934839" w:rsidP="009348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83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39" w:rsidRPr="00934839" w:rsidRDefault="00934839" w:rsidP="009348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83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金额（亿元）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39" w:rsidRPr="00934839" w:rsidRDefault="00934839" w:rsidP="009348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83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占净资产比例</w:t>
            </w:r>
          </w:p>
        </w:tc>
      </w:tr>
      <w:tr w:rsidR="00934839" w:rsidRPr="00934839" w:rsidTr="00934839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39" w:rsidRPr="00934839" w:rsidRDefault="00934839" w:rsidP="00934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报告期末债券回购融资余额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39" w:rsidRPr="00934839" w:rsidRDefault="00EF66DE" w:rsidP="00934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39" w:rsidRPr="00934839" w:rsidRDefault="00EF66DE" w:rsidP="00934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</w:t>
            </w:r>
            <w:r w:rsidR="00934839" w:rsidRPr="009348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</w:tbl>
    <w:p w:rsidR="004B57EF" w:rsidRDefault="002E53B1" w:rsidP="00DB17F1">
      <w:pPr>
        <w:ind w:firstLineChars="200" w:firstLine="600"/>
        <w:rPr>
          <w:sz w:val="30"/>
          <w:szCs w:val="30"/>
        </w:rPr>
      </w:pPr>
      <w:r w:rsidRPr="00F307C3">
        <w:rPr>
          <w:sz w:val="30"/>
          <w:szCs w:val="30"/>
        </w:rPr>
        <w:t>报告期内本</w:t>
      </w:r>
      <w:r w:rsidRPr="00F307C3">
        <w:rPr>
          <w:rFonts w:hint="eastAsia"/>
          <w:sz w:val="30"/>
          <w:szCs w:val="30"/>
        </w:rPr>
        <w:t>产品</w:t>
      </w:r>
      <w:r w:rsidR="00B839B2" w:rsidRPr="00F307C3">
        <w:rPr>
          <w:rFonts w:hint="eastAsia"/>
          <w:sz w:val="30"/>
          <w:szCs w:val="30"/>
        </w:rPr>
        <w:t>债券回购融资余额未超过净资产规模的</w:t>
      </w:r>
      <w:r w:rsidR="00B839B2" w:rsidRPr="00F307C3">
        <w:rPr>
          <w:rFonts w:hint="eastAsia"/>
          <w:sz w:val="30"/>
          <w:szCs w:val="30"/>
        </w:rPr>
        <w:t>40%</w:t>
      </w:r>
      <w:r w:rsidR="002979A4" w:rsidRPr="00F307C3">
        <w:rPr>
          <w:rFonts w:hint="eastAsia"/>
          <w:sz w:val="30"/>
          <w:szCs w:val="30"/>
        </w:rPr>
        <w:t>，</w:t>
      </w:r>
      <w:r w:rsidR="00BF55F4" w:rsidRPr="00F307C3">
        <w:rPr>
          <w:rFonts w:hint="eastAsia"/>
          <w:sz w:val="30"/>
          <w:szCs w:val="30"/>
        </w:rPr>
        <w:t>本产品</w:t>
      </w:r>
      <w:r w:rsidRPr="00F307C3">
        <w:rPr>
          <w:rFonts w:hint="eastAsia"/>
          <w:sz w:val="30"/>
          <w:szCs w:val="30"/>
        </w:rPr>
        <w:t>总资产未超过该产品净资产</w:t>
      </w:r>
      <w:r w:rsidR="002979A4" w:rsidRPr="00F307C3">
        <w:rPr>
          <w:rFonts w:hint="eastAsia"/>
          <w:sz w:val="30"/>
          <w:szCs w:val="30"/>
        </w:rPr>
        <w:t>规模</w:t>
      </w:r>
      <w:r w:rsidRPr="00F307C3">
        <w:rPr>
          <w:rFonts w:hint="eastAsia"/>
          <w:sz w:val="30"/>
          <w:szCs w:val="30"/>
        </w:rPr>
        <w:t>的</w:t>
      </w:r>
      <w:r w:rsidRPr="00F307C3">
        <w:rPr>
          <w:rFonts w:hint="eastAsia"/>
          <w:sz w:val="30"/>
          <w:szCs w:val="30"/>
        </w:rPr>
        <w:t>140%</w:t>
      </w:r>
      <w:r w:rsidR="002979A4" w:rsidRPr="00F307C3">
        <w:rPr>
          <w:rFonts w:hint="eastAsia"/>
          <w:sz w:val="30"/>
          <w:szCs w:val="30"/>
        </w:rPr>
        <w:t>，符合产品协议对本产品杠杆比例的要求。</w:t>
      </w:r>
    </w:p>
    <w:p w:rsidR="00DF765A" w:rsidRDefault="00DF765A" w:rsidP="00DD6C55">
      <w:pPr>
        <w:pStyle w:val="2"/>
        <w:rPr>
          <w:sz w:val="30"/>
          <w:szCs w:val="30"/>
        </w:rPr>
      </w:pPr>
      <w:bookmarkStart w:id="13" w:name="_Toc528160361"/>
      <w:r>
        <w:rPr>
          <w:rFonts w:hint="eastAsia"/>
          <w:sz w:val="30"/>
          <w:szCs w:val="30"/>
        </w:rPr>
        <w:t>3.</w:t>
      </w:r>
      <w:r w:rsidR="003B28B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报告期末资产持仓前</w:t>
      </w:r>
      <w:proofErr w:type="gramStart"/>
      <w:r>
        <w:rPr>
          <w:rFonts w:hint="eastAsia"/>
          <w:sz w:val="30"/>
          <w:szCs w:val="30"/>
        </w:rPr>
        <w:t>十基本</w:t>
      </w:r>
      <w:proofErr w:type="gramEnd"/>
      <w:r>
        <w:rPr>
          <w:rFonts w:hint="eastAsia"/>
          <w:sz w:val="30"/>
          <w:szCs w:val="30"/>
        </w:rPr>
        <w:t>信息</w:t>
      </w:r>
      <w:bookmarkEnd w:id="13"/>
    </w:p>
    <w:tbl>
      <w:tblPr>
        <w:tblW w:w="7580" w:type="dxa"/>
        <w:jc w:val="center"/>
        <w:tblInd w:w="93" w:type="dxa"/>
        <w:tblLook w:val="04A0"/>
      </w:tblPr>
      <w:tblGrid>
        <w:gridCol w:w="1764"/>
        <w:gridCol w:w="2136"/>
        <w:gridCol w:w="2600"/>
        <w:gridCol w:w="1080"/>
      </w:tblGrid>
      <w:tr w:rsidR="002B2598" w:rsidRPr="002B2598" w:rsidTr="002B2598">
        <w:trPr>
          <w:trHeight w:val="27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资产类型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资产规模（份）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占比</w:t>
            </w:r>
          </w:p>
        </w:tc>
      </w:tr>
      <w:tr w:rsidR="002B2598" w:rsidRPr="002B2598" w:rsidTr="002B2598">
        <w:trPr>
          <w:trHeight w:val="27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债券逆回购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25,441,354,130.00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16.55%</w:t>
            </w:r>
          </w:p>
        </w:tc>
      </w:tr>
      <w:tr w:rsidR="002B2598" w:rsidRPr="002B2598" w:rsidTr="002B2598">
        <w:trPr>
          <w:trHeight w:val="27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政策性金融债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6,500,000,000.00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4.16%</w:t>
            </w:r>
          </w:p>
        </w:tc>
      </w:tr>
      <w:tr w:rsidR="002B2598" w:rsidRPr="002B2598" w:rsidTr="002B2598">
        <w:trPr>
          <w:trHeight w:val="81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银行存款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</w:t>
            </w:r>
            <w:proofErr w:type="gramEnd"/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信托-盈同宝系列（约期）单一资金信托计划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5,400,000,000.00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3.44%</w:t>
            </w:r>
          </w:p>
        </w:tc>
      </w:tr>
      <w:tr w:rsidR="002B2598" w:rsidRPr="002B2598" w:rsidTr="002B2598">
        <w:trPr>
          <w:trHeight w:val="27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政策性金融债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5,400,000,000.00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3.45%</w:t>
            </w:r>
          </w:p>
        </w:tc>
      </w:tr>
      <w:tr w:rsidR="002B2598" w:rsidRPr="002B2598" w:rsidTr="002B2598">
        <w:trPr>
          <w:trHeight w:val="27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政策性金融债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5,000,000,000.00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3.19%</w:t>
            </w:r>
          </w:p>
        </w:tc>
      </w:tr>
      <w:tr w:rsidR="002B2598" w:rsidRPr="002B2598" w:rsidTr="002B2598">
        <w:trPr>
          <w:trHeight w:val="27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政策性金融债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4,500,000,000.00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2.89%</w:t>
            </w:r>
          </w:p>
        </w:tc>
      </w:tr>
      <w:tr w:rsidR="002B2598" w:rsidRPr="002B2598" w:rsidTr="002B2598">
        <w:trPr>
          <w:trHeight w:val="27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政策性金融债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4,400,000,000.00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2.82%</w:t>
            </w:r>
          </w:p>
        </w:tc>
      </w:tr>
      <w:tr w:rsidR="002B2598" w:rsidRPr="002B2598" w:rsidTr="002B2598">
        <w:trPr>
          <w:trHeight w:val="27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政策性金融债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18农发09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3,330,000,000.00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2.15%</w:t>
            </w:r>
          </w:p>
        </w:tc>
      </w:tr>
      <w:tr w:rsidR="002B2598" w:rsidRPr="002B2598" w:rsidTr="002B2598">
        <w:trPr>
          <w:trHeight w:val="27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政策性金融债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3,100,000,000.00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1.98%</w:t>
            </w:r>
          </w:p>
        </w:tc>
      </w:tr>
      <w:tr w:rsidR="002B2598" w:rsidRPr="002B2598" w:rsidTr="002B2598">
        <w:trPr>
          <w:trHeight w:val="27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政策性金融债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18进出04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598" w:rsidRPr="002B2598" w:rsidRDefault="002B2598" w:rsidP="002B2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2,880,000,000.00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598" w:rsidRPr="002B2598" w:rsidRDefault="002B259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1.86%</w:t>
            </w:r>
          </w:p>
        </w:tc>
      </w:tr>
    </w:tbl>
    <w:p w:rsidR="000C651F" w:rsidRDefault="000C651F" w:rsidP="00DF765A">
      <w:pPr>
        <w:rPr>
          <w:sz w:val="30"/>
          <w:szCs w:val="30"/>
        </w:rPr>
      </w:pPr>
    </w:p>
    <w:p w:rsidR="000C651F" w:rsidRDefault="000C651F" w:rsidP="00DF765A">
      <w:pPr>
        <w:rPr>
          <w:sz w:val="30"/>
          <w:szCs w:val="30"/>
        </w:rPr>
      </w:pPr>
    </w:p>
    <w:p w:rsidR="000C651F" w:rsidRPr="00580FF4" w:rsidRDefault="000C651F" w:rsidP="000C651F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0C651F" w:rsidRPr="00580FF4" w:rsidRDefault="000C651F" w:rsidP="000C651F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2018年10月23日</w:t>
      </w:r>
    </w:p>
    <w:p w:rsidR="00DF765A" w:rsidRPr="000C651F" w:rsidRDefault="00DF765A" w:rsidP="00DF765A">
      <w:pPr>
        <w:rPr>
          <w:sz w:val="30"/>
          <w:szCs w:val="30"/>
        </w:rPr>
      </w:pPr>
    </w:p>
    <w:sectPr w:rsidR="00DF765A" w:rsidRPr="000C651F" w:rsidSect="00E4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8D" w:rsidRDefault="00316D8D" w:rsidP="00E42B11">
      <w:r>
        <w:separator/>
      </w:r>
    </w:p>
  </w:endnote>
  <w:endnote w:type="continuationSeparator" w:id="0">
    <w:p w:rsidR="00316D8D" w:rsidRDefault="00316D8D" w:rsidP="00E4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8D" w:rsidRDefault="00316D8D" w:rsidP="00E42B11">
      <w:r>
        <w:separator/>
      </w:r>
    </w:p>
  </w:footnote>
  <w:footnote w:type="continuationSeparator" w:id="0">
    <w:p w:rsidR="00316D8D" w:rsidRDefault="00316D8D" w:rsidP="00E42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C0D"/>
    <w:multiLevelType w:val="hybridMultilevel"/>
    <w:tmpl w:val="7BEEB966"/>
    <w:lvl w:ilvl="0" w:tplc="AF6A1F26">
      <w:start w:val="1"/>
      <w:numFmt w:val="japaneseCounting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172B18"/>
    <w:multiLevelType w:val="hybridMultilevel"/>
    <w:tmpl w:val="8AC63908"/>
    <w:lvl w:ilvl="0" w:tplc="0C18667E">
      <w:start w:val="1"/>
      <w:numFmt w:val="japaneseCounting"/>
      <w:lvlText w:val="%1．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05F4D"/>
    <w:multiLevelType w:val="hybridMultilevel"/>
    <w:tmpl w:val="27A2D398"/>
    <w:lvl w:ilvl="0" w:tplc="69F65E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B11"/>
    <w:rsid w:val="00026241"/>
    <w:rsid w:val="00034EB6"/>
    <w:rsid w:val="000447A7"/>
    <w:rsid w:val="00067D54"/>
    <w:rsid w:val="00076FD4"/>
    <w:rsid w:val="000775FC"/>
    <w:rsid w:val="000A20E0"/>
    <w:rsid w:val="000B2D52"/>
    <w:rsid w:val="000C651F"/>
    <w:rsid w:val="000E146D"/>
    <w:rsid w:val="001123E8"/>
    <w:rsid w:val="0016001C"/>
    <w:rsid w:val="001610B6"/>
    <w:rsid w:val="00165214"/>
    <w:rsid w:val="001769C2"/>
    <w:rsid w:val="00180842"/>
    <w:rsid w:val="0018246E"/>
    <w:rsid w:val="001D2F7A"/>
    <w:rsid w:val="001F1BB1"/>
    <w:rsid w:val="001F1FC7"/>
    <w:rsid w:val="001F2ACD"/>
    <w:rsid w:val="001F7B76"/>
    <w:rsid w:val="0020760D"/>
    <w:rsid w:val="002245B7"/>
    <w:rsid w:val="00265805"/>
    <w:rsid w:val="002979A4"/>
    <w:rsid w:val="002A28C4"/>
    <w:rsid w:val="002B2598"/>
    <w:rsid w:val="002B5EE3"/>
    <w:rsid w:val="002D26EB"/>
    <w:rsid w:val="002E53B1"/>
    <w:rsid w:val="002E79A4"/>
    <w:rsid w:val="00316D8D"/>
    <w:rsid w:val="003323FF"/>
    <w:rsid w:val="00347423"/>
    <w:rsid w:val="003524F8"/>
    <w:rsid w:val="003B28B8"/>
    <w:rsid w:val="003B3D31"/>
    <w:rsid w:val="003C6D13"/>
    <w:rsid w:val="003D1418"/>
    <w:rsid w:val="003E08B4"/>
    <w:rsid w:val="0040702C"/>
    <w:rsid w:val="0041186A"/>
    <w:rsid w:val="00416ECC"/>
    <w:rsid w:val="00430AE5"/>
    <w:rsid w:val="00480C55"/>
    <w:rsid w:val="004A59D4"/>
    <w:rsid w:val="004B01BE"/>
    <w:rsid w:val="004B11FA"/>
    <w:rsid w:val="004B57EF"/>
    <w:rsid w:val="00504FE1"/>
    <w:rsid w:val="00525364"/>
    <w:rsid w:val="00527CDB"/>
    <w:rsid w:val="00535C36"/>
    <w:rsid w:val="00545CE3"/>
    <w:rsid w:val="00550BC4"/>
    <w:rsid w:val="00557F6B"/>
    <w:rsid w:val="00565E65"/>
    <w:rsid w:val="005978D1"/>
    <w:rsid w:val="005B583E"/>
    <w:rsid w:val="005B7A75"/>
    <w:rsid w:val="00604F9C"/>
    <w:rsid w:val="00616CAD"/>
    <w:rsid w:val="006300D0"/>
    <w:rsid w:val="00630450"/>
    <w:rsid w:val="00632F7D"/>
    <w:rsid w:val="00634D0A"/>
    <w:rsid w:val="006358D5"/>
    <w:rsid w:val="00660FDC"/>
    <w:rsid w:val="00682D6D"/>
    <w:rsid w:val="00692C11"/>
    <w:rsid w:val="006A0F9B"/>
    <w:rsid w:val="006A5F01"/>
    <w:rsid w:val="006B1D7F"/>
    <w:rsid w:val="006B61CA"/>
    <w:rsid w:val="006C7B48"/>
    <w:rsid w:val="007225B3"/>
    <w:rsid w:val="0073787C"/>
    <w:rsid w:val="00765D1B"/>
    <w:rsid w:val="00777D87"/>
    <w:rsid w:val="00787C85"/>
    <w:rsid w:val="007B2180"/>
    <w:rsid w:val="007B501B"/>
    <w:rsid w:val="008269AB"/>
    <w:rsid w:val="00833046"/>
    <w:rsid w:val="00841896"/>
    <w:rsid w:val="00845254"/>
    <w:rsid w:val="00883A4F"/>
    <w:rsid w:val="008B151B"/>
    <w:rsid w:val="008B6D9D"/>
    <w:rsid w:val="008F470E"/>
    <w:rsid w:val="00921320"/>
    <w:rsid w:val="00934839"/>
    <w:rsid w:val="009775C0"/>
    <w:rsid w:val="009D311D"/>
    <w:rsid w:val="009D6CCE"/>
    <w:rsid w:val="009F14C0"/>
    <w:rsid w:val="009F3A99"/>
    <w:rsid w:val="009F415C"/>
    <w:rsid w:val="009F585F"/>
    <w:rsid w:val="00A50646"/>
    <w:rsid w:val="00A56D20"/>
    <w:rsid w:val="00A7613E"/>
    <w:rsid w:val="00A86F3C"/>
    <w:rsid w:val="00AA3989"/>
    <w:rsid w:val="00AC0AFF"/>
    <w:rsid w:val="00AD2D0C"/>
    <w:rsid w:val="00AE0DB4"/>
    <w:rsid w:val="00B335AF"/>
    <w:rsid w:val="00B352EF"/>
    <w:rsid w:val="00B36784"/>
    <w:rsid w:val="00B46C37"/>
    <w:rsid w:val="00B5163B"/>
    <w:rsid w:val="00B82B81"/>
    <w:rsid w:val="00B839B2"/>
    <w:rsid w:val="00B8437C"/>
    <w:rsid w:val="00B94046"/>
    <w:rsid w:val="00B95A73"/>
    <w:rsid w:val="00BC36F4"/>
    <w:rsid w:val="00BF55F4"/>
    <w:rsid w:val="00C14AEA"/>
    <w:rsid w:val="00C21680"/>
    <w:rsid w:val="00C40A6B"/>
    <w:rsid w:val="00C50155"/>
    <w:rsid w:val="00C86A89"/>
    <w:rsid w:val="00C873F1"/>
    <w:rsid w:val="00C9676B"/>
    <w:rsid w:val="00CB36F1"/>
    <w:rsid w:val="00CC04CB"/>
    <w:rsid w:val="00CD4799"/>
    <w:rsid w:val="00D04288"/>
    <w:rsid w:val="00D05884"/>
    <w:rsid w:val="00D160E5"/>
    <w:rsid w:val="00D437B8"/>
    <w:rsid w:val="00D6033F"/>
    <w:rsid w:val="00D72610"/>
    <w:rsid w:val="00D957E4"/>
    <w:rsid w:val="00DA0767"/>
    <w:rsid w:val="00DB17F1"/>
    <w:rsid w:val="00DC347E"/>
    <w:rsid w:val="00DC3C80"/>
    <w:rsid w:val="00DC5710"/>
    <w:rsid w:val="00DD6476"/>
    <w:rsid w:val="00DD6C55"/>
    <w:rsid w:val="00DE5EE5"/>
    <w:rsid w:val="00DF2704"/>
    <w:rsid w:val="00DF6B41"/>
    <w:rsid w:val="00DF765A"/>
    <w:rsid w:val="00E35A7D"/>
    <w:rsid w:val="00E42B11"/>
    <w:rsid w:val="00E44B19"/>
    <w:rsid w:val="00E46765"/>
    <w:rsid w:val="00E71B61"/>
    <w:rsid w:val="00E73C20"/>
    <w:rsid w:val="00E82255"/>
    <w:rsid w:val="00E9356F"/>
    <w:rsid w:val="00EA4F76"/>
    <w:rsid w:val="00ED0764"/>
    <w:rsid w:val="00ED4904"/>
    <w:rsid w:val="00ED7259"/>
    <w:rsid w:val="00EF66DE"/>
    <w:rsid w:val="00F133DC"/>
    <w:rsid w:val="00F21DEB"/>
    <w:rsid w:val="00F25B10"/>
    <w:rsid w:val="00F307C3"/>
    <w:rsid w:val="00F530D6"/>
    <w:rsid w:val="00F7783B"/>
    <w:rsid w:val="00F8490C"/>
    <w:rsid w:val="00FB2CE7"/>
    <w:rsid w:val="00FD0B11"/>
    <w:rsid w:val="00FD57E3"/>
    <w:rsid w:val="00FE1CE8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1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F76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18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B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B1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42B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42B11"/>
  </w:style>
  <w:style w:type="paragraph" w:styleId="a6">
    <w:name w:val="Balloon Text"/>
    <w:basedOn w:val="a"/>
    <w:link w:val="Char2"/>
    <w:uiPriority w:val="99"/>
    <w:semiHidden/>
    <w:unhideWhenUsed/>
    <w:rsid w:val="00ED076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D076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F765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418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Document Map"/>
    <w:basedOn w:val="a"/>
    <w:link w:val="Char3"/>
    <w:uiPriority w:val="99"/>
    <w:semiHidden/>
    <w:unhideWhenUsed/>
    <w:rsid w:val="008269AB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7"/>
    <w:uiPriority w:val="99"/>
    <w:semiHidden/>
    <w:rsid w:val="008269AB"/>
    <w:rPr>
      <w:rFonts w:ascii="宋体" w:eastAsia="宋体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3B28B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3B28B8"/>
  </w:style>
  <w:style w:type="paragraph" w:styleId="20">
    <w:name w:val="toc 2"/>
    <w:basedOn w:val="a"/>
    <w:next w:val="a"/>
    <w:autoRedefine/>
    <w:uiPriority w:val="39"/>
    <w:unhideWhenUsed/>
    <w:qFormat/>
    <w:rsid w:val="003B28B8"/>
    <w:pPr>
      <w:ind w:leftChars="200" w:left="420"/>
    </w:pPr>
  </w:style>
  <w:style w:type="character" w:styleId="a8">
    <w:name w:val="Hyperlink"/>
    <w:basedOn w:val="a0"/>
    <w:uiPriority w:val="99"/>
    <w:unhideWhenUsed/>
    <w:rsid w:val="003B28B8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B28B8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9616;&#37329;&#23453;-&#28155;&#21033;1&#21495;\&#36816;&#20316;&#25253;&#21578;\tem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lineChart>
        <c:grouping val="standard"/>
        <c:ser>
          <c:idx val="0"/>
          <c:order val="0"/>
          <c:tx>
            <c:strRef>
              <c:f>Sheet2!$B$1</c:f>
              <c:strCache>
                <c:ptCount val="1"/>
                <c:pt idx="0">
                  <c:v>七日年化收益率</c:v>
                </c:pt>
              </c:strCache>
            </c:strRef>
          </c:tx>
          <c:marker>
            <c:symbol val="none"/>
          </c:marker>
          <c:cat>
            <c:numRef>
              <c:f>Sheet2!$A$2:$A$93</c:f>
              <c:numCache>
                <c:formatCode>yyyy/m/d</c:formatCode>
                <c:ptCount val="92"/>
                <c:pt idx="0">
                  <c:v>43282</c:v>
                </c:pt>
                <c:pt idx="1">
                  <c:v>43283</c:v>
                </c:pt>
                <c:pt idx="2">
                  <c:v>43284</c:v>
                </c:pt>
                <c:pt idx="3">
                  <c:v>43285</c:v>
                </c:pt>
                <c:pt idx="4">
                  <c:v>43286</c:v>
                </c:pt>
                <c:pt idx="5">
                  <c:v>43287</c:v>
                </c:pt>
                <c:pt idx="6">
                  <c:v>43288</c:v>
                </c:pt>
                <c:pt idx="7">
                  <c:v>43289</c:v>
                </c:pt>
                <c:pt idx="8">
                  <c:v>43290</c:v>
                </c:pt>
                <c:pt idx="9">
                  <c:v>43291</c:v>
                </c:pt>
                <c:pt idx="10">
                  <c:v>43292</c:v>
                </c:pt>
                <c:pt idx="11">
                  <c:v>43293</c:v>
                </c:pt>
                <c:pt idx="12">
                  <c:v>43294</c:v>
                </c:pt>
                <c:pt idx="13">
                  <c:v>43295</c:v>
                </c:pt>
                <c:pt idx="14">
                  <c:v>43296</c:v>
                </c:pt>
                <c:pt idx="15">
                  <c:v>43297</c:v>
                </c:pt>
                <c:pt idx="16">
                  <c:v>43298</c:v>
                </c:pt>
                <c:pt idx="17">
                  <c:v>43299</c:v>
                </c:pt>
                <c:pt idx="18">
                  <c:v>43300</c:v>
                </c:pt>
                <c:pt idx="19">
                  <c:v>43301</c:v>
                </c:pt>
                <c:pt idx="20">
                  <c:v>43302</c:v>
                </c:pt>
                <c:pt idx="21">
                  <c:v>43303</c:v>
                </c:pt>
                <c:pt idx="22">
                  <c:v>43304</c:v>
                </c:pt>
                <c:pt idx="23">
                  <c:v>43305</c:v>
                </c:pt>
                <c:pt idx="24">
                  <c:v>43306</c:v>
                </c:pt>
                <c:pt idx="25">
                  <c:v>43307</c:v>
                </c:pt>
                <c:pt idx="26">
                  <c:v>43308</c:v>
                </c:pt>
                <c:pt idx="27">
                  <c:v>43309</c:v>
                </c:pt>
                <c:pt idx="28">
                  <c:v>43310</c:v>
                </c:pt>
                <c:pt idx="29">
                  <c:v>43311</c:v>
                </c:pt>
                <c:pt idx="30">
                  <c:v>43312</c:v>
                </c:pt>
                <c:pt idx="31">
                  <c:v>43313</c:v>
                </c:pt>
                <c:pt idx="32">
                  <c:v>43314</c:v>
                </c:pt>
                <c:pt idx="33">
                  <c:v>43315</c:v>
                </c:pt>
                <c:pt idx="34">
                  <c:v>43316</c:v>
                </c:pt>
                <c:pt idx="35">
                  <c:v>43317</c:v>
                </c:pt>
                <c:pt idx="36">
                  <c:v>43318</c:v>
                </c:pt>
                <c:pt idx="37">
                  <c:v>43319</c:v>
                </c:pt>
                <c:pt idx="38">
                  <c:v>43320</c:v>
                </c:pt>
                <c:pt idx="39">
                  <c:v>43321</c:v>
                </c:pt>
                <c:pt idx="40">
                  <c:v>43322</c:v>
                </c:pt>
                <c:pt idx="41">
                  <c:v>43323</c:v>
                </c:pt>
                <c:pt idx="42">
                  <c:v>43324</c:v>
                </c:pt>
                <c:pt idx="43">
                  <c:v>43325</c:v>
                </c:pt>
                <c:pt idx="44">
                  <c:v>43326</c:v>
                </c:pt>
                <c:pt idx="45">
                  <c:v>43327</c:v>
                </c:pt>
                <c:pt idx="46">
                  <c:v>43328</c:v>
                </c:pt>
                <c:pt idx="47">
                  <c:v>43329</c:v>
                </c:pt>
                <c:pt idx="48">
                  <c:v>43330</c:v>
                </c:pt>
                <c:pt idx="49">
                  <c:v>43331</c:v>
                </c:pt>
                <c:pt idx="50">
                  <c:v>43332</c:v>
                </c:pt>
                <c:pt idx="51">
                  <c:v>43333</c:v>
                </c:pt>
                <c:pt idx="52">
                  <c:v>43334</c:v>
                </c:pt>
                <c:pt idx="53">
                  <c:v>43335</c:v>
                </c:pt>
                <c:pt idx="54">
                  <c:v>43336</c:v>
                </c:pt>
                <c:pt idx="55">
                  <c:v>43337</c:v>
                </c:pt>
                <c:pt idx="56">
                  <c:v>43338</c:v>
                </c:pt>
                <c:pt idx="57">
                  <c:v>43339</c:v>
                </c:pt>
                <c:pt idx="58">
                  <c:v>43340</c:v>
                </c:pt>
                <c:pt idx="59">
                  <c:v>43341</c:v>
                </c:pt>
                <c:pt idx="60">
                  <c:v>43342</c:v>
                </c:pt>
                <c:pt idx="61">
                  <c:v>43343</c:v>
                </c:pt>
                <c:pt idx="62">
                  <c:v>43344</c:v>
                </c:pt>
                <c:pt idx="63">
                  <c:v>43345</c:v>
                </c:pt>
                <c:pt idx="64">
                  <c:v>43346</c:v>
                </c:pt>
                <c:pt idx="65">
                  <c:v>43347</c:v>
                </c:pt>
                <c:pt idx="66">
                  <c:v>43348</c:v>
                </c:pt>
                <c:pt idx="67">
                  <c:v>43349</c:v>
                </c:pt>
                <c:pt idx="68">
                  <c:v>43350</c:v>
                </c:pt>
                <c:pt idx="69">
                  <c:v>43351</c:v>
                </c:pt>
                <c:pt idx="70">
                  <c:v>43352</c:v>
                </c:pt>
                <c:pt idx="71">
                  <c:v>43353</c:v>
                </c:pt>
                <c:pt idx="72">
                  <c:v>43354</c:v>
                </c:pt>
                <c:pt idx="73">
                  <c:v>43355</c:v>
                </c:pt>
                <c:pt idx="74">
                  <c:v>43356</c:v>
                </c:pt>
                <c:pt idx="75">
                  <c:v>43357</c:v>
                </c:pt>
                <c:pt idx="76">
                  <c:v>43358</c:v>
                </c:pt>
                <c:pt idx="77">
                  <c:v>43359</c:v>
                </c:pt>
                <c:pt idx="78">
                  <c:v>43360</c:v>
                </c:pt>
                <c:pt idx="79">
                  <c:v>43361</c:v>
                </c:pt>
                <c:pt idx="80">
                  <c:v>43362</c:v>
                </c:pt>
                <c:pt idx="81">
                  <c:v>43363</c:v>
                </c:pt>
                <c:pt idx="82">
                  <c:v>43364</c:v>
                </c:pt>
                <c:pt idx="83">
                  <c:v>43365</c:v>
                </c:pt>
                <c:pt idx="84">
                  <c:v>43366</c:v>
                </c:pt>
                <c:pt idx="85">
                  <c:v>43367</c:v>
                </c:pt>
                <c:pt idx="86">
                  <c:v>43368</c:v>
                </c:pt>
                <c:pt idx="87">
                  <c:v>43369</c:v>
                </c:pt>
                <c:pt idx="88">
                  <c:v>43370</c:v>
                </c:pt>
                <c:pt idx="89">
                  <c:v>43371</c:v>
                </c:pt>
                <c:pt idx="90">
                  <c:v>43372</c:v>
                </c:pt>
                <c:pt idx="91">
                  <c:v>43373</c:v>
                </c:pt>
              </c:numCache>
            </c:numRef>
          </c:cat>
          <c:val>
            <c:numRef>
              <c:f>Sheet2!$B$2:$B$93</c:f>
              <c:numCache>
                <c:formatCode>0.0000%</c:formatCode>
                <c:ptCount val="92"/>
                <c:pt idx="0">
                  <c:v>4.9010000000000109E-2</c:v>
                </c:pt>
                <c:pt idx="1">
                  <c:v>4.9160000000000093E-2</c:v>
                </c:pt>
                <c:pt idx="2">
                  <c:v>4.9300000000000094E-2</c:v>
                </c:pt>
                <c:pt idx="3">
                  <c:v>4.9420000000000033E-2</c:v>
                </c:pt>
                <c:pt idx="4">
                  <c:v>4.4410000000000109E-2</c:v>
                </c:pt>
                <c:pt idx="5">
                  <c:v>4.3979999999999977E-2</c:v>
                </c:pt>
                <c:pt idx="6">
                  <c:v>4.3409999999999997E-2</c:v>
                </c:pt>
                <c:pt idx="7">
                  <c:v>4.2840000000000003E-2</c:v>
                </c:pt>
                <c:pt idx="8">
                  <c:v>4.2710000000000109E-2</c:v>
                </c:pt>
                <c:pt idx="9">
                  <c:v>4.2700000000000078E-2</c:v>
                </c:pt>
                <c:pt idx="10">
                  <c:v>4.2560000000000014E-2</c:v>
                </c:pt>
                <c:pt idx="11">
                  <c:v>4.2500000000000003E-2</c:v>
                </c:pt>
                <c:pt idx="12">
                  <c:v>4.2549999999999998E-2</c:v>
                </c:pt>
                <c:pt idx="13">
                  <c:v>4.2580000000000014E-2</c:v>
                </c:pt>
                <c:pt idx="14">
                  <c:v>4.2619999999999998E-2</c:v>
                </c:pt>
                <c:pt idx="15">
                  <c:v>4.2639999999999997E-2</c:v>
                </c:pt>
                <c:pt idx="16">
                  <c:v>4.2680000000000003E-2</c:v>
                </c:pt>
                <c:pt idx="17">
                  <c:v>4.2680000000000003E-2</c:v>
                </c:pt>
                <c:pt idx="18">
                  <c:v>4.2680000000000003E-2</c:v>
                </c:pt>
                <c:pt idx="19">
                  <c:v>4.265E-2</c:v>
                </c:pt>
                <c:pt idx="20">
                  <c:v>4.2630000000000001E-2</c:v>
                </c:pt>
                <c:pt idx="21">
                  <c:v>4.2610000000000023E-2</c:v>
                </c:pt>
                <c:pt idx="22">
                  <c:v>4.2580000000000014E-2</c:v>
                </c:pt>
                <c:pt idx="23">
                  <c:v>4.2529999999999998E-2</c:v>
                </c:pt>
                <c:pt idx="24">
                  <c:v>4.2500000000000003E-2</c:v>
                </c:pt>
                <c:pt idx="25">
                  <c:v>4.2500000000000003E-2</c:v>
                </c:pt>
                <c:pt idx="26">
                  <c:v>4.2610000000000023E-2</c:v>
                </c:pt>
                <c:pt idx="27">
                  <c:v>4.2590000000000024E-2</c:v>
                </c:pt>
                <c:pt idx="28">
                  <c:v>4.2570000000000004E-2</c:v>
                </c:pt>
                <c:pt idx="29">
                  <c:v>4.2570000000000004E-2</c:v>
                </c:pt>
                <c:pt idx="30">
                  <c:v>4.2590000000000024E-2</c:v>
                </c:pt>
                <c:pt idx="31">
                  <c:v>4.2630000000000001E-2</c:v>
                </c:pt>
                <c:pt idx="32">
                  <c:v>4.2619999999999998E-2</c:v>
                </c:pt>
                <c:pt idx="33">
                  <c:v>4.2509999999999999E-2</c:v>
                </c:pt>
                <c:pt idx="34">
                  <c:v>4.2520000000000002E-2</c:v>
                </c:pt>
                <c:pt idx="35">
                  <c:v>4.2529999999999998E-2</c:v>
                </c:pt>
                <c:pt idx="36">
                  <c:v>4.2520000000000002E-2</c:v>
                </c:pt>
                <c:pt idx="37">
                  <c:v>4.2479999999999997E-2</c:v>
                </c:pt>
                <c:pt idx="38">
                  <c:v>4.2420000000000013E-2</c:v>
                </c:pt>
                <c:pt idx="39">
                  <c:v>4.2390000000000094E-2</c:v>
                </c:pt>
                <c:pt idx="40">
                  <c:v>4.2370000000000012E-2</c:v>
                </c:pt>
                <c:pt idx="41">
                  <c:v>4.2360000000000099E-2</c:v>
                </c:pt>
                <c:pt idx="42">
                  <c:v>4.2340000000000003E-2</c:v>
                </c:pt>
                <c:pt idx="43">
                  <c:v>4.2320000000000003E-2</c:v>
                </c:pt>
                <c:pt idx="44">
                  <c:v>4.2279999999999977E-2</c:v>
                </c:pt>
                <c:pt idx="45">
                  <c:v>4.2229999999999997E-2</c:v>
                </c:pt>
                <c:pt idx="46">
                  <c:v>4.2189999999999998E-2</c:v>
                </c:pt>
                <c:pt idx="47">
                  <c:v>4.2189999999999998E-2</c:v>
                </c:pt>
                <c:pt idx="48">
                  <c:v>4.2160000000000024E-2</c:v>
                </c:pt>
                <c:pt idx="49">
                  <c:v>4.2130000000000022E-2</c:v>
                </c:pt>
                <c:pt idx="50">
                  <c:v>4.2169999999999999E-2</c:v>
                </c:pt>
                <c:pt idx="51">
                  <c:v>4.224E-2</c:v>
                </c:pt>
                <c:pt idx="52">
                  <c:v>4.2229999999999997E-2</c:v>
                </c:pt>
                <c:pt idx="53">
                  <c:v>4.224E-2</c:v>
                </c:pt>
                <c:pt idx="54">
                  <c:v>4.2200000000000001E-2</c:v>
                </c:pt>
                <c:pt idx="55">
                  <c:v>4.2160000000000024E-2</c:v>
                </c:pt>
                <c:pt idx="56">
                  <c:v>4.2110000000000022E-2</c:v>
                </c:pt>
                <c:pt idx="57">
                  <c:v>4.2040000000000001E-2</c:v>
                </c:pt>
                <c:pt idx="58">
                  <c:v>4.2009999999999999E-2</c:v>
                </c:pt>
                <c:pt idx="59">
                  <c:v>4.1969999999999986E-2</c:v>
                </c:pt>
                <c:pt idx="60">
                  <c:v>4.1969999999999986E-2</c:v>
                </c:pt>
                <c:pt idx="61">
                  <c:v>4.1969999999999986E-2</c:v>
                </c:pt>
                <c:pt idx="62">
                  <c:v>4.2000000000000023E-2</c:v>
                </c:pt>
                <c:pt idx="63">
                  <c:v>4.2029999999999998E-2</c:v>
                </c:pt>
                <c:pt idx="64">
                  <c:v>4.2000000000000023E-2</c:v>
                </c:pt>
                <c:pt idx="65">
                  <c:v>4.1880000000000001E-2</c:v>
                </c:pt>
                <c:pt idx="66">
                  <c:v>4.1759999999999999E-2</c:v>
                </c:pt>
                <c:pt idx="67">
                  <c:v>4.1590000000000002E-2</c:v>
                </c:pt>
                <c:pt idx="68">
                  <c:v>4.1340000000000002E-2</c:v>
                </c:pt>
                <c:pt idx="69">
                  <c:v>4.1039999999999986E-2</c:v>
                </c:pt>
                <c:pt idx="70">
                  <c:v>4.0700000000000014E-2</c:v>
                </c:pt>
                <c:pt idx="71">
                  <c:v>4.0489999999999998E-2</c:v>
                </c:pt>
                <c:pt idx="72">
                  <c:v>4.0370000000000003E-2</c:v>
                </c:pt>
                <c:pt idx="73">
                  <c:v>4.0300000000000023E-2</c:v>
                </c:pt>
                <c:pt idx="74">
                  <c:v>4.0219999999999999E-2</c:v>
                </c:pt>
                <c:pt idx="75">
                  <c:v>4.0219999999999999E-2</c:v>
                </c:pt>
                <c:pt idx="76">
                  <c:v>4.0259999999999976E-2</c:v>
                </c:pt>
                <c:pt idx="77">
                  <c:v>4.0309999999999999E-2</c:v>
                </c:pt>
                <c:pt idx="78">
                  <c:v>4.036000000000009E-2</c:v>
                </c:pt>
                <c:pt idx="79">
                  <c:v>4.0430000000000021E-2</c:v>
                </c:pt>
                <c:pt idx="80">
                  <c:v>4.0489999999999998E-2</c:v>
                </c:pt>
                <c:pt idx="81">
                  <c:v>4.054E-2</c:v>
                </c:pt>
                <c:pt idx="82">
                  <c:v>4.0550000000000003E-2</c:v>
                </c:pt>
                <c:pt idx="83">
                  <c:v>4.0500000000000001E-2</c:v>
                </c:pt>
                <c:pt idx="84">
                  <c:v>4.0450000000000014E-2</c:v>
                </c:pt>
                <c:pt idx="85">
                  <c:v>4.0340000000000001E-2</c:v>
                </c:pt>
                <c:pt idx="86">
                  <c:v>4.0139999999999995E-2</c:v>
                </c:pt>
                <c:pt idx="87">
                  <c:v>4.0300000000000023E-2</c:v>
                </c:pt>
                <c:pt idx="88">
                  <c:v>4.0230000000000002E-2</c:v>
                </c:pt>
                <c:pt idx="89">
                  <c:v>4.0230000000000002E-2</c:v>
                </c:pt>
                <c:pt idx="90">
                  <c:v>4.0349999999999997E-2</c:v>
                </c:pt>
                <c:pt idx="91">
                  <c:v>4.0700000000000014E-2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业绩比较基准</c:v>
                </c:pt>
              </c:strCache>
            </c:strRef>
          </c:tx>
          <c:marker>
            <c:symbol val="none"/>
          </c:marker>
          <c:cat>
            <c:numRef>
              <c:f>Sheet2!$A$2:$A$93</c:f>
              <c:numCache>
                <c:formatCode>yyyy/m/d</c:formatCode>
                <c:ptCount val="92"/>
                <c:pt idx="0">
                  <c:v>43282</c:v>
                </c:pt>
                <c:pt idx="1">
                  <c:v>43283</c:v>
                </c:pt>
                <c:pt idx="2">
                  <c:v>43284</c:v>
                </c:pt>
                <c:pt idx="3">
                  <c:v>43285</c:v>
                </c:pt>
                <c:pt idx="4">
                  <c:v>43286</c:v>
                </c:pt>
                <c:pt idx="5">
                  <c:v>43287</c:v>
                </c:pt>
                <c:pt idx="6">
                  <c:v>43288</c:v>
                </c:pt>
                <c:pt idx="7">
                  <c:v>43289</c:v>
                </c:pt>
                <c:pt idx="8">
                  <c:v>43290</c:v>
                </c:pt>
                <c:pt idx="9">
                  <c:v>43291</c:v>
                </c:pt>
                <c:pt idx="10">
                  <c:v>43292</c:v>
                </c:pt>
                <c:pt idx="11">
                  <c:v>43293</c:v>
                </c:pt>
                <c:pt idx="12">
                  <c:v>43294</c:v>
                </c:pt>
                <c:pt idx="13">
                  <c:v>43295</c:v>
                </c:pt>
                <c:pt idx="14">
                  <c:v>43296</c:v>
                </c:pt>
                <c:pt idx="15">
                  <c:v>43297</c:v>
                </c:pt>
                <c:pt idx="16">
                  <c:v>43298</c:v>
                </c:pt>
                <c:pt idx="17">
                  <c:v>43299</c:v>
                </c:pt>
                <c:pt idx="18">
                  <c:v>43300</c:v>
                </c:pt>
                <c:pt idx="19">
                  <c:v>43301</c:v>
                </c:pt>
                <c:pt idx="20">
                  <c:v>43302</c:v>
                </c:pt>
                <c:pt idx="21">
                  <c:v>43303</c:v>
                </c:pt>
                <c:pt idx="22">
                  <c:v>43304</c:v>
                </c:pt>
                <c:pt idx="23">
                  <c:v>43305</c:v>
                </c:pt>
                <c:pt idx="24">
                  <c:v>43306</c:v>
                </c:pt>
                <c:pt idx="25">
                  <c:v>43307</c:v>
                </c:pt>
                <c:pt idx="26">
                  <c:v>43308</c:v>
                </c:pt>
                <c:pt idx="27">
                  <c:v>43309</c:v>
                </c:pt>
                <c:pt idx="28">
                  <c:v>43310</c:v>
                </c:pt>
                <c:pt idx="29">
                  <c:v>43311</c:v>
                </c:pt>
                <c:pt idx="30">
                  <c:v>43312</c:v>
                </c:pt>
                <c:pt idx="31">
                  <c:v>43313</c:v>
                </c:pt>
                <c:pt idx="32">
                  <c:v>43314</c:v>
                </c:pt>
                <c:pt idx="33">
                  <c:v>43315</c:v>
                </c:pt>
                <c:pt idx="34">
                  <c:v>43316</c:v>
                </c:pt>
                <c:pt idx="35">
                  <c:v>43317</c:v>
                </c:pt>
                <c:pt idx="36">
                  <c:v>43318</c:v>
                </c:pt>
                <c:pt idx="37">
                  <c:v>43319</c:v>
                </c:pt>
                <c:pt idx="38">
                  <c:v>43320</c:v>
                </c:pt>
                <c:pt idx="39">
                  <c:v>43321</c:v>
                </c:pt>
                <c:pt idx="40">
                  <c:v>43322</c:v>
                </c:pt>
                <c:pt idx="41">
                  <c:v>43323</c:v>
                </c:pt>
                <c:pt idx="42">
                  <c:v>43324</c:v>
                </c:pt>
                <c:pt idx="43">
                  <c:v>43325</c:v>
                </c:pt>
                <c:pt idx="44">
                  <c:v>43326</c:v>
                </c:pt>
                <c:pt idx="45">
                  <c:v>43327</c:v>
                </c:pt>
                <c:pt idx="46">
                  <c:v>43328</c:v>
                </c:pt>
                <c:pt idx="47">
                  <c:v>43329</c:v>
                </c:pt>
                <c:pt idx="48">
                  <c:v>43330</c:v>
                </c:pt>
                <c:pt idx="49">
                  <c:v>43331</c:v>
                </c:pt>
                <c:pt idx="50">
                  <c:v>43332</c:v>
                </c:pt>
                <c:pt idx="51">
                  <c:v>43333</c:v>
                </c:pt>
                <c:pt idx="52">
                  <c:v>43334</c:v>
                </c:pt>
                <c:pt idx="53">
                  <c:v>43335</c:v>
                </c:pt>
                <c:pt idx="54">
                  <c:v>43336</c:v>
                </c:pt>
                <c:pt idx="55">
                  <c:v>43337</c:v>
                </c:pt>
                <c:pt idx="56">
                  <c:v>43338</c:v>
                </c:pt>
                <c:pt idx="57">
                  <c:v>43339</c:v>
                </c:pt>
                <c:pt idx="58">
                  <c:v>43340</c:v>
                </c:pt>
                <c:pt idx="59">
                  <c:v>43341</c:v>
                </c:pt>
                <c:pt idx="60">
                  <c:v>43342</c:v>
                </c:pt>
                <c:pt idx="61">
                  <c:v>43343</c:v>
                </c:pt>
                <c:pt idx="62">
                  <c:v>43344</c:v>
                </c:pt>
                <c:pt idx="63">
                  <c:v>43345</c:v>
                </c:pt>
                <c:pt idx="64">
                  <c:v>43346</c:v>
                </c:pt>
                <c:pt idx="65">
                  <c:v>43347</c:v>
                </c:pt>
                <c:pt idx="66">
                  <c:v>43348</c:v>
                </c:pt>
                <c:pt idx="67">
                  <c:v>43349</c:v>
                </c:pt>
                <c:pt idx="68">
                  <c:v>43350</c:v>
                </c:pt>
                <c:pt idx="69">
                  <c:v>43351</c:v>
                </c:pt>
                <c:pt idx="70">
                  <c:v>43352</c:v>
                </c:pt>
                <c:pt idx="71">
                  <c:v>43353</c:v>
                </c:pt>
                <c:pt idx="72">
                  <c:v>43354</c:v>
                </c:pt>
                <c:pt idx="73">
                  <c:v>43355</c:v>
                </c:pt>
                <c:pt idx="74">
                  <c:v>43356</c:v>
                </c:pt>
                <c:pt idx="75">
                  <c:v>43357</c:v>
                </c:pt>
                <c:pt idx="76">
                  <c:v>43358</c:v>
                </c:pt>
                <c:pt idx="77">
                  <c:v>43359</c:v>
                </c:pt>
                <c:pt idx="78">
                  <c:v>43360</c:v>
                </c:pt>
                <c:pt idx="79">
                  <c:v>43361</c:v>
                </c:pt>
                <c:pt idx="80">
                  <c:v>43362</c:v>
                </c:pt>
                <c:pt idx="81">
                  <c:v>43363</c:v>
                </c:pt>
                <c:pt idx="82">
                  <c:v>43364</c:v>
                </c:pt>
                <c:pt idx="83">
                  <c:v>43365</c:v>
                </c:pt>
                <c:pt idx="84">
                  <c:v>43366</c:v>
                </c:pt>
                <c:pt idx="85">
                  <c:v>43367</c:v>
                </c:pt>
                <c:pt idx="86">
                  <c:v>43368</c:v>
                </c:pt>
                <c:pt idx="87">
                  <c:v>43369</c:v>
                </c:pt>
                <c:pt idx="88">
                  <c:v>43370</c:v>
                </c:pt>
                <c:pt idx="89">
                  <c:v>43371</c:v>
                </c:pt>
                <c:pt idx="90">
                  <c:v>43372</c:v>
                </c:pt>
                <c:pt idx="91">
                  <c:v>43373</c:v>
                </c:pt>
              </c:numCache>
            </c:numRef>
          </c:cat>
          <c:val>
            <c:numRef>
              <c:f>Sheet2!$C$2:$C$93</c:f>
              <c:numCache>
                <c:formatCode>0.00%</c:formatCode>
                <c:ptCount val="92"/>
                <c:pt idx="0">
                  <c:v>4.0000000000000022E-2</c:v>
                </c:pt>
                <c:pt idx="1">
                  <c:v>4.0000000000000022E-2</c:v>
                </c:pt>
                <c:pt idx="2">
                  <c:v>4.0000000000000022E-2</c:v>
                </c:pt>
                <c:pt idx="3">
                  <c:v>4.0000000000000022E-2</c:v>
                </c:pt>
                <c:pt idx="4">
                  <c:v>4.0000000000000022E-2</c:v>
                </c:pt>
                <c:pt idx="5">
                  <c:v>4.0000000000000022E-2</c:v>
                </c:pt>
                <c:pt idx="6">
                  <c:v>4.0000000000000022E-2</c:v>
                </c:pt>
                <c:pt idx="7">
                  <c:v>4.0000000000000022E-2</c:v>
                </c:pt>
                <c:pt idx="8">
                  <c:v>4.0000000000000022E-2</c:v>
                </c:pt>
                <c:pt idx="9">
                  <c:v>4.0000000000000022E-2</c:v>
                </c:pt>
                <c:pt idx="10">
                  <c:v>4.0000000000000022E-2</c:v>
                </c:pt>
                <c:pt idx="11">
                  <c:v>4.0000000000000022E-2</c:v>
                </c:pt>
                <c:pt idx="12">
                  <c:v>4.0000000000000022E-2</c:v>
                </c:pt>
                <c:pt idx="13">
                  <c:v>4.0000000000000022E-2</c:v>
                </c:pt>
                <c:pt idx="14">
                  <c:v>4.0000000000000022E-2</c:v>
                </c:pt>
                <c:pt idx="15">
                  <c:v>4.0000000000000022E-2</c:v>
                </c:pt>
                <c:pt idx="16">
                  <c:v>4.0000000000000022E-2</c:v>
                </c:pt>
                <c:pt idx="17">
                  <c:v>4.0000000000000022E-2</c:v>
                </c:pt>
                <c:pt idx="18">
                  <c:v>4.0000000000000022E-2</c:v>
                </c:pt>
                <c:pt idx="19">
                  <c:v>4.0000000000000022E-2</c:v>
                </c:pt>
                <c:pt idx="20">
                  <c:v>4.0000000000000022E-2</c:v>
                </c:pt>
                <c:pt idx="21">
                  <c:v>4.0000000000000022E-2</c:v>
                </c:pt>
                <c:pt idx="22">
                  <c:v>4.0000000000000022E-2</c:v>
                </c:pt>
                <c:pt idx="23">
                  <c:v>4.0000000000000022E-2</c:v>
                </c:pt>
                <c:pt idx="24">
                  <c:v>4.0000000000000022E-2</c:v>
                </c:pt>
                <c:pt idx="25">
                  <c:v>4.0000000000000022E-2</c:v>
                </c:pt>
                <c:pt idx="26">
                  <c:v>4.0000000000000022E-2</c:v>
                </c:pt>
                <c:pt idx="27">
                  <c:v>4.0000000000000022E-2</c:v>
                </c:pt>
                <c:pt idx="28">
                  <c:v>4.0000000000000022E-2</c:v>
                </c:pt>
                <c:pt idx="29">
                  <c:v>4.0000000000000022E-2</c:v>
                </c:pt>
                <c:pt idx="30">
                  <c:v>4.0000000000000022E-2</c:v>
                </c:pt>
                <c:pt idx="31">
                  <c:v>4.0000000000000022E-2</c:v>
                </c:pt>
                <c:pt idx="32">
                  <c:v>4.0000000000000022E-2</c:v>
                </c:pt>
                <c:pt idx="33">
                  <c:v>4.0000000000000022E-2</c:v>
                </c:pt>
                <c:pt idx="34">
                  <c:v>4.0000000000000022E-2</c:v>
                </c:pt>
                <c:pt idx="35">
                  <c:v>4.0000000000000022E-2</c:v>
                </c:pt>
                <c:pt idx="36">
                  <c:v>4.0000000000000022E-2</c:v>
                </c:pt>
                <c:pt idx="37">
                  <c:v>4.0000000000000022E-2</c:v>
                </c:pt>
                <c:pt idx="38">
                  <c:v>4.0000000000000022E-2</c:v>
                </c:pt>
                <c:pt idx="39">
                  <c:v>4.0000000000000022E-2</c:v>
                </c:pt>
                <c:pt idx="40">
                  <c:v>4.0000000000000022E-2</c:v>
                </c:pt>
                <c:pt idx="41">
                  <c:v>4.0000000000000022E-2</c:v>
                </c:pt>
                <c:pt idx="42">
                  <c:v>4.0000000000000022E-2</c:v>
                </c:pt>
                <c:pt idx="43">
                  <c:v>4.0000000000000022E-2</c:v>
                </c:pt>
                <c:pt idx="44">
                  <c:v>4.0000000000000022E-2</c:v>
                </c:pt>
                <c:pt idx="45">
                  <c:v>4.0000000000000022E-2</c:v>
                </c:pt>
                <c:pt idx="46">
                  <c:v>4.0000000000000022E-2</c:v>
                </c:pt>
                <c:pt idx="47">
                  <c:v>4.0000000000000022E-2</c:v>
                </c:pt>
                <c:pt idx="48">
                  <c:v>4.0000000000000022E-2</c:v>
                </c:pt>
                <c:pt idx="49">
                  <c:v>4.0000000000000022E-2</c:v>
                </c:pt>
                <c:pt idx="50">
                  <c:v>4.0000000000000022E-2</c:v>
                </c:pt>
                <c:pt idx="51">
                  <c:v>4.0000000000000022E-2</c:v>
                </c:pt>
                <c:pt idx="52">
                  <c:v>4.0000000000000022E-2</c:v>
                </c:pt>
                <c:pt idx="53">
                  <c:v>4.0000000000000022E-2</c:v>
                </c:pt>
                <c:pt idx="54">
                  <c:v>4.0000000000000022E-2</c:v>
                </c:pt>
                <c:pt idx="55">
                  <c:v>4.0000000000000022E-2</c:v>
                </c:pt>
                <c:pt idx="56">
                  <c:v>4.0000000000000022E-2</c:v>
                </c:pt>
                <c:pt idx="57">
                  <c:v>4.0000000000000022E-2</c:v>
                </c:pt>
                <c:pt idx="58">
                  <c:v>4.0000000000000022E-2</c:v>
                </c:pt>
                <c:pt idx="59">
                  <c:v>4.0000000000000022E-2</c:v>
                </c:pt>
                <c:pt idx="60">
                  <c:v>4.0000000000000022E-2</c:v>
                </c:pt>
                <c:pt idx="61">
                  <c:v>4.0000000000000022E-2</c:v>
                </c:pt>
                <c:pt idx="62">
                  <c:v>4.0000000000000022E-2</c:v>
                </c:pt>
                <c:pt idx="63">
                  <c:v>4.0000000000000022E-2</c:v>
                </c:pt>
                <c:pt idx="64">
                  <c:v>4.0000000000000022E-2</c:v>
                </c:pt>
                <c:pt idx="65">
                  <c:v>4.0000000000000022E-2</c:v>
                </c:pt>
                <c:pt idx="66">
                  <c:v>4.0000000000000022E-2</c:v>
                </c:pt>
                <c:pt idx="67">
                  <c:v>4.0000000000000022E-2</c:v>
                </c:pt>
                <c:pt idx="68">
                  <c:v>4.0000000000000022E-2</c:v>
                </c:pt>
                <c:pt idx="69">
                  <c:v>4.0000000000000022E-2</c:v>
                </c:pt>
                <c:pt idx="70">
                  <c:v>4.0000000000000022E-2</c:v>
                </c:pt>
                <c:pt idx="71">
                  <c:v>4.0000000000000022E-2</c:v>
                </c:pt>
                <c:pt idx="72">
                  <c:v>4.0000000000000022E-2</c:v>
                </c:pt>
                <c:pt idx="73">
                  <c:v>3.500000000000001E-2</c:v>
                </c:pt>
                <c:pt idx="74">
                  <c:v>3.500000000000001E-2</c:v>
                </c:pt>
                <c:pt idx="75">
                  <c:v>3.500000000000001E-2</c:v>
                </c:pt>
                <c:pt idx="76">
                  <c:v>3.500000000000001E-2</c:v>
                </c:pt>
                <c:pt idx="77">
                  <c:v>3.500000000000001E-2</c:v>
                </c:pt>
                <c:pt idx="78">
                  <c:v>3.500000000000001E-2</c:v>
                </c:pt>
                <c:pt idx="79">
                  <c:v>3.500000000000001E-2</c:v>
                </c:pt>
                <c:pt idx="80">
                  <c:v>3.500000000000001E-2</c:v>
                </c:pt>
                <c:pt idx="81">
                  <c:v>3.500000000000001E-2</c:v>
                </c:pt>
                <c:pt idx="82">
                  <c:v>3.500000000000001E-2</c:v>
                </c:pt>
                <c:pt idx="83">
                  <c:v>3.500000000000001E-2</c:v>
                </c:pt>
                <c:pt idx="84">
                  <c:v>3.500000000000001E-2</c:v>
                </c:pt>
                <c:pt idx="85">
                  <c:v>3.500000000000001E-2</c:v>
                </c:pt>
                <c:pt idx="86">
                  <c:v>3.500000000000001E-2</c:v>
                </c:pt>
                <c:pt idx="87">
                  <c:v>3.500000000000001E-2</c:v>
                </c:pt>
                <c:pt idx="88">
                  <c:v>3.500000000000001E-2</c:v>
                </c:pt>
                <c:pt idx="89">
                  <c:v>3.500000000000001E-2</c:v>
                </c:pt>
                <c:pt idx="90">
                  <c:v>3.500000000000001E-2</c:v>
                </c:pt>
                <c:pt idx="91">
                  <c:v>3.500000000000001E-2</c:v>
                </c:pt>
              </c:numCache>
            </c:numRef>
          </c:val>
        </c:ser>
        <c:marker val="1"/>
        <c:axId val="251810560"/>
        <c:axId val="252902400"/>
      </c:lineChart>
      <c:dateAx>
        <c:axId val="251810560"/>
        <c:scaling>
          <c:orientation val="minMax"/>
        </c:scaling>
        <c:axPos val="b"/>
        <c:numFmt formatCode="yyyy/m/d" sourceLinked="1"/>
        <c:tickLblPos val="nextTo"/>
        <c:crossAx val="252902400"/>
        <c:crosses val="autoZero"/>
        <c:auto val="1"/>
        <c:lblOffset val="100"/>
        <c:majorUnit val="7"/>
        <c:majorTimeUnit val="days"/>
      </c:dateAx>
      <c:valAx>
        <c:axId val="252902400"/>
        <c:scaling>
          <c:orientation val="minMax"/>
        </c:scaling>
        <c:axPos val="l"/>
        <c:majorGridlines/>
        <c:numFmt formatCode="0.0000%" sourceLinked="1"/>
        <c:tickLblPos val="nextTo"/>
        <c:crossAx val="2518105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680C-CEA8-4A40-AC8F-28F8D46D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8</Pages>
  <Words>1038</Words>
  <Characters>5923</Characters>
  <Application>Microsoft Office Word</Application>
  <DocSecurity>0</DocSecurity>
  <Lines>49</Lines>
  <Paragraphs>13</Paragraphs>
  <ScaleCrop>false</ScaleCrop>
  <Company>Microsoft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闫思聪</dc:creator>
  <cp:keywords/>
  <dc:description/>
  <cp:lastModifiedBy>李艺</cp:lastModifiedBy>
  <cp:revision>179</cp:revision>
  <cp:lastPrinted>2018-07-13T10:01:00Z</cp:lastPrinted>
  <dcterms:created xsi:type="dcterms:W3CDTF">2018-07-12T02:58:00Z</dcterms:created>
  <dcterms:modified xsi:type="dcterms:W3CDTF">2018-10-24T08:03:00Z</dcterms:modified>
</cp:coreProperties>
</file>