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4379D9" w:rsidRDefault="00800FAB" w:rsidP="00800FAB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379D9">
        <w:rPr>
          <w:rFonts w:ascii="宋体" w:eastAsia="宋体" w:hAnsi="宋体" w:cs="Times New Roman" w:hint="eastAsia"/>
          <w:b/>
          <w:sz w:val="32"/>
          <w:szCs w:val="32"/>
        </w:rPr>
        <w:t>兴业银行“天天万利宝稳利1号净值型理财产品C款”</w:t>
      </w:r>
    </w:p>
    <w:p w:rsidR="00800FAB" w:rsidRPr="004379D9" w:rsidRDefault="00800FAB" w:rsidP="00800FAB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379D9">
        <w:rPr>
          <w:rFonts w:ascii="宋体" w:eastAsia="宋体" w:hAnsi="宋体" w:cs="Times New Roman"/>
          <w:b/>
          <w:sz w:val="32"/>
          <w:szCs w:val="32"/>
        </w:rPr>
        <w:t>2018年第</w:t>
      </w:r>
      <w:r w:rsidRPr="004379D9">
        <w:rPr>
          <w:rFonts w:ascii="宋体" w:eastAsia="宋体" w:hAnsi="宋体" w:cs="Times New Roman" w:hint="eastAsia"/>
          <w:b/>
          <w:sz w:val="32"/>
          <w:szCs w:val="32"/>
        </w:rPr>
        <w:t>3</w:t>
      </w:r>
      <w:r w:rsidRPr="004379D9">
        <w:rPr>
          <w:rFonts w:ascii="宋体" w:eastAsia="宋体" w:hAnsi="宋体" w:cs="Times New Roman"/>
          <w:b/>
          <w:sz w:val="32"/>
          <w:szCs w:val="32"/>
        </w:rPr>
        <w:t>季度报告</w:t>
      </w:r>
    </w:p>
    <w:p w:rsidR="004379D9" w:rsidRPr="00816DFC" w:rsidRDefault="004379D9" w:rsidP="004379D9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16DFC">
        <w:rPr>
          <w:rFonts w:ascii="宋体" w:eastAsia="宋体" w:hAnsi="宋体" w:cs="Times New Roman" w:hint="eastAsia"/>
          <w:b/>
          <w:sz w:val="28"/>
          <w:szCs w:val="28"/>
        </w:rPr>
        <w:t>2018年9月30日</w:t>
      </w:r>
    </w:p>
    <w:p w:rsidR="004379D9" w:rsidRDefault="004379D9" w:rsidP="004379D9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28137433"/>
      <w:bookmarkStart w:id="1" w:name="_Toc528142769"/>
      <w:bookmarkStart w:id="2" w:name="_Toc528159896"/>
      <w:r w:rsidRPr="001123DE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  <w:bookmarkEnd w:id="1"/>
      <w:bookmarkEnd w:id="2"/>
    </w:p>
    <w:p w:rsidR="00D5157E" w:rsidRDefault="00D5157E" w:rsidP="00D5157E">
      <w:pPr>
        <w:pStyle w:val="a3"/>
        <w:ind w:left="720" w:firstLineChars="0" w:firstLine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</w:p>
    <w:p w:rsidR="00D02BE3" w:rsidRDefault="00D008EB">
      <w:pPr>
        <w:pStyle w:val="10"/>
        <w:tabs>
          <w:tab w:val="left" w:pos="840"/>
          <w:tab w:val="right" w:leader="dot" w:pos="8296"/>
        </w:tabs>
        <w:rPr>
          <w:noProof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begin"/>
      </w:r>
      <w:r w:rsidR="009A2CC3">
        <w:rPr>
          <w:rFonts w:ascii="宋体" w:eastAsia="宋体" w:hAnsi="宋体" w:cs="Times New Roman"/>
          <w:b/>
          <w:sz w:val="30"/>
          <w:szCs w:val="30"/>
        </w:rPr>
        <w:instrText xml:space="preserve"> </w:instrText>
      </w:r>
      <w:r w:rsidR="009A2CC3">
        <w:rPr>
          <w:rFonts w:ascii="宋体" w:eastAsia="宋体" w:hAnsi="宋体" w:cs="Times New Roman" w:hint="eastAsia"/>
          <w:b/>
          <w:sz w:val="30"/>
          <w:szCs w:val="30"/>
        </w:rPr>
        <w:instrText>TOC \o "1-2" \h \z \u</w:instrText>
      </w:r>
      <w:r w:rsidR="009A2CC3">
        <w:rPr>
          <w:rFonts w:ascii="宋体" w:eastAsia="宋体" w:hAnsi="宋体" w:cs="Times New Roman"/>
          <w:b/>
          <w:sz w:val="30"/>
          <w:szCs w:val="30"/>
        </w:rPr>
        <w:instrText xml:space="preserve"> </w:instrText>
      </w:r>
      <w:r>
        <w:rPr>
          <w:rFonts w:ascii="宋体" w:eastAsia="宋体" w:hAnsi="宋体" w:cs="Times New Roman"/>
          <w:b/>
          <w:sz w:val="30"/>
          <w:szCs w:val="30"/>
        </w:rPr>
        <w:fldChar w:fldCharType="separate"/>
      </w:r>
      <w:hyperlink w:anchor="_Toc528159896" w:history="1">
        <w:r w:rsidR="00D02BE3" w:rsidRPr="00420517">
          <w:rPr>
            <w:rStyle w:val="a7"/>
            <w:rFonts w:ascii="宋体" w:eastAsia="宋体" w:hAnsi="宋体" w:cs="Times New Roman" w:hint="eastAsia"/>
            <w:b/>
            <w:noProof/>
          </w:rPr>
          <w:t>一．</w:t>
        </w:r>
        <w:r w:rsidR="00D02BE3">
          <w:rPr>
            <w:noProof/>
          </w:rPr>
          <w:tab/>
        </w:r>
        <w:r w:rsidR="00D02BE3" w:rsidRPr="00420517">
          <w:rPr>
            <w:rStyle w:val="a7"/>
            <w:rFonts w:ascii="宋体" w:eastAsia="宋体" w:hAnsi="宋体" w:cs="Times New Roman" w:hint="eastAsia"/>
            <w:b/>
            <w:noProof/>
          </w:rPr>
          <w:t>目录</w:t>
        </w:r>
        <w:r w:rsidR="00D02BE3">
          <w:rPr>
            <w:noProof/>
            <w:webHidden/>
          </w:rPr>
          <w:tab/>
        </w:r>
        <w:r w:rsidR="00D02BE3">
          <w:rPr>
            <w:noProof/>
            <w:webHidden/>
          </w:rPr>
          <w:fldChar w:fldCharType="begin"/>
        </w:r>
        <w:r w:rsidR="00D02BE3">
          <w:rPr>
            <w:noProof/>
            <w:webHidden/>
          </w:rPr>
          <w:instrText xml:space="preserve"> PAGEREF _Toc528159896 \h </w:instrText>
        </w:r>
        <w:r w:rsidR="00D02BE3">
          <w:rPr>
            <w:noProof/>
            <w:webHidden/>
          </w:rPr>
        </w:r>
        <w:r w:rsidR="00D02BE3">
          <w:rPr>
            <w:noProof/>
            <w:webHidden/>
          </w:rPr>
          <w:fldChar w:fldCharType="separate"/>
        </w:r>
        <w:r w:rsidR="00D02BE3">
          <w:rPr>
            <w:noProof/>
            <w:webHidden/>
          </w:rPr>
          <w:t>1</w:t>
        </w:r>
        <w:r w:rsidR="00D02BE3">
          <w:rPr>
            <w:noProof/>
            <w:webHidden/>
          </w:rPr>
          <w:fldChar w:fldCharType="end"/>
        </w:r>
      </w:hyperlink>
    </w:p>
    <w:p w:rsidR="00D02BE3" w:rsidRDefault="00D02BE3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59897" w:history="1">
        <w:r w:rsidRPr="00420517">
          <w:rPr>
            <w:rStyle w:val="a7"/>
            <w:rFonts w:ascii="宋体" w:eastAsia="宋体" w:hAnsi="宋体" w:cs="Times New Roman" w:hint="eastAsia"/>
            <w:b/>
            <w:noProof/>
          </w:rPr>
          <w:t>二．</w:t>
        </w:r>
        <w:r>
          <w:rPr>
            <w:noProof/>
          </w:rPr>
          <w:tab/>
        </w:r>
        <w:r w:rsidRPr="00420517">
          <w:rPr>
            <w:rStyle w:val="a7"/>
            <w:rFonts w:hint="eastAsia"/>
            <w:b/>
            <w:noProof/>
          </w:rPr>
          <w:t>产品基本情况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59898" w:history="1">
        <w:r w:rsidRPr="00420517">
          <w:rPr>
            <w:rStyle w:val="a7"/>
            <w:rFonts w:ascii="宋体" w:eastAsia="宋体" w:hAnsi="宋体" w:cs="Times New Roman" w:hint="eastAsia"/>
            <w:b/>
            <w:noProof/>
          </w:rPr>
          <w:t>三．</w:t>
        </w:r>
        <w:r>
          <w:rPr>
            <w:noProof/>
          </w:rPr>
          <w:tab/>
        </w:r>
        <w:r w:rsidRPr="00420517">
          <w:rPr>
            <w:rStyle w:val="a7"/>
            <w:rFonts w:hint="eastAsia"/>
            <w:b/>
            <w:noProof/>
          </w:rPr>
          <w:t>产品收益</w:t>
        </w:r>
        <w:r w:rsidRPr="00420517">
          <w:rPr>
            <w:rStyle w:val="a7"/>
            <w:b/>
            <w:noProof/>
          </w:rPr>
          <w:t>/</w:t>
        </w:r>
        <w:r w:rsidRPr="00420517">
          <w:rPr>
            <w:rStyle w:val="a7"/>
            <w:rFonts w:hint="eastAsia"/>
            <w:b/>
            <w:noProof/>
          </w:rPr>
          <w:t>净值表现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59899" w:history="1">
        <w:r w:rsidRPr="00420517">
          <w:rPr>
            <w:rStyle w:val="a7"/>
            <w:rFonts w:ascii="宋体" w:eastAsia="宋体" w:hAnsi="宋体" w:cs="Times New Roman" w:hint="eastAsia"/>
            <w:b/>
            <w:noProof/>
          </w:rPr>
          <w:t>四．</w:t>
        </w:r>
        <w:r>
          <w:rPr>
            <w:noProof/>
          </w:rPr>
          <w:tab/>
        </w:r>
        <w:r w:rsidRPr="00420517">
          <w:rPr>
            <w:rStyle w:val="a7"/>
            <w:rFonts w:hint="eastAsia"/>
            <w:b/>
            <w:noProof/>
          </w:rPr>
          <w:t>报告期内产品的投资策略和运作分析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59900" w:history="1">
        <w:r w:rsidRPr="00420517">
          <w:rPr>
            <w:rStyle w:val="a7"/>
            <w:rFonts w:ascii="宋体" w:eastAsia="宋体" w:hAnsi="宋体" w:cs="Times New Roman" w:hint="eastAsia"/>
            <w:b/>
            <w:noProof/>
          </w:rPr>
          <w:t>五．</w:t>
        </w:r>
        <w:r>
          <w:rPr>
            <w:noProof/>
          </w:rPr>
          <w:tab/>
        </w:r>
        <w:r w:rsidRPr="00420517">
          <w:rPr>
            <w:rStyle w:val="a7"/>
            <w:rFonts w:asciiTheme="minorEastAsia" w:hAnsiTheme="minorEastAsia"/>
            <w:b/>
            <w:noProof/>
          </w:rPr>
          <w:t>2018</w:t>
        </w:r>
        <w:r w:rsidRPr="00420517">
          <w:rPr>
            <w:rStyle w:val="a7"/>
            <w:rFonts w:asciiTheme="minorEastAsia" w:hAnsiTheme="minorEastAsia" w:hint="eastAsia"/>
            <w:b/>
            <w:noProof/>
          </w:rPr>
          <w:t>年第</w:t>
        </w:r>
        <w:r w:rsidRPr="00420517">
          <w:rPr>
            <w:rStyle w:val="a7"/>
            <w:rFonts w:asciiTheme="minorEastAsia" w:hAnsiTheme="minorEastAsia"/>
            <w:b/>
            <w:noProof/>
          </w:rPr>
          <w:t>3</w:t>
        </w:r>
        <w:r w:rsidRPr="00420517">
          <w:rPr>
            <w:rStyle w:val="a7"/>
            <w:rFonts w:asciiTheme="minorEastAsia" w:hAnsiTheme="minorEastAsia" w:hint="eastAsia"/>
            <w:b/>
            <w:noProof/>
          </w:rPr>
          <w:t>季度财务会计报告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1" w:history="1">
        <w:r w:rsidRPr="00420517">
          <w:rPr>
            <w:rStyle w:val="a7"/>
            <w:rFonts w:asciiTheme="minorEastAsia" w:hAnsiTheme="minorEastAsia"/>
            <w:noProof/>
          </w:rPr>
          <w:t>1.</w:t>
        </w:r>
        <w:r w:rsidRPr="00420517">
          <w:rPr>
            <w:rStyle w:val="a7"/>
            <w:rFonts w:asciiTheme="minorEastAsia" w:hAnsiTheme="minorEastAsia" w:hint="eastAsia"/>
            <w:noProof/>
          </w:rPr>
          <w:t>资产负债表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2" w:history="1">
        <w:r w:rsidRPr="00420517">
          <w:rPr>
            <w:rStyle w:val="a7"/>
            <w:rFonts w:asciiTheme="minorEastAsia" w:hAnsiTheme="minorEastAsia"/>
            <w:noProof/>
          </w:rPr>
          <w:t>2.</w:t>
        </w:r>
        <w:r w:rsidRPr="00420517">
          <w:rPr>
            <w:rStyle w:val="a7"/>
            <w:rFonts w:asciiTheme="minorEastAsia" w:hAnsiTheme="minorEastAsia" w:hint="eastAsia"/>
            <w:noProof/>
          </w:rPr>
          <w:t>利润表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3" w:history="1">
        <w:r w:rsidRPr="00420517">
          <w:rPr>
            <w:rStyle w:val="a7"/>
            <w:rFonts w:asciiTheme="minorEastAsia" w:hAnsiTheme="minorEastAsia"/>
            <w:noProof/>
          </w:rPr>
          <w:t>3.</w:t>
        </w:r>
        <w:r w:rsidRPr="00420517">
          <w:rPr>
            <w:rStyle w:val="a7"/>
            <w:rFonts w:asciiTheme="minorEastAsia" w:hAnsiTheme="minorEastAsia" w:hint="eastAsia"/>
            <w:noProof/>
          </w:rPr>
          <w:t>所有者权益表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59904" w:history="1">
        <w:r w:rsidRPr="00420517">
          <w:rPr>
            <w:rStyle w:val="a7"/>
            <w:rFonts w:ascii="宋体" w:eastAsia="宋体" w:hAnsi="宋体" w:cs="Times New Roman" w:hint="eastAsia"/>
            <w:b/>
            <w:noProof/>
          </w:rPr>
          <w:t>六．</w:t>
        </w:r>
        <w:r>
          <w:rPr>
            <w:noProof/>
          </w:rPr>
          <w:tab/>
        </w:r>
        <w:r w:rsidRPr="00420517">
          <w:rPr>
            <w:rStyle w:val="a7"/>
            <w:rFonts w:hint="eastAsia"/>
            <w:b/>
            <w:noProof/>
          </w:rPr>
          <w:t>投资组合情况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5" w:history="1">
        <w:r w:rsidRPr="00420517">
          <w:rPr>
            <w:rStyle w:val="a7"/>
            <w:noProof/>
          </w:rPr>
          <w:t xml:space="preserve">1. </w:t>
        </w:r>
        <w:r w:rsidRPr="00420517">
          <w:rPr>
            <w:rStyle w:val="a7"/>
            <w:rFonts w:hint="eastAsia"/>
            <w:noProof/>
          </w:rPr>
          <w:t>报告期末稳利</w:t>
        </w:r>
        <w:r w:rsidRPr="00420517">
          <w:rPr>
            <w:rStyle w:val="a7"/>
            <w:noProof/>
          </w:rPr>
          <w:t>1</w:t>
        </w:r>
        <w:r w:rsidRPr="00420517">
          <w:rPr>
            <w:rStyle w:val="a7"/>
            <w:rFonts w:hint="eastAsia"/>
            <w:noProof/>
          </w:rPr>
          <w:t>号</w:t>
        </w:r>
        <w:r w:rsidRPr="00420517">
          <w:rPr>
            <w:rStyle w:val="a7"/>
            <w:noProof/>
          </w:rPr>
          <w:t>C</w:t>
        </w:r>
        <w:r w:rsidRPr="00420517">
          <w:rPr>
            <w:rStyle w:val="a7"/>
            <w:rFonts w:hint="eastAsia"/>
            <w:noProof/>
          </w:rPr>
          <w:t>款资产组合情况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6" w:history="1">
        <w:r w:rsidRPr="00420517">
          <w:rPr>
            <w:rStyle w:val="a7"/>
            <w:noProof/>
          </w:rPr>
          <w:t xml:space="preserve">2. </w:t>
        </w:r>
        <w:r w:rsidRPr="00420517">
          <w:rPr>
            <w:rStyle w:val="a7"/>
            <w:rFonts w:hint="eastAsia"/>
            <w:noProof/>
          </w:rPr>
          <w:t>报告期末杠杆融资情况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2BE3" w:rsidRDefault="00D02BE3">
      <w:pPr>
        <w:pStyle w:val="20"/>
        <w:tabs>
          <w:tab w:val="right" w:leader="dot" w:pos="8296"/>
        </w:tabs>
        <w:rPr>
          <w:noProof/>
        </w:rPr>
      </w:pPr>
      <w:hyperlink w:anchor="_Toc528159907" w:history="1">
        <w:r w:rsidRPr="00420517">
          <w:rPr>
            <w:rStyle w:val="a7"/>
            <w:noProof/>
          </w:rPr>
          <w:t>3.</w:t>
        </w:r>
        <w:r w:rsidRPr="00420517">
          <w:rPr>
            <w:rStyle w:val="a7"/>
            <w:rFonts w:asciiTheme="minorEastAsia" w:hAnsiTheme="minorEastAsia"/>
            <w:noProof/>
          </w:rPr>
          <w:t xml:space="preserve"> </w:t>
        </w:r>
        <w:r w:rsidRPr="00420517">
          <w:rPr>
            <w:rStyle w:val="a7"/>
            <w:rFonts w:asciiTheme="minorEastAsia" w:hAnsiTheme="minorEastAsia" w:hint="eastAsia"/>
            <w:noProof/>
          </w:rPr>
          <w:t>报告期末资产持仓前十基本信息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_Toc528159907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4A6A" w:rsidRDefault="00D008EB" w:rsidP="00944A6A">
      <w:pPr>
        <w:pStyle w:val="a3"/>
        <w:ind w:left="720" w:firstLineChars="0" w:firstLine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9A2CC3" w:rsidRDefault="00800FAB" w:rsidP="004379D9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28159897"/>
      <w:r w:rsidRPr="009A2CC3">
        <w:rPr>
          <w:rFonts w:hint="eastAsia"/>
          <w:b/>
          <w:sz w:val="30"/>
          <w:szCs w:val="30"/>
        </w:rPr>
        <w:t>产品基本情况</w:t>
      </w:r>
      <w:bookmarkEnd w:id="3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735E75" w:rsidTr="000E6C54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万利宝稳利1号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净值型理财产品C款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9K218013</w:t>
            </w:r>
          </w:p>
        </w:tc>
      </w:tr>
      <w:tr w:rsidR="00800FAB" w:rsidRPr="00735E75" w:rsidTr="000E6C54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C103091800056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4,552,016,026.95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800FAB" w:rsidRPr="00735E75" w:rsidTr="000E6C54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735E75" w:rsidTr="000E6C54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735E75" w:rsidTr="000E6C54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735E75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Pr="00735E75">
              <w:rPr>
                <w:rFonts w:eastAsia="宋体" w:hint="eastAsia"/>
                <w:b/>
                <w:sz w:val="22"/>
                <w:szCs w:val="22"/>
              </w:rPr>
              <w:t>56</w:t>
            </w:r>
            <w:r w:rsidRPr="00735E75">
              <w:rPr>
                <w:rFonts w:eastAsia="宋体"/>
                <w:b/>
                <w:sz w:val="22"/>
                <w:szCs w:val="22"/>
              </w:rPr>
              <w:t>%-3.</w:t>
            </w:r>
            <w:r w:rsidRPr="00735E75">
              <w:rPr>
                <w:rFonts w:eastAsia="宋体" w:hint="eastAsia"/>
                <w:b/>
                <w:sz w:val="22"/>
                <w:szCs w:val="22"/>
              </w:rPr>
              <w:t>8</w:t>
            </w:r>
            <w:r w:rsidRPr="00735E75">
              <w:rPr>
                <w:rFonts w:eastAsia="宋体"/>
                <w:b/>
                <w:sz w:val="22"/>
                <w:szCs w:val="22"/>
              </w:rPr>
              <w:t>0%】，即【5.</w:t>
            </w:r>
            <w:r w:rsidRPr="00735E75">
              <w:rPr>
                <w:rFonts w:eastAsia="宋体" w:hint="eastAsia"/>
                <w:b/>
                <w:sz w:val="22"/>
                <w:szCs w:val="22"/>
              </w:rPr>
              <w:t>06</w:t>
            </w:r>
            <w:r w:rsidRPr="00735E75">
              <w:rPr>
                <w:rFonts w:eastAsia="宋体"/>
                <w:b/>
                <w:sz w:val="22"/>
                <w:szCs w:val="22"/>
              </w:rPr>
              <w:t>%-5.</w:t>
            </w:r>
            <w:r w:rsidRPr="00735E75">
              <w:rPr>
                <w:rFonts w:eastAsia="宋体" w:hint="eastAsia"/>
                <w:b/>
                <w:sz w:val="22"/>
                <w:szCs w:val="22"/>
              </w:rPr>
              <w:t>3</w:t>
            </w:r>
            <w:r w:rsidRPr="00735E75">
              <w:rPr>
                <w:rFonts w:eastAsia="宋体"/>
                <w:b/>
                <w:sz w:val="22"/>
                <w:szCs w:val="22"/>
              </w:rPr>
              <w:t>0%】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735E75" w:rsidTr="000E6C5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735E75" w:rsidTr="000E6C54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0E6C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735E75" w:rsidRDefault="00800FAB" w:rsidP="00800FAB">
      <w:pPr>
        <w:rPr>
          <w:sz w:val="30"/>
          <w:szCs w:val="30"/>
        </w:rPr>
      </w:pPr>
    </w:p>
    <w:p w:rsidR="00800FAB" w:rsidRPr="00735E75" w:rsidRDefault="00800FAB" w:rsidP="00800FAB">
      <w:pPr>
        <w:rPr>
          <w:sz w:val="30"/>
          <w:szCs w:val="30"/>
        </w:rPr>
      </w:pPr>
    </w:p>
    <w:p w:rsidR="00800FAB" w:rsidRPr="009A2CC3" w:rsidRDefault="00800FAB" w:rsidP="004379D9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4" w:name="_Toc528159898"/>
      <w:r w:rsidRPr="009A2CC3">
        <w:rPr>
          <w:rFonts w:hint="eastAsia"/>
          <w:b/>
          <w:sz w:val="30"/>
          <w:szCs w:val="30"/>
        </w:rPr>
        <w:t>产品收益</w:t>
      </w:r>
      <w:r w:rsidR="00337760" w:rsidRPr="009A2CC3">
        <w:rPr>
          <w:rFonts w:hint="eastAsia"/>
          <w:b/>
          <w:sz w:val="30"/>
          <w:szCs w:val="30"/>
        </w:rPr>
        <w:t>/</w:t>
      </w:r>
      <w:r w:rsidR="00337760" w:rsidRPr="009A2CC3">
        <w:rPr>
          <w:rFonts w:hint="eastAsia"/>
          <w:b/>
          <w:sz w:val="30"/>
          <w:szCs w:val="30"/>
        </w:rPr>
        <w:t>净值</w:t>
      </w:r>
      <w:r w:rsidRPr="009A2CC3">
        <w:rPr>
          <w:rFonts w:hint="eastAsia"/>
          <w:b/>
          <w:sz w:val="30"/>
          <w:szCs w:val="30"/>
        </w:rPr>
        <w:t>表现</w:t>
      </w:r>
      <w:bookmarkEnd w:id="4"/>
      <w:r w:rsidRPr="009A2CC3">
        <w:rPr>
          <w:b/>
          <w:sz w:val="30"/>
          <w:szCs w:val="30"/>
        </w:rPr>
        <w:tab/>
      </w:r>
    </w:p>
    <w:p w:rsidR="00800FAB" w:rsidRPr="005D11E6" w:rsidRDefault="005D41D3" w:rsidP="00800FAB">
      <w:pPr>
        <w:ind w:firstLineChars="142" w:firstLine="426"/>
        <w:rPr>
          <w:rFonts w:ascii="宋体" w:eastAsia="宋体" w:hAnsi="宋体" w:cs="Times New Roman"/>
          <w:sz w:val="30"/>
          <w:szCs w:val="30"/>
        </w:rPr>
      </w:pPr>
      <w:r w:rsidRPr="009A2CC3">
        <w:rPr>
          <w:rFonts w:ascii="宋体" w:eastAsia="宋体" w:hAnsi="宋体" w:cs="Times New Roman" w:hint="eastAsia"/>
          <w:sz w:val="30"/>
          <w:szCs w:val="30"/>
        </w:rPr>
        <w:t>截至2018年9月25日</w:t>
      </w:r>
      <w:r w:rsidR="00800FAB" w:rsidRPr="009A2CC3">
        <w:rPr>
          <w:rFonts w:ascii="宋体" w:eastAsia="宋体" w:hAnsi="宋体" w:cs="Times New Roman"/>
          <w:sz w:val="30"/>
          <w:szCs w:val="30"/>
        </w:rPr>
        <w:t>，</w:t>
      </w:r>
      <w:r w:rsidR="00800FAB" w:rsidRPr="009A2CC3">
        <w:rPr>
          <w:rFonts w:ascii="宋体" w:eastAsia="宋体" w:hAnsi="宋体" w:cs="Times New Roman" w:hint="eastAsia"/>
          <w:sz w:val="30"/>
          <w:szCs w:val="30"/>
        </w:rPr>
        <w:t>本产品账户单位</w:t>
      </w:r>
      <w:r w:rsidR="00800FAB" w:rsidRPr="009A2CC3">
        <w:rPr>
          <w:rFonts w:ascii="宋体" w:eastAsia="宋体" w:hAnsi="宋体" w:cs="Times New Roman"/>
          <w:sz w:val="30"/>
          <w:szCs w:val="30"/>
        </w:rPr>
        <w:t>净值</w:t>
      </w:r>
      <w:r w:rsidR="00800FAB" w:rsidRPr="009A2CC3">
        <w:rPr>
          <w:rFonts w:ascii="宋体" w:eastAsia="宋体" w:hAnsi="宋体" w:cs="Times New Roman" w:hint="eastAsia"/>
          <w:sz w:val="30"/>
          <w:szCs w:val="30"/>
        </w:rPr>
        <w:t>1.017</w:t>
      </w:r>
      <w:r w:rsidRPr="009A2CC3">
        <w:rPr>
          <w:rFonts w:ascii="宋体" w:eastAsia="宋体" w:hAnsi="宋体" w:cs="Times New Roman" w:hint="eastAsia"/>
          <w:sz w:val="30"/>
          <w:szCs w:val="30"/>
        </w:rPr>
        <w:t>39</w:t>
      </w:r>
      <w:r w:rsidR="00800FAB" w:rsidRPr="009A2CC3">
        <w:rPr>
          <w:rFonts w:ascii="宋体" w:eastAsia="宋体" w:hAnsi="宋体" w:cs="Times New Roman"/>
          <w:sz w:val="30"/>
          <w:szCs w:val="30"/>
        </w:rPr>
        <w:t>，</w:t>
      </w:r>
      <w:r w:rsidR="00800FAB" w:rsidRPr="009A2CC3">
        <w:rPr>
          <w:rFonts w:ascii="宋体" w:eastAsia="宋体" w:hAnsi="宋体" w:cs="Times New Roman" w:hint="eastAsia"/>
          <w:sz w:val="30"/>
          <w:szCs w:val="30"/>
        </w:rPr>
        <w:t>成立以来</w:t>
      </w:r>
      <w:r w:rsidR="00800FAB" w:rsidRPr="009A2CC3">
        <w:rPr>
          <w:rFonts w:ascii="宋体" w:eastAsia="宋体" w:hAnsi="宋体" w:cs="Times New Roman"/>
          <w:sz w:val="30"/>
          <w:szCs w:val="30"/>
        </w:rPr>
        <w:t>累计</w:t>
      </w:r>
      <w:r w:rsidR="00800FAB" w:rsidRPr="009A2CC3">
        <w:rPr>
          <w:rFonts w:ascii="宋体" w:eastAsia="宋体" w:hAnsi="宋体" w:cs="Times New Roman" w:hint="eastAsia"/>
          <w:sz w:val="30"/>
          <w:szCs w:val="30"/>
        </w:rPr>
        <w:t>增长率1.74</w:t>
      </w:r>
      <w:r w:rsidR="00800FAB" w:rsidRPr="009A2CC3">
        <w:rPr>
          <w:rFonts w:ascii="宋体" w:eastAsia="宋体" w:hAnsi="宋体" w:cs="Times New Roman"/>
          <w:sz w:val="30"/>
          <w:szCs w:val="30"/>
        </w:rPr>
        <w:t>%。</w:t>
      </w:r>
    </w:p>
    <w:p w:rsidR="00800FAB" w:rsidRPr="005D11E6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Pr="005D11E6">
        <w:rPr>
          <w:rFonts w:ascii="宋体" w:eastAsia="宋体" w:hAnsi="宋体" w:cs="Times New Roman"/>
          <w:sz w:val="22"/>
        </w:rPr>
        <w:t>1号</w:t>
      </w:r>
      <w:proofErr w:type="gramEnd"/>
      <w:r w:rsidRPr="005D11E6">
        <w:rPr>
          <w:rFonts w:ascii="宋体" w:eastAsia="宋体" w:hAnsi="宋体" w:cs="Times New Roman" w:hint="eastAsia"/>
          <w:sz w:val="22"/>
        </w:rPr>
        <w:t>C款</w:t>
      </w:r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5D11E6" w:rsidRDefault="00800FAB" w:rsidP="00800FAB">
      <w:pPr>
        <w:jc w:val="center"/>
        <w:rPr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（2018年7月3日-2018年9月25日）</w:t>
      </w:r>
    </w:p>
    <w:p w:rsidR="00800FAB" w:rsidRPr="00735E75" w:rsidRDefault="00800FAB" w:rsidP="00800FAB">
      <w:pPr>
        <w:rPr>
          <w:sz w:val="30"/>
          <w:szCs w:val="30"/>
        </w:rPr>
      </w:pPr>
    </w:p>
    <w:p w:rsidR="00800FAB" w:rsidRDefault="00E572B6" w:rsidP="00800FAB">
      <w:pPr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32531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337760" w:rsidRDefault="00337760" w:rsidP="00337760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报告期末，产品净值表现如下：</w:t>
      </w:r>
    </w:p>
    <w:tbl>
      <w:tblPr>
        <w:tblW w:w="6620" w:type="dxa"/>
        <w:jc w:val="center"/>
        <w:tblInd w:w="94" w:type="dxa"/>
        <w:tblLook w:val="04A0"/>
      </w:tblPr>
      <w:tblGrid>
        <w:gridCol w:w="1260"/>
        <w:gridCol w:w="1080"/>
        <w:gridCol w:w="1820"/>
        <w:gridCol w:w="2460"/>
      </w:tblGrid>
      <w:tr w:rsidR="00C61F90" w:rsidRPr="00C61F90" w:rsidTr="00C61F90">
        <w:trPr>
          <w:trHeight w:val="555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报告时点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产品资产净值</w:t>
            </w:r>
          </w:p>
        </w:tc>
      </w:tr>
      <w:tr w:rsidR="00C61F90" w:rsidRPr="00C61F90" w:rsidTr="00C61F90">
        <w:trPr>
          <w:trHeight w:val="285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2018/9/30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F90" w:rsidRPr="00C61F90" w:rsidRDefault="00C61F90" w:rsidP="00C61F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4,634,516,990.21</w:t>
            </w:r>
          </w:p>
        </w:tc>
      </w:tr>
    </w:tbl>
    <w:p w:rsidR="004379D9" w:rsidRPr="00337760" w:rsidRDefault="004379D9" w:rsidP="00800FAB">
      <w:pPr>
        <w:rPr>
          <w:sz w:val="30"/>
          <w:szCs w:val="30"/>
        </w:rPr>
      </w:pPr>
    </w:p>
    <w:p w:rsidR="00800FAB" w:rsidRPr="009A2CC3" w:rsidRDefault="00800FAB" w:rsidP="00800FAB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6" w:name="_Toc528159899"/>
      <w:r w:rsidRPr="009A2CC3">
        <w:rPr>
          <w:rFonts w:hint="eastAsia"/>
          <w:b/>
          <w:sz w:val="30"/>
          <w:szCs w:val="30"/>
        </w:rPr>
        <w:t>报告期内产品的投资策略和运作分析</w:t>
      </w:r>
      <w:bookmarkEnd w:id="6"/>
    </w:p>
    <w:p w:rsidR="00800FAB" w:rsidRDefault="00800FAB" w:rsidP="00800FAB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lastRenderedPageBreak/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年三季度宏观经济基本面温和下行，通胀压力显现，货币宽松延续。固定资产投资累计同比增速较去年明显下滑，主要是受到表外融资收缩继续拖累基建下滑影响。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月末理财细则落地，缓解理财过渡期整改压力，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7-8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月新增社融有所恢复，但结构仍在恶化，新增贷款中以票据为主，银行风险偏好持续下降。受猪瘟、寿光水灾影响，猪肉和蔬菜等食品价格持续上涨，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CPI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从</w:t>
      </w:r>
      <w:r>
        <w:rPr>
          <w:rFonts w:ascii="宋体" w:eastAsia="宋体" w:cs="宋体"/>
          <w:color w:val="000000"/>
          <w:kern w:val="0"/>
          <w:sz w:val="30"/>
          <w:szCs w:val="30"/>
        </w:rPr>
        <w:t>2.1%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回升至</w:t>
      </w:r>
      <w:r>
        <w:rPr>
          <w:rFonts w:ascii="宋体" w:eastAsia="宋体" w:cs="宋体"/>
          <w:color w:val="000000"/>
          <w:kern w:val="0"/>
          <w:sz w:val="30"/>
          <w:szCs w:val="30"/>
        </w:rPr>
        <w:t>2.5%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，通胀压力显现。大宗商品价格整体震荡小幅走高，由于去年供给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侧改革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导致基数较高，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PPI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受翘尾因素影响，持续温和回落。</w:t>
      </w:r>
    </w:p>
    <w:p w:rsidR="00800FAB" w:rsidRDefault="00800FAB" w:rsidP="00800FAB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资金面方面，三季度资金价格整体处于全年低位。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月初降准实施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7000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亿资金对冲到期</w:t>
      </w:r>
      <w:r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，为市场注入长期资金。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月资金面极其宽松，资金利率快速下行，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月初资金价格开始逐步回调直至均衡水平，流动性总体宽裕。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月地方债供给冲击叠加通胀预期回升，以及美联储加息扰动，资金面较</w:t>
      </w:r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月份略有收紧。</w:t>
      </w:r>
    </w:p>
    <w:p w:rsidR="00800FAB" w:rsidRDefault="00800FAB" w:rsidP="00800FAB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利率走势方面，三季度收益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率先下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后上，整体曲线陡峭化下行。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月份受资金面宽松，短端收益率大幅下行，带动长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端利率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下行；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月份受宽信用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预期、通胀回升及美国加息预期影响，利率出现回调；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月下旬，美联储加息央行选择不跟随，月末资金面平稳充裕，债券市场出现回暖迹象。与</w:t>
      </w:r>
      <w:r>
        <w:rPr>
          <w:rFonts w:ascii="宋体" w:eastAsia="宋体" w:cs="宋体"/>
          <w:color w:val="000000"/>
          <w:kern w:val="0"/>
          <w:sz w:val="30"/>
          <w:szCs w:val="30"/>
        </w:rPr>
        <w:t>6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月末相比，各信用品种</w:t>
      </w:r>
      <w:r>
        <w:rPr>
          <w:rFonts w:ascii="宋体" w:eastAsia="宋体" w:cs="宋体"/>
          <w:color w:val="000000"/>
          <w:kern w:val="0"/>
          <w:sz w:val="30"/>
          <w:szCs w:val="30"/>
        </w:rPr>
        <w:t>1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年期下行</w:t>
      </w:r>
      <w:r>
        <w:rPr>
          <w:rFonts w:ascii="宋体" w:eastAsia="宋体" w:cs="宋体"/>
          <w:color w:val="000000"/>
          <w:kern w:val="0"/>
          <w:sz w:val="30"/>
          <w:szCs w:val="30"/>
        </w:rPr>
        <w:t>80-110bp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3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年期品种下行</w:t>
      </w:r>
      <w:r>
        <w:rPr>
          <w:rFonts w:ascii="宋体" w:eastAsia="宋体" w:cs="宋体"/>
          <w:color w:val="000000"/>
          <w:kern w:val="0"/>
          <w:sz w:val="30"/>
          <w:szCs w:val="30"/>
        </w:rPr>
        <w:t>25-40bp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年期品种下行在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10bp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以内。</w:t>
      </w:r>
    </w:p>
    <w:p w:rsidR="00800FAB" w:rsidRDefault="00800FAB" w:rsidP="00800FAB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策略执行方面，组合维持杠杆套息操作，并适度参与利率债波段交易。在利率下行过快阶段注意压缩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800FAB" w:rsidRDefault="00800FAB" w:rsidP="00800FAB">
      <w:pPr>
        <w:ind w:firstLineChars="200"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展望四季度，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月经济数据走弱，预期四季度将延续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供需两弱格局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宽货币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到宽信用传导仍需时日，经济增速承压。食品和原油价格维持上涨态势，通胀压力将持续。资金面方面，央行公告从</w:t>
      </w:r>
      <w:r>
        <w:rPr>
          <w:rFonts w:ascii="宋体" w:eastAsia="宋体" w:cs="宋体"/>
          <w:color w:val="000000"/>
          <w:kern w:val="0"/>
          <w:sz w:val="30"/>
          <w:szCs w:val="30"/>
        </w:rPr>
        <w:t>10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日起降准</w:t>
      </w:r>
      <w:r>
        <w:rPr>
          <w:rFonts w:ascii="宋体" w:eastAsia="宋体" w:cs="宋体"/>
          <w:color w:val="000000"/>
          <w:kern w:val="0"/>
          <w:sz w:val="30"/>
          <w:szCs w:val="30"/>
        </w:rPr>
        <w:t>1%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，释放的资金除偿还到期的约</w:t>
      </w:r>
      <w:r>
        <w:rPr>
          <w:rFonts w:ascii="宋体" w:eastAsia="宋体" w:cs="宋体"/>
          <w:color w:val="000000"/>
          <w:kern w:val="0"/>
          <w:sz w:val="30"/>
          <w:szCs w:val="30"/>
        </w:rPr>
        <w:t>4500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亿元</w:t>
      </w:r>
      <w:r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外，还可再释放增量资金约</w:t>
      </w:r>
      <w:r>
        <w:rPr>
          <w:rFonts w:ascii="宋体" w:eastAsia="宋体" w:cs="宋体"/>
          <w:color w:val="000000"/>
          <w:kern w:val="0"/>
          <w:sz w:val="30"/>
          <w:szCs w:val="30"/>
        </w:rPr>
        <w:t>7500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亿元，预期年内宽松延续。虽然通胀和汇率两方面存压，但央行仍会着力疏通货币政策传导途径，货币市场流动性整体依旧充裕。资金面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在降准后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将更加稳定，杠杆套息策略仍将有较好表现。经过三季度曲线陡峭化下行，目前期限利差处于历史高位，后续将关注曲线平坦化带来的超额收益机会。</w:t>
      </w:r>
    </w:p>
    <w:p w:rsidR="002410DC" w:rsidRDefault="002410DC" w:rsidP="00800FAB">
      <w:pPr>
        <w:ind w:firstLineChars="200" w:firstLine="600"/>
        <w:rPr>
          <w:sz w:val="30"/>
          <w:szCs w:val="30"/>
        </w:rPr>
      </w:pPr>
    </w:p>
    <w:p w:rsidR="000B3C54" w:rsidRPr="001E4707" w:rsidRDefault="000B3C54" w:rsidP="000B3C54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7" w:name="_Toc528080791"/>
      <w:bookmarkStart w:id="8" w:name="_Toc528143414"/>
      <w:bookmarkStart w:id="9" w:name="_Toc528159900"/>
      <w:r w:rsidRPr="001E4707">
        <w:rPr>
          <w:rFonts w:asciiTheme="minorEastAsia" w:hAnsiTheme="minorEastAsia" w:hint="eastAsia"/>
          <w:b/>
          <w:sz w:val="30"/>
          <w:szCs w:val="30"/>
        </w:rPr>
        <w:t>2018年第3季度财务会计报告</w:t>
      </w:r>
      <w:bookmarkEnd w:id="7"/>
      <w:bookmarkEnd w:id="8"/>
      <w:bookmarkEnd w:id="9"/>
    </w:p>
    <w:p w:rsidR="000B3C54" w:rsidRPr="00580FF4" w:rsidRDefault="000B3C54" w:rsidP="000B3C54">
      <w:pPr>
        <w:pStyle w:val="2"/>
        <w:rPr>
          <w:rFonts w:asciiTheme="minorEastAsia" w:eastAsiaTheme="minorEastAsia" w:hAnsiTheme="minorEastAsia"/>
          <w:b w:val="0"/>
          <w:sz w:val="30"/>
          <w:szCs w:val="30"/>
        </w:rPr>
      </w:pPr>
      <w:bookmarkStart w:id="10" w:name="_Toc528080792"/>
      <w:bookmarkStart w:id="11" w:name="_Toc528143415"/>
      <w:bookmarkStart w:id="12" w:name="_Toc528159901"/>
      <w:r w:rsidRPr="00580FF4">
        <w:rPr>
          <w:rFonts w:asciiTheme="minorEastAsia" w:eastAsiaTheme="minorEastAsia" w:hAnsiTheme="minorEastAsia" w:hint="eastAsia"/>
          <w:b w:val="0"/>
          <w:sz w:val="30"/>
          <w:szCs w:val="30"/>
        </w:rPr>
        <w:t>1.资产负债表</w:t>
      </w:r>
      <w:bookmarkEnd w:id="10"/>
      <w:bookmarkEnd w:id="11"/>
      <w:bookmarkEnd w:id="12"/>
    </w:p>
    <w:p w:rsidR="000B3C54" w:rsidRDefault="000B3C54" w:rsidP="000B3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0B3C54">
        <w:rPr>
          <w:rFonts w:asciiTheme="minorEastAsia" w:hAnsiTheme="minorEastAsia" w:cs="宋体" w:hint="eastAsia"/>
          <w:kern w:val="0"/>
          <w:sz w:val="22"/>
        </w:rPr>
        <w:t>兴业银行天天</w:t>
      </w:r>
      <w:proofErr w:type="gramStart"/>
      <w:r w:rsidRPr="000B3C54">
        <w:rPr>
          <w:rFonts w:asciiTheme="minorEastAsia" w:hAnsiTheme="minorEastAsia" w:cs="宋体" w:hint="eastAsia"/>
          <w:kern w:val="0"/>
          <w:sz w:val="22"/>
        </w:rPr>
        <w:t>万利宝稳利1号</w:t>
      </w:r>
      <w:proofErr w:type="gramEnd"/>
      <w:r w:rsidRPr="000B3C54">
        <w:rPr>
          <w:rFonts w:asciiTheme="minorEastAsia" w:hAnsiTheme="minorEastAsia" w:cs="宋体" w:hint="eastAsia"/>
          <w:kern w:val="0"/>
          <w:sz w:val="22"/>
        </w:rPr>
        <w:t>净值型理财产品C款</w:t>
      </w:r>
    </w:p>
    <w:p w:rsidR="000B3C54" w:rsidRPr="00580FF4" w:rsidRDefault="000B3C54" w:rsidP="000B3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报告截止日：2018年9月30日</w:t>
      </w:r>
    </w:p>
    <w:tbl>
      <w:tblPr>
        <w:tblW w:w="11160" w:type="dxa"/>
        <w:jc w:val="center"/>
        <w:tblInd w:w="94" w:type="dxa"/>
        <w:tblLook w:val="04A0"/>
      </w:tblPr>
      <w:tblGrid>
        <w:gridCol w:w="1280"/>
        <w:gridCol w:w="1976"/>
        <w:gridCol w:w="1976"/>
        <w:gridCol w:w="1976"/>
        <w:gridCol w:w="1976"/>
        <w:gridCol w:w="1976"/>
      </w:tblGrid>
      <w:tr w:rsidR="00AF2EBD" w:rsidRPr="00AF2EBD" w:rsidTr="000E6C54">
        <w:trPr>
          <w:trHeight w:val="300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AF2EBD" w:rsidRPr="00AF2EBD" w:rsidTr="000E6C54">
        <w:trPr>
          <w:trHeight w:val="40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  产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EBD" w:rsidRPr="00AF2EBD" w:rsidRDefault="00AF2EBD" w:rsidP="00AF2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资产：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7,229,841.74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1,469,000.00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1,271,383.23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5,850,301,350.00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1,261,536,547.66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2,850,301,350.00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3,467,460.99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126,162.36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346,746.06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12,616.23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3,000,000,000.00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4,623,281.33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168,216.48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50,827.68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4,720.77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736,661.44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2,427,186,720.77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1,993,735.10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48,469,675.50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2,920,508.66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1,272,755,260.26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311,715.84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实收基金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4,552,016,026.95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2,427,717,570.47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82,500,963.26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3,546,943.12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AF2EBD" w:rsidRPr="00AF2EBD" w:rsidTr="000E6C54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4,634,516,990.21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2,431,264,513.59 </w:t>
            </w:r>
          </w:p>
        </w:tc>
      </w:tr>
      <w:tr w:rsidR="00AF2EBD" w:rsidRPr="00AF2EBD" w:rsidTr="000E6C54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资产总计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5,907,272,250.47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2,431,576,229.43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5,907,272,250.47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2,431,576,229.43 </w:t>
            </w:r>
          </w:p>
        </w:tc>
      </w:tr>
      <w:tr w:rsidR="00AF2EBD" w:rsidRPr="00AF2EBD" w:rsidTr="000E6C54">
        <w:trPr>
          <w:trHeight w:val="64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附注：基金份额净值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4,634,516,990.21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，基金份额总额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 xml:space="preserve">4,552,016,026.95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2EBD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EBD" w:rsidRPr="00AF2EBD" w:rsidRDefault="00AF2EBD" w:rsidP="00AF2EB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0E6C54" w:rsidRPr="001E4707" w:rsidRDefault="000E6C54" w:rsidP="000E6C54">
      <w:pPr>
        <w:pStyle w:val="2"/>
        <w:rPr>
          <w:rFonts w:asciiTheme="minorEastAsia" w:eastAsiaTheme="minorEastAsia" w:hAnsiTheme="minorEastAsia"/>
          <w:sz w:val="30"/>
          <w:szCs w:val="30"/>
        </w:rPr>
      </w:pPr>
      <w:bookmarkStart w:id="13" w:name="_Toc528143416"/>
      <w:bookmarkStart w:id="14" w:name="_Toc528159902"/>
      <w:r w:rsidRPr="001E4707">
        <w:rPr>
          <w:rFonts w:asciiTheme="minorEastAsia" w:eastAsiaTheme="minorEastAsia" w:hAnsiTheme="minorEastAsia" w:hint="eastAsia"/>
          <w:sz w:val="30"/>
          <w:szCs w:val="30"/>
        </w:rPr>
        <w:t>2.利润表</w:t>
      </w:r>
      <w:bookmarkEnd w:id="13"/>
      <w:bookmarkEnd w:id="14"/>
    </w:p>
    <w:p w:rsidR="000E6C54" w:rsidRPr="00580FF4" w:rsidRDefault="000E6C54" w:rsidP="000E6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0B3C54">
        <w:rPr>
          <w:rFonts w:asciiTheme="minorEastAsia" w:hAnsiTheme="minorEastAsia" w:cs="宋体" w:hint="eastAsia"/>
          <w:kern w:val="0"/>
          <w:sz w:val="22"/>
        </w:rPr>
        <w:t>兴业银行天天</w:t>
      </w:r>
      <w:proofErr w:type="gramStart"/>
      <w:r w:rsidRPr="000B3C54">
        <w:rPr>
          <w:rFonts w:asciiTheme="minorEastAsia" w:hAnsiTheme="minorEastAsia" w:cs="宋体" w:hint="eastAsia"/>
          <w:kern w:val="0"/>
          <w:sz w:val="22"/>
        </w:rPr>
        <w:t>万利宝稳利1号</w:t>
      </w:r>
      <w:proofErr w:type="gramEnd"/>
      <w:r w:rsidRPr="000B3C54">
        <w:rPr>
          <w:rFonts w:asciiTheme="minorEastAsia" w:hAnsiTheme="minorEastAsia" w:cs="宋体" w:hint="eastAsia"/>
          <w:kern w:val="0"/>
          <w:sz w:val="22"/>
        </w:rPr>
        <w:t>净值型理财产品C款</w:t>
      </w:r>
    </w:p>
    <w:p w:rsidR="000E6C54" w:rsidRDefault="000E6C54" w:rsidP="000E6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本报告期：2018年7月1日至2018年9月30日</w:t>
      </w:r>
    </w:p>
    <w:p w:rsidR="00D5157E" w:rsidRDefault="00D5157E" w:rsidP="000E6C54">
      <w:pPr>
        <w:rPr>
          <w:rFonts w:asciiTheme="minorEastAsia" w:hAnsiTheme="minorEastAsia" w:cs="宋体"/>
          <w:kern w:val="0"/>
          <w:sz w:val="22"/>
        </w:rPr>
      </w:pPr>
    </w:p>
    <w:tbl>
      <w:tblPr>
        <w:tblW w:w="8180" w:type="dxa"/>
        <w:jc w:val="center"/>
        <w:tblInd w:w="94" w:type="dxa"/>
        <w:tblLook w:val="04A0"/>
      </w:tblPr>
      <w:tblGrid>
        <w:gridCol w:w="880"/>
        <w:gridCol w:w="880"/>
        <w:gridCol w:w="1760"/>
        <w:gridCol w:w="514"/>
        <w:gridCol w:w="2166"/>
        <w:gridCol w:w="1980"/>
      </w:tblGrid>
      <w:tr w:rsidR="000E6C54" w:rsidRPr="000E6C54" w:rsidTr="000E6C54">
        <w:trPr>
          <w:trHeight w:val="300"/>
          <w:jc w:val="center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6C54" w:rsidRPr="000E6C54" w:rsidRDefault="000E6C54" w:rsidP="000E6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89,387,596.08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92,308,104.74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74,251,287.08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77,171,795.74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28,400.74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29,071.22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20,055,478.69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20,055,478.69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1,454,034.49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4,373,872.67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52,713,373.16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52,713,373.16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5,256,319.00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5,256,319.00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5,256,319.00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5,256,319.00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9,879,990.00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9,879,990.00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16,143,119.46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16,450,114.53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3,341,298.63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3,467,460.99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334,129.83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346,746.06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4,455,064.85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4,623,281.33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18,554.06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18,554.06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7,262,378.92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7,262,378.92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7,262,378.92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7,262,378.92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731,693.17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731,693.17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73,244,476.62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75,857,990.21 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E6C54" w:rsidRPr="000E6C54" w:rsidTr="000E6C54">
        <w:trPr>
          <w:trHeight w:val="300"/>
          <w:jc w:val="center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73,244,476.62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54" w:rsidRPr="000E6C54" w:rsidRDefault="000E6C54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75,857,990.21 </w:t>
            </w:r>
          </w:p>
        </w:tc>
      </w:tr>
    </w:tbl>
    <w:p w:rsidR="000E6C54" w:rsidRPr="00580FF4" w:rsidRDefault="000E6C54" w:rsidP="000E6C54">
      <w:pPr>
        <w:rPr>
          <w:rFonts w:asciiTheme="minorEastAsia" w:hAnsiTheme="minorEastAsia" w:cs="宋体"/>
          <w:kern w:val="0"/>
          <w:sz w:val="22"/>
        </w:rPr>
      </w:pPr>
    </w:p>
    <w:p w:rsidR="000E6C54" w:rsidRPr="001E4707" w:rsidRDefault="000E6C54" w:rsidP="000E6C54">
      <w:pPr>
        <w:pStyle w:val="2"/>
        <w:rPr>
          <w:rFonts w:asciiTheme="minorEastAsia" w:eastAsiaTheme="minorEastAsia" w:hAnsiTheme="minorEastAsia"/>
          <w:sz w:val="30"/>
          <w:szCs w:val="30"/>
        </w:rPr>
      </w:pPr>
      <w:bookmarkStart w:id="15" w:name="_Toc528143417"/>
      <w:bookmarkStart w:id="16" w:name="_Toc528159903"/>
      <w:r w:rsidRPr="001E4707">
        <w:rPr>
          <w:rFonts w:asciiTheme="minorEastAsia" w:eastAsiaTheme="minorEastAsia" w:hAnsiTheme="minorEastAsia" w:hint="eastAsia"/>
          <w:sz w:val="30"/>
          <w:szCs w:val="30"/>
        </w:rPr>
        <w:t>3.所有者权益表</w:t>
      </w:r>
      <w:bookmarkEnd w:id="15"/>
      <w:bookmarkEnd w:id="16"/>
    </w:p>
    <w:p w:rsidR="000E6C54" w:rsidRDefault="000E6C54" w:rsidP="000E6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0B3C54">
        <w:rPr>
          <w:rFonts w:asciiTheme="minorEastAsia" w:hAnsiTheme="minorEastAsia" w:cs="宋体" w:hint="eastAsia"/>
          <w:kern w:val="0"/>
          <w:sz w:val="22"/>
        </w:rPr>
        <w:t>兴业银行天天</w:t>
      </w:r>
      <w:proofErr w:type="gramStart"/>
      <w:r w:rsidRPr="000B3C54">
        <w:rPr>
          <w:rFonts w:asciiTheme="minorEastAsia" w:hAnsiTheme="minorEastAsia" w:cs="宋体" w:hint="eastAsia"/>
          <w:kern w:val="0"/>
          <w:sz w:val="22"/>
        </w:rPr>
        <w:t>万利宝稳利1号</w:t>
      </w:r>
      <w:proofErr w:type="gramEnd"/>
      <w:r w:rsidRPr="000B3C54">
        <w:rPr>
          <w:rFonts w:asciiTheme="minorEastAsia" w:hAnsiTheme="minorEastAsia" w:cs="宋体" w:hint="eastAsia"/>
          <w:kern w:val="0"/>
          <w:sz w:val="22"/>
        </w:rPr>
        <w:t>净值型理财产品C款</w:t>
      </w:r>
    </w:p>
    <w:p w:rsidR="000E6C54" w:rsidRDefault="000E6C54" w:rsidP="000E6C54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报告截止日：2018年9月30日</w:t>
      </w:r>
    </w:p>
    <w:p w:rsidR="00D5157E" w:rsidRPr="00580FF4" w:rsidRDefault="00D5157E" w:rsidP="000E6C54">
      <w:pPr>
        <w:rPr>
          <w:rFonts w:asciiTheme="minorEastAsia" w:hAnsiTheme="minorEastAsia" w:cs="宋体"/>
          <w:kern w:val="0"/>
          <w:sz w:val="22"/>
        </w:rPr>
      </w:pPr>
    </w:p>
    <w:tbl>
      <w:tblPr>
        <w:tblW w:w="9760" w:type="dxa"/>
        <w:jc w:val="center"/>
        <w:tblInd w:w="94" w:type="dxa"/>
        <w:tblLook w:val="04A0"/>
      </w:tblPr>
      <w:tblGrid>
        <w:gridCol w:w="3160"/>
        <w:gridCol w:w="2200"/>
        <w:gridCol w:w="2200"/>
        <w:gridCol w:w="2200"/>
      </w:tblGrid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73602C" w:rsidRPr="0073602C" w:rsidTr="0073602C">
        <w:trPr>
          <w:trHeight w:val="402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本期金额</w:t>
            </w:r>
          </w:p>
        </w:tc>
      </w:tr>
      <w:tr w:rsidR="0073602C" w:rsidRPr="0073602C" w:rsidTr="0073602C">
        <w:trPr>
          <w:trHeight w:val="402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所有者权益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3,546,943.12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2,431,264,513.59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78,954,020.14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78,954,020.14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4,552,016,026.95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82,500,963.26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4,634,516,990.21 </w:t>
            </w:r>
          </w:p>
        </w:tc>
      </w:tr>
      <w:tr w:rsidR="0073602C" w:rsidRPr="0073602C" w:rsidTr="0073602C">
        <w:trPr>
          <w:trHeight w:val="402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上期金额</w:t>
            </w:r>
          </w:p>
        </w:tc>
      </w:tr>
      <w:tr w:rsidR="0073602C" w:rsidRPr="0073602C" w:rsidTr="0073602C">
        <w:trPr>
          <w:trHeight w:val="402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所有者权益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2,613,513.59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2,613,513.59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</w:t>
            </w: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2,427,717,570.47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      其中：1.基金申购款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3602C" w:rsidRPr="0073602C" w:rsidTr="0073602C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2,613,513.59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2C" w:rsidRPr="0073602C" w:rsidRDefault="0073602C" w:rsidP="00736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0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2,430,331,084.06 </w:t>
            </w:r>
          </w:p>
        </w:tc>
      </w:tr>
    </w:tbl>
    <w:p w:rsidR="00932A3F" w:rsidRPr="000E6C54" w:rsidRDefault="00932A3F"/>
    <w:p w:rsidR="00A06E5B" w:rsidRPr="009A2CC3" w:rsidRDefault="00A06E5B" w:rsidP="00944A6A">
      <w:pPr>
        <w:pStyle w:val="a3"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7" w:name="_Toc528159904"/>
      <w:r w:rsidRPr="009A2CC3">
        <w:rPr>
          <w:rFonts w:hint="eastAsia"/>
          <w:b/>
          <w:sz w:val="30"/>
          <w:szCs w:val="30"/>
        </w:rPr>
        <w:t>投资组合情况</w:t>
      </w:r>
      <w:bookmarkEnd w:id="17"/>
    </w:p>
    <w:p w:rsidR="00A06E5B" w:rsidRPr="00735E75" w:rsidRDefault="00A06E5B" w:rsidP="00944A6A">
      <w:pPr>
        <w:pStyle w:val="2"/>
        <w:rPr>
          <w:sz w:val="30"/>
          <w:szCs w:val="30"/>
        </w:rPr>
      </w:pPr>
      <w:bookmarkStart w:id="18" w:name="_Toc528159905"/>
      <w:r w:rsidRPr="00735E75">
        <w:rPr>
          <w:rFonts w:hint="eastAsia"/>
          <w:sz w:val="30"/>
          <w:szCs w:val="30"/>
        </w:rPr>
        <w:t xml:space="preserve">1. </w:t>
      </w:r>
      <w:r w:rsidRPr="00735E75">
        <w:rPr>
          <w:rFonts w:hint="eastAsia"/>
          <w:sz w:val="30"/>
          <w:szCs w:val="30"/>
        </w:rPr>
        <w:t>报告</w:t>
      </w:r>
      <w:proofErr w:type="gramStart"/>
      <w:r w:rsidRPr="00735E75">
        <w:rPr>
          <w:rFonts w:hint="eastAsia"/>
          <w:sz w:val="30"/>
          <w:szCs w:val="30"/>
        </w:rPr>
        <w:t>期末稳利</w:t>
      </w:r>
      <w:r w:rsidRPr="00735E75">
        <w:rPr>
          <w:rFonts w:hint="eastAsia"/>
          <w:sz w:val="30"/>
          <w:szCs w:val="30"/>
        </w:rPr>
        <w:t>1</w:t>
      </w:r>
      <w:r w:rsidRPr="00735E75">
        <w:rPr>
          <w:rFonts w:hint="eastAsia"/>
          <w:sz w:val="30"/>
          <w:szCs w:val="30"/>
        </w:rPr>
        <w:t>号</w:t>
      </w:r>
      <w:proofErr w:type="gramEnd"/>
      <w:r w:rsidRPr="00735E75">
        <w:rPr>
          <w:rFonts w:hint="eastAsia"/>
          <w:sz w:val="30"/>
          <w:szCs w:val="30"/>
        </w:rPr>
        <w:t>C</w:t>
      </w:r>
      <w:proofErr w:type="gramStart"/>
      <w:r w:rsidRPr="00735E75">
        <w:rPr>
          <w:rFonts w:hint="eastAsia"/>
          <w:sz w:val="30"/>
          <w:szCs w:val="30"/>
        </w:rPr>
        <w:t>款资产</w:t>
      </w:r>
      <w:proofErr w:type="gramEnd"/>
      <w:r w:rsidRPr="00735E75">
        <w:rPr>
          <w:rFonts w:hint="eastAsia"/>
          <w:sz w:val="30"/>
          <w:szCs w:val="30"/>
        </w:rPr>
        <w:t>组合情况</w:t>
      </w:r>
      <w:bookmarkEnd w:id="18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稳利1号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0.12%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27.40%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21.31%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51.17%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A06E5B" w:rsidRPr="00735E75" w:rsidRDefault="00A06E5B" w:rsidP="00A06E5B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A06E5B" w:rsidRPr="00735E75" w:rsidRDefault="00A06E5B" w:rsidP="00A06E5B">
      <w:pPr>
        <w:ind w:firstLineChars="200" w:firstLine="600"/>
        <w:rPr>
          <w:bCs/>
          <w:sz w:val="30"/>
          <w:szCs w:val="30"/>
        </w:rPr>
      </w:pPr>
    </w:p>
    <w:p w:rsidR="00A06E5B" w:rsidRPr="00735E75" w:rsidRDefault="00A06E5B" w:rsidP="00944A6A">
      <w:pPr>
        <w:pStyle w:val="2"/>
        <w:rPr>
          <w:sz w:val="30"/>
          <w:szCs w:val="30"/>
        </w:rPr>
      </w:pPr>
      <w:bookmarkStart w:id="19" w:name="_Toc528159906"/>
      <w:r w:rsidRPr="00735E75">
        <w:rPr>
          <w:rFonts w:hint="eastAsia"/>
          <w:sz w:val="30"/>
          <w:szCs w:val="30"/>
        </w:rPr>
        <w:t xml:space="preserve">2. </w:t>
      </w:r>
      <w:r w:rsidRPr="00735E75">
        <w:rPr>
          <w:rFonts w:hint="eastAsia"/>
          <w:sz w:val="30"/>
          <w:szCs w:val="30"/>
        </w:rPr>
        <w:t>报告期末杠杆融资情况</w:t>
      </w:r>
      <w:bookmarkEnd w:id="19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A06E5B" w:rsidRPr="00735E75" w:rsidTr="000E6C54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A06E5B" w:rsidRPr="00735E75" w:rsidTr="000E6C54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稳利1号</w:t>
            </w:r>
            <w:proofErr w:type="gramEnd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5B" w:rsidRPr="00735E75" w:rsidRDefault="00A06E5B" w:rsidP="000E6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25.98%</w:t>
            </w:r>
          </w:p>
        </w:tc>
      </w:tr>
    </w:tbl>
    <w:p w:rsidR="00A06E5B" w:rsidRPr="00735E75" w:rsidRDefault="00A06E5B" w:rsidP="00A06E5B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Pr="00735E75">
        <w:rPr>
          <w:rFonts w:hint="eastAsia"/>
          <w:sz w:val="30"/>
          <w:szCs w:val="30"/>
        </w:rPr>
        <w:t>1</w:t>
      </w:r>
      <w:r w:rsidRPr="00735E75">
        <w:rPr>
          <w:rFonts w:hint="eastAsia"/>
          <w:sz w:val="30"/>
          <w:szCs w:val="30"/>
        </w:rPr>
        <w:t>号</w:t>
      </w:r>
      <w:r w:rsidRPr="00735E75">
        <w:rPr>
          <w:rFonts w:hint="eastAsia"/>
          <w:sz w:val="30"/>
          <w:szCs w:val="30"/>
        </w:rPr>
        <w:t>C</w:t>
      </w:r>
      <w:r w:rsidRPr="00735E75">
        <w:rPr>
          <w:rFonts w:hint="eastAsia"/>
          <w:sz w:val="30"/>
          <w:szCs w:val="30"/>
        </w:rPr>
        <w:t>款债券回购融资余额未超过净资产规模的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Pr="00735E75">
        <w:rPr>
          <w:rFonts w:hint="eastAsia"/>
          <w:sz w:val="30"/>
          <w:szCs w:val="30"/>
        </w:rPr>
        <w:t>1</w:t>
      </w:r>
      <w:r w:rsidRPr="00735E75">
        <w:rPr>
          <w:rFonts w:hint="eastAsia"/>
          <w:sz w:val="30"/>
          <w:szCs w:val="30"/>
        </w:rPr>
        <w:t>号</w:t>
      </w:r>
      <w:proofErr w:type="gramEnd"/>
      <w:r w:rsidRPr="00735E75">
        <w:rPr>
          <w:rFonts w:hint="eastAsia"/>
          <w:sz w:val="30"/>
          <w:szCs w:val="30"/>
        </w:rPr>
        <w:t>C</w:t>
      </w:r>
      <w:r w:rsidRPr="00735E75">
        <w:rPr>
          <w:rFonts w:hint="eastAsia"/>
          <w:sz w:val="30"/>
          <w:szCs w:val="30"/>
        </w:rPr>
        <w:t>款总资产未超过该产品净资产规模的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E320E4" w:rsidRPr="001E4707" w:rsidRDefault="00E320E4" w:rsidP="00E320E4">
      <w:pPr>
        <w:pStyle w:val="2"/>
        <w:rPr>
          <w:rFonts w:asciiTheme="minorEastAsia" w:hAnsiTheme="minorEastAsia"/>
          <w:sz w:val="30"/>
          <w:szCs w:val="30"/>
        </w:rPr>
      </w:pPr>
      <w:bookmarkStart w:id="20" w:name="_Toc528143421"/>
      <w:bookmarkStart w:id="21" w:name="_Toc528159907"/>
      <w:r w:rsidRPr="001E4707">
        <w:rPr>
          <w:rFonts w:hint="eastAsia"/>
          <w:sz w:val="30"/>
          <w:szCs w:val="30"/>
        </w:rPr>
        <w:t>3.</w:t>
      </w:r>
      <w:r w:rsidRPr="001E4707">
        <w:rPr>
          <w:rFonts w:asciiTheme="minorEastAsia" w:hAnsiTheme="minorEastAsia" w:hint="eastAsia"/>
          <w:sz w:val="30"/>
          <w:szCs w:val="30"/>
        </w:rPr>
        <w:t xml:space="preserve"> </w:t>
      </w:r>
      <w:r w:rsidRPr="001E4707">
        <w:rPr>
          <w:rFonts w:asciiTheme="minorEastAsia" w:eastAsiaTheme="minorEastAsia" w:hAnsiTheme="minorEastAsia" w:hint="eastAsia"/>
          <w:sz w:val="30"/>
          <w:szCs w:val="30"/>
        </w:rPr>
        <w:t>报告期末资产持仓前</w:t>
      </w:r>
      <w:proofErr w:type="gramStart"/>
      <w:r w:rsidRPr="001E4707">
        <w:rPr>
          <w:rFonts w:asciiTheme="minorEastAsia" w:eastAsiaTheme="minorEastAsia" w:hAnsiTheme="minorEastAsia" w:hint="eastAsia"/>
          <w:sz w:val="30"/>
          <w:szCs w:val="30"/>
        </w:rPr>
        <w:t>十基本</w:t>
      </w:r>
      <w:proofErr w:type="gramEnd"/>
      <w:r w:rsidRPr="001E4707">
        <w:rPr>
          <w:rFonts w:asciiTheme="minorEastAsia" w:eastAsiaTheme="minorEastAsia" w:hAnsiTheme="minorEastAsia" w:hint="eastAsia"/>
          <w:sz w:val="30"/>
          <w:szCs w:val="30"/>
        </w:rPr>
        <w:t>信息</w:t>
      </w:r>
      <w:bookmarkEnd w:id="20"/>
      <w:bookmarkEnd w:id="21"/>
    </w:p>
    <w:tbl>
      <w:tblPr>
        <w:tblW w:w="7056" w:type="dxa"/>
        <w:jc w:val="center"/>
        <w:tblInd w:w="94" w:type="dxa"/>
        <w:tblLook w:val="04A0"/>
      </w:tblPr>
      <w:tblGrid>
        <w:gridCol w:w="1348"/>
        <w:gridCol w:w="2228"/>
        <w:gridCol w:w="2460"/>
        <w:gridCol w:w="1020"/>
      </w:tblGrid>
      <w:tr w:rsidR="00E320E4" w:rsidRPr="001454E2" w:rsidTr="00E320E4">
        <w:trPr>
          <w:trHeight w:val="27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E4" w:rsidRPr="001454E2" w:rsidRDefault="00E320E4" w:rsidP="00E320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454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资产类型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E4" w:rsidRPr="001454E2" w:rsidRDefault="00E320E4" w:rsidP="00E320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454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1454E2" w:rsidRDefault="00E320E4" w:rsidP="00E320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454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资产面额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1454E2" w:rsidRDefault="00E320E4" w:rsidP="00E320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454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占比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同业借款20180209004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1,000,000,000.00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17.05%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</w:t>
            </w: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同业借款</w:t>
            </w: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20180601002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1,000,000,000.00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17.05%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货币市场工具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同业借款20180613001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8.53%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同业借款20180613002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8.53%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450,000,000.00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7.67%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proofErr w:type="gramStart"/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华融湘江</w:t>
            </w:r>
            <w:proofErr w:type="gramEnd"/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银行CD147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4.92%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18厦门国际银行CD195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4.93%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18重庆农村商行CD048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4.90%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18昆仑银行CD074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3.28%</w:t>
            </w:r>
          </w:p>
        </w:tc>
      </w:tr>
      <w:tr w:rsidR="00E320E4" w:rsidRPr="00E320E4" w:rsidTr="00E320E4">
        <w:trPr>
          <w:trHeight w:val="270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18苏州银行CD052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E4" w:rsidRPr="00E320E4" w:rsidRDefault="00E320E4" w:rsidP="00E3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100,000,000.00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E4" w:rsidRPr="00E320E4" w:rsidRDefault="00E320E4" w:rsidP="00E320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1.65%</w:t>
            </w:r>
          </w:p>
        </w:tc>
      </w:tr>
    </w:tbl>
    <w:p w:rsidR="00E320E4" w:rsidRDefault="00E320E4" w:rsidP="00E320E4">
      <w:pPr>
        <w:jc w:val="right"/>
        <w:rPr>
          <w:rFonts w:asciiTheme="minorEastAsia" w:hAnsiTheme="minorEastAsia"/>
          <w:sz w:val="30"/>
          <w:szCs w:val="30"/>
        </w:rPr>
      </w:pPr>
    </w:p>
    <w:p w:rsidR="00E320E4" w:rsidRPr="00580FF4" w:rsidRDefault="00E320E4" w:rsidP="00E320E4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E320E4" w:rsidRPr="00580FF4" w:rsidRDefault="00E320E4" w:rsidP="00E320E4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2018年10月23日</w:t>
      </w:r>
    </w:p>
    <w:p w:rsidR="00A06E5B" w:rsidRPr="00E320E4" w:rsidRDefault="00A06E5B"/>
    <w:sectPr w:rsidR="00A06E5B" w:rsidRPr="00E320E4" w:rsidSect="000E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8D" w:rsidRDefault="0002328D" w:rsidP="00B76059">
      <w:r>
        <w:separator/>
      </w:r>
    </w:p>
  </w:endnote>
  <w:endnote w:type="continuationSeparator" w:id="0">
    <w:p w:rsidR="0002328D" w:rsidRDefault="0002328D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8D" w:rsidRDefault="0002328D" w:rsidP="00B76059">
      <w:r>
        <w:separator/>
      </w:r>
    </w:p>
  </w:footnote>
  <w:footnote w:type="continuationSeparator" w:id="0">
    <w:p w:rsidR="0002328D" w:rsidRDefault="0002328D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02F"/>
    <w:multiLevelType w:val="hybridMultilevel"/>
    <w:tmpl w:val="9D3688EA"/>
    <w:lvl w:ilvl="0" w:tplc="0FE89D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2328D"/>
    <w:rsid w:val="000B3C54"/>
    <w:rsid w:val="000E6C54"/>
    <w:rsid w:val="001454E2"/>
    <w:rsid w:val="001C59F3"/>
    <w:rsid w:val="002410DC"/>
    <w:rsid w:val="00337760"/>
    <w:rsid w:val="004379D9"/>
    <w:rsid w:val="004C62FD"/>
    <w:rsid w:val="005D41D3"/>
    <w:rsid w:val="00656EB8"/>
    <w:rsid w:val="00670924"/>
    <w:rsid w:val="0073602C"/>
    <w:rsid w:val="00800FAB"/>
    <w:rsid w:val="00932A3F"/>
    <w:rsid w:val="00940614"/>
    <w:rsid w:val="00944A6A"/>
    <w:rsid w:val="009A2CC3"/>
    <w:rsid w:val="00A06E5B"/>
    <w:rsid w:val="00AF2EBD"/>
    <w:rsid w:val="00B76059"/>
    <w:rsid w:val="00C61F90"/>
    <w:rsid w:val="00D008EB"/>
    <w:rsid w:val="00D02BE3"/>
    <w:rsid w:val="00D5157E"/>
    <w:rsid w:val="00E320E4"/>
    <w:rsid w:val="00E51294"/>
    <w:rsid w:val="00E572B6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4A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C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79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9D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B3C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44A6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9A2CC3"/>
  </w:style>
  <w:style w:type="paragraph" w:styleId="20">
    <w:name w:val="toc 2"/>
    <w:basedOn w:val="a"/>
    <w:next w:val="a"/>
    <w:autoRedefine/>
    <w:uiPriority w:val="39"/>
    <w:unhideWhenUsed/>
    <w:rsid w:val="009A2CC3"/>
    <w:pPr>
      <w:ind w:leftChars="200" w:left="420"/>
    </w:pPr>
  </w:style>
  <w:style w:type="character" w:styleId="a7">
    <w:name w:val="Hyperlink"/>
    <w:basedOn w:val="a0"/>
    <w:uiPriority w:val="99"/>
    <w:unhideWhenUsed/>
    <w:rsid w:val="009A2C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AA49-D443-4636-B06C-B53D3BD4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1048</Words>
  <Characters>5978</Characters>
  <Application>Microsoft Office Word</Application>
  <DocSecurity>0</DocSecurity>
  <Lines>49</Lines>
  <Paragraphs>14</Paragraphs>
  <ScaleCrop>false</ScaleCrop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16</cp:revision>
  <dcterms:created xsi:type="dcterms:W3CDTF">2018-10-17T06:23:00Z</dcterms:created>
  <dcterms:modified xsi:type="dcterms:W3CDTF">2018-10-24T07:57:00Z</dcterms:modified>
</cp:coreProperties>
</file>