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2B" w:rsidRPr="00681902" w:rsidRDefault="007B4E3A" w:rsidP="00E42B11">
      <w:pPr>
        <w:jc w:val="center"/>
        <w:rPr>
          <w:rFonts w:ascii="Arial" w:eastAsia="宋体" w:hAnsi="Arial" w:cs="Arial"/>
          <w:b/>
          <w:sz w:val="30"/>
          <w:szCs w:val="30"/>
        </w:rPr>
      </w:pPr>
      <w:r w:rsidRPr="00681902">
        <w:rPr>
          <w:rFonts w:ascii="Arial" w:eastAsia="宋体" w:hAnsi="Arial" w:cs="Arial"/>
          <w:b/>
          <w:sz w:val="30"/>
          <w:szCs w:val="30"/>
        </w:rPr>
        <w:t>兴业银行</w:t>
      </w:r>
      <w:r w:rsidRPr="00681902">
        <w:rPr>
          <w:rFonts w:ascii="Arial" w:eastAsia="宋体" w:hAnsi="Arial" w:cs="Arial"/>
          <w:b/>
          <w:sz w:val="30"/>
          <w:szCs w:val="30"/>
        </w:rPr>
        <w:t>“</w:t>
      </w:r>
      <w:r w:rsidRPr="00681902">
        <w:rPr>
          <w:rFonts w:ascii="Arial" w:eastAsia="宋体" w:hAnsi="Arial" w:cs="Arial"/>
          <w:b/>
          <w:sz w:val="30"/>
          <w:szCs w:val="30"/>
        </w:rPr>
        <w:t>万利宝</w:t>
      </w:r>
      <w:r w:rsidRPr="00681902">
        <w:rPr>
          <w:rFonts w:ascii="Arial" w:eastAsia="宋体" w:hAnsi="Arial" w:cs="Arial"/>
          <w:b/>
          <w:sz w:val="30"/>
          <w:szCs w:val="30"/>
        </w:rPr>
        <w:t>-</w:t>
      </w:r>
      <w:r w:rsidRPr="00681902">
        <w:rPr>
          <w:rFonts w:ascii="Arial" w:eastAsia="宋体" w:hAnsi="Arial" w:cs="Arial"/>
          <w:b/>
          <w:sz w:val="30"/>
          <w:szCs w:val="30"/>
        </w:rPr>
        <w:t>聚利</w:t>
      </w:r>
      <w:r w:rsidRPr="00681902">
        <w:rPr>
          <w:rFonts w:ascii="Arial" w:eastAsia="宋体" w:hAnsi="Arial" w:cs="Arial"/>
          <w:b/>
          <w:sz w:val="30"/>
          <w:szCs w:val="30"/>
        </w:rPr>
        <w:t>”2018</w:t>
      </w:r>
      <w:r w:rsidRPr="00681902">
        <w:rPr>
          <w:rFonts w:ascii="Arial" w:eastAsia="宋体" w:hAnsi="Arial" w:cs="Arial"/>
          <w:b/>
          <w:sz w:val="30"/>
          <w:szCs w:val="30"/>
        </w:rPr>
        <w:t>年第</w:t>
      </w:r>
      <w:r w:rsidRPr="00681902">
        <w:rPr>
          <w:rFonts w:ascii="Arial" w:eastAsia="宋体" w:hAnsi="Arial" w:cs="Arial"/>
          <w:b/>
          <w:sz w:val="30"/>
          <w:szCs w:val="30"/>
        </w:rPr>
        <w:t>3</w:t>
      </w:r>
      <w:r w:rsidRPr="00681902">
        <w:rPr>
          <w:rFonts w:ascii="Arial" w:eastAsia="宋体" w:hAnsi="Arial" w:cs="Arial"/>
          <w:b/>
          <w:sz w:val="30"/>
          <w:szCs w:val="30"/>
        </w:rPr>
        <w:t>期封闭式净值型理财产品</w:t>
      </w:r>
      <w:r w:rsidRPr="00681902">
        <w:rPr>
          <w:rFonts w:ascii="Arial" w:eastAsia="宋体" w:hAnsi="Arial" w:cs="Arial"/>
          <w:b/>
          <w:sz w:val="30"/>
          <w:szCs w:val="30"/>
        </w:rPr>
        <w:t>(</w:t>
      </w:r>
      <w:r w:rsidRPr="00681902">
        <w:rPr>
          <w:rFonts w:ascii="Arial" w:eastAsia="宋体" w:hAnsi="Arial" w:cs="Arial"/>
          <w:b/>
          <w:sz w:val="30"/>
          <w:szCs w:val="30"/>
        </w:rPr>
        <w:t>北京专属</w:t>
      </w:r>
      <w:r w:rsidRPr="00681902">
        <w:rPr>
          <w:rFonts w:ascii="Arial" w:eastAsia="宋体" w:hAnsi="Arial" w:cs="Arial"/>
          <w:b/>
          <w:sz w:val="30"/>
          <w:szCs w:val="30"/>
        </w:rPr>
        <w:t>)</w:t>
      </w:r>
    </w:p>
    <w:p w:rsidR="00E42B11" w:rsidRPr="00681902" w:rsidRDefault="00D957E4" w:rsidP="00E42B11">
      <w:pPr>
        <w:jc w:val="center"/>
        <w:rPr>
          <w:rFonts w:ascii="Arial" w:eastAsia="宋体" w:hAnsi="Arial" w:cs="Arial"/>
          <w:b/>
          <w:sz w:val="30"/>
          <w:szCs w:val="30"/>
        </w:rPr>
      </w:pPr>
      <w:r w:rsidRPr="00681902">
        <w:rPr>
          <w:rFonts w:ascii="Arial" w:eastAsia="宋体" w:hAnsi="Arial" w:cs="Arial"/>
          <w:b/>
          <w:sz w:val="30"/>
          <w:szCs w:val="30"/>
        </w:rPr>
        <w:t>201</w:t>
      </w:r>
      <w:r w:rsidR="008B7B2B" w:rsidRPr="00681902">
        <w:rPr>
          <w:rFonts w:ascii="Arial" w:eastAsia="宋体" w:hAnsi="Arial" w:cs="Arial"/>
          <w:b/>
          <w:sz w:val="30"/>
          <w:szCs w:val="30"/>
        </w:rPr>
        <w:t>9</w:t>
      </w:r>
      <w:r w:rsidRPr="00681902">
        <w:rPr>
          <w:rFonts w:ascii="Arial" w:eastAsia="宋体" w:hAnsi="Arial" w:cs="Arial"/>
          <w:b/>
          <w:sz w:val="30"/>
          <w:szCs w:val="30"/>
        </w:rPr>
        <w:t>年第</w:t>
      </w:r>
      <w:r w:rsidR="008B7B2B" w:rsidRPr="00681902">
        <w:rPr>
          <w:rFonts w:ascii="Arial" w:eastAsia="宋体" w:hAnsi="Arial" w:cs="Arial"/>
          <w:b/>
          <w:sz w:val="30"/>
          <w:szCs w:val="30"/>
        </w:rPr>
        <w:t>1</w:t>
      </w:r>
      <w:r w:rsidRPr="00681902">
        <w:rPr>
          <w:rFonts w:ascii="Arial" w:eastAsia="宋体" w:hAnsi="Arial" w:cs="Arial"/>
          <w:b/>
          <w:sz w:val="30"/>
          <w:szCs w:val="30"/>
        </w:rPr>
        <w:t>季度报告</w:t>
      </w:r>
    </w:p>
    <w:p w:rsidR="00DA7666" w:rsidRPr="00681902" w:rsidRDefault="00DA7666" w:rsidP="00DA7666">
      <w:pPr>
        <w:jc w:val="center"/>
        <w:rPr>
          <w:rFonts w:ascii="Arial" w:eastAsia="宋体" w:hAnsi="Arial" w:cs="Arial"/>
          <w:b/>
          <w:sz w:val="30"/>
          <w:szCs w:val="30"/>
        </w:rPr>
      </w:pPr>
      <w:r w:rsidRPr="00681902">
        <w:rPr>
          <w:rFonts w:ascii="Arial" w:eastAsia="宋体" w:hAnsi="Arial" w:cs="Arial"/>
          <w:b/>
          <w:sz w:val="30"/>
          <w:szCs w:val="30"/>
        </w:rPr>
        <w:t>2019</w:t>
      </w:r>
      <w:r w:rsidRPr="00681902">
        <w:rPr>
          <w:rFonts w:ascii="Arial" w:eastAsia="宋体" w:hAnsi="Arial" w:cs="Arial"/>
          <w:b/>
          <w:sz w:val="30"/>
          <w:szCs w:val="30"/>
        </w:rPr>
        <w:t>年</w:t>
      </w:r>
      <w:r w:rsidRPr="00681902">
        <w:rPr>
          <w:rFonts w:ascii="Arial" w:eastAsia="宋体" w:hAnsi="Arial" w:cs="Arial"/>
          <w:b/>
          <w:sz w:val="30"/>
          <w:szCs w:val="30"/>
        </w:rPr>
        <w:t>3</w:t>
      </w:r>
      <w:r w:rsidRPr="00681902">
        <w:rPr>
          <w:rFonts w:ascii="Arial" w:eastAsia="宋体" w:hAnsi="Arial" w:cs="Arial"/>
          <w:b/>
          <w:sz w:val="30"/>
          <w:szCs w:val="30"/>
        </w:rPr>
        <w:t>月</w:t>
      </w:r>
      <w:r w:rsidRPr="00681902">
        <w:rPr>
          <w:rFonts w:ascii="Arial" w:eastAsia="宋体" w:hAnsi="Arial" w:cs="Arial"/>
          <w:b/>
          <w:sz w:val="30"/>
          <w:szCs w:val="30"/>
        </w:rPr>
        <w:t>31</w:t>
      </w:r>
      <w:r w:rsidRPr="00681902">
        <w:rPr>
          <w:rFonts w:ascii="Arial" w:eastAsia="宋体" w:hAnsi="Arial" w:cs="Arial"/>
          <w:b/>
          <w:sz w:val="30"/>
          <w:szCs w:val="30"/>
        </w:rPr>
        <w:t>日</w:t>
      </w:r>
    </w:p>
    <w:p w:rsidR="00D957E4" w:rsidRPr="00681902" w:rsidRDefault="00DA7666" w:rsidP="000115F3">
      <w:pPr>
        <w:pStyle w:val="a9"/>
        <w:numPr>
          <w:ilvl w:val="0"/>
          <w:numId w:val="1"/>
        </w:numPr>
        <w:ind w:firstLineChars="0"/>
        <w:outlineLvl w:val="0"/>
        <w:rPr>
          <w:rFonts w:ascii="Arial" w:hAnsi="Arial" w:cs="Arial"/>
          <w:b/>
          <w:sz w:val="30"/>
          <w:szCs w:val="30"/>
        </w:rPr>
      </w:pPr>
      <w:bookmarkStart w:id="0" w:name="_Toc6323853"/>
      <w:r w:rsidRPr="00681902">
        <w:rPr>
          <w:rFonts w:ascii="Arial" w:hAnsi="Arial" w:cs="Arial"/>
          <w:b/>
          <w:sz w:val="30"/>
          <w:szCs w:val="30"/>
        </w:rPr>
        <w:t>目录</w:t>
      </w:r>
      <w:bookmarkEnd w:id="0"/>
    </w:p>
    <w:p w:rsidR="00AB3312" w:rsidRPr="00681902" w:rsidRDefault="0024624C">
      <w:pPr>
        <w:pStyle w:val="1"/>
        <w:tabs>
          <w:tab w:val="left" w:pos="630"/>
          <w:tab w:val="right" w:leader="dot" w:pos="8296"/>
        </w:tabs>
        <w:rPr>
          <w:rFonts w:ascii="Arial" w:hAnsi="Arial" w:cs="Arial"/>
          <w:noProof/>
        </w:rPr>
      </w:pPr>
      <w:r w:rsidRPr="00681902">
        <w:rPr>
          <w:rFonts w:ascii="Arial" w:hAnsi="Arial" w:cs="Arial"/>
          <w:b/>
          <w:sz w:val="30"/>
          <w:szCs w:val="30"/>
        </w:rPr>
        <w:fldChar w:fldCharType="begin"/>
      </w:r>
      <w:r w:rsidR="000115F3" w:rsidRPr="00681902">
        <w:rPr>
          <w:rFonts w:ascii="Arial" w:hAnsi="Arial" w:cs="Arial"/>
          <w:b/>
          <w:sz w:val="30"/>
          <w:szCs w:val="30"/>
        </w:rPr>
        <w:instrText xml:space="preserve"> TOC \o "1-3" \h \z \u </w:instrText>
      </w:r>
      <w:r w:rsidRPr="00681902">
        <w:rPr>
          <w:rFonts w:ascii="Arial" w:hAnsi="Arial" w:cs="Arial"/>
          <w:b/>
          <w:sz w:val="30"/>
          <w:szCs w:val="30"/>
        </w:rPr>
        <w:fldChar w:fldCharType="separate"/>
      </w:r>
      <w:hyperlink w:anchor="_Toc6323853" w:history="1">
        <w:r w:rsidR="00AB3312" w:rsidRPr="00681902">
          <w:rPr>
            <w:rStyle w:val="aa"/>
            <w:rFonts w:ascii="Arial" w:hAnsi="Arial" w:cs="Arial"/>
            <w:b/>
            <w:noProof/>
          </w:rPr>
          <w:t>一</w:t>
        </w:r>
        <w:r w:rsidR="00AB3312" w:rsidRPr="00681902">
          <w:rPr>
            <w:rStyle w:val="aa"/>
            <w:rFonts w:ascii="Arial" w:hAnsi="Arial" w:cs="Arial"/>
            <w:b/>
            <w:noProof/>
          </w:rPr>
          <w:t>.</w:t>
        </w:r>
        <w:r w:rsidR="00AB3312" w:rsidRPr="00681902">
          <w:rPr>
            <w:rFonts w:ascii="Arial" w:hAnsi="Arial" w:cs="Arial"/>
            <w:noProof/>
          </w:rPr>
          <w:tab/>
        </w:r>
        <w:r w:rsidR="00AB3312" w:rsidRPr="00681902">
          <w:rPr>
            <w:rStyle w:val="aa"/>
            <w:rFonts w:ascii="Arial" w:hAnsi="Arial" w:cs="Arial"/>
            <w:b/>
            <w:noProof/>
          </w:rPr>
          <w:t>目录</w:t>
        </w:r>
        <w:r w:rsidR="00AB3312" w:rsidRPr="00681902">
          <w:rPr>
            <w:rFonts w:ascii="Arial" w:hAnsi="Arial" w:cs="Arial"/>
            <w:noProof/>
            <w:webHidden/>
          </w:rPr>
          <w:tab/>
        </w:r>
        <w:r w:rsidRPr="00681902">
          <w:rPr>
            <w:rFonts w:ascii="Arial" w:hAnsi="Arial" w:cs="Arial"/>
            <w:noProof/>
            <w:webHidden/>
          </w:rPr>
          <w:fldChar w:fldCharType="begin"/>
        </w:r>
        <w:r w:rsidR="00AB3312" w:rsidRPr="00681902">
          <w:rPr>
            <w:rFonts w:ascii="Arial" w:hAnsi="Arial" w:cs="Arial"/>
            <w:noProof/>
            <w:webHidden/>
          </w:rPr>
          <w:instrText xml:space="preserve"> PAGEREF _Toc6323853 \h </w:instrText>
        </w:r>
        <w:r w:rsidRPr="00681902">
          <w:rPr>
            <w:rFonts w:ascii="Arial" w:hAnsi="Arial" w:cs="Arial"/>
            <w:noProof/>
            <w:webHidden/>
          </w:rPr>
        </w:r>
        <w:r w:rsidRPr="00681902">
          <w:rPr>
            <w:rFonts w:ascii="Arial" w:hAnsi="Arial" w:cs="Arial"/>
            <w:noProof/>
            <w:webHidden/>
          </w:rPr>
          <w:fldChar w:fldCharType="separate"/>
        </w:r>
        <w:r w:rsidR="00AB3312" w:rsidRPr="00681902">
          <w:rPr>
            <w:rFonts w:ascii="Arial" w:hAnsi="Arial" w:cs="Arial"/>
            <w:noProof/>
            <w:webHidden/>
          </w:rPr>
          <w:t>1</w:t>
        </w:r>
        <w:r w:rsidRPr="00681902">
          <w:rPr>
            <w:rFonts w:ascii="Arial" w:hAnsi="Arial" w:cs="Arial"/>
            <w:noProof/>
            <w:webHidden/>
          </w:rPr>
          <w:fldChar w:fldCharType="end"/>
        </w:r>
      </w:hyperlink>
    </w:p>
    <w:p w:rsidR="00AB3312" w:rsidRPr="00681902" w:rsidRDefault="0024624C">
      <w:pPr>
        <w:pStyle w:val="1"/>
        <w:tabs>
          <w:tab w:val="left" w:pos="630"/>
          <w:tab w:val="right" w:leader="dot" w:pos="8296"/>
        </w:tabs>
        <w:rPr>
          <w:rFonts w:ascii="Arial" w:hAnsi="Arial" w:cs="Arial"/>
          <w:noProof/>
        </w:rPr>
      </w:pPr>
      <w:hyperlink w:anchor="_Toc6323854" w:history="1">
        <w:r w:rsidR="00AB3312" w:rsidRPr="00681902">
          <w:rPr>
            <w:rStyle w:val="aa"/>
            <w:rFonts w:ascii="Arial" w:hAnsi="Arial" w:cs="Arial"/>
            <w:b/>
            <w:noProof/>
          </w:rPr>
          <w:t>二</w:t>
        </w:r>
        <w:r w:rsidR="00AB3312" w:rsidRPr="00681902">
          <w:rPr>
            <w:rStyle w:val="aa"/>
            <w:rFonts w:ascii="Arial" w:hAnsi="Arial" w:cs="Arial"/>
            <w:b/>
            <w:noProof/>
          </w:rPr>
          <w:t>.</w:t>
        </w:r>
        <w:r w:rsidR="00AB3312" w:rsidRPr="00681902">
          <w:rPr>
            <w:rFonts w:ascii="Arial" w:hAnsi="Arial" w:cs="Arial"/>
            <w:noProof/>
          </w:rPr>
          <w:tab/>
        </w:r>
        <w:r w:rsidR="00AB3312" w:rsidRPr="00681902">
          <w:rPr>
            <w:rStyle w:val="aa"/>
            <w:rFonts w:ascii="Arial" w:hAnsi="Arial" w:cs="Arial"/>
            <w:b/>
            <w:noProof/>
          </w:rPr>
          <w:t>重要提示</w:t>
        </w:r>
        <w:r w:rsidR="00AB3312" w:rsidRPr="00681902">
          <w:rPr>
            <w:rFonts w:ascii="Arial" w:hAnsi="Arial" w:cs="Arial"/>
            <w:noProof/>
            <w:webHidden/>
          </w:rPr>
          <w:tab/>
        </w:r>
        <w:r w:rsidRPr="00681902">
          <w:rPr>
            <w:rFonts w:ascii="Arial" w:hAnsi="Arial" w:cs="Arial"/>
            <w:noProof/>
            <w:webHidden/>
          </w:rPr>
          <w:fldChar w:fldCharType="begin"/>
        </w:r>
        <w:r w:rsidR="00AB3312" w:rsidRPr="00681902">
          <w:rPr>
            <w:rFonts w:ascii="Arial" w:hAnsi="Arial" w:cs="Arial"/>
            <w:noProof/>
            <w:webHidden/>
          </w:rPr>
          <w:instrText xml:space="preserve"> PAGEREF _Toc6323854 \h </w:instrText>
        </w:r>
        <w:r w:rsidRPr="00681902">
          <w:rPr>
            <w:rFonts w:ascii="Arial" w:hAnsi="Arial" w:cs="Arial"/>
            <w:noProof/>
            <w:webHidden/>
          </w:rPr>
        </w:r>
        <w:r w:rsidRPr="00681902">
          <w:rPr>
            <w:rFonts w:ascii="Arial" w:hAnsi="Arial" w:cs="Arial"/>
            <w:noProof/>
            <w:webHidden/>
          </w:rPr>
          <w:fldChar w:fldCharType="separate"/>
        </w:r>
        <w:r w:rsidR="00AB3312" w:rsidRPr="00681902">
          <w:rPr>
            <w:rFonts w:ascii="Arial" w:hAnsi="Arial" w:cs="Arial"/>
            <w:noProof/>
            <w:webHidden/>
          </w:rPr>
          <w:t>1</w:t>
        </w:r>
        <w:r w:rsidRPr="00681902">
          <w:rPr>
            <w:rFonts w:ascii="Arial" w:hAnsi="Arial" w:cs="Arial"/>
            <w:noProof/>
            <w:webHidden/>
          </w:rPr>
          <w:fldChar w:fldCharType="end"/>
        </w:r>
      </w:hyperlink>
    </w:p>
    <w:p w:rsidR="00AB3312" w:rsidRPr="00681902" w:rsidRDefault="0024624C">
      <w:pPr>
        <w:pStyle w:val="1"/>
        <w:tabs>
          <w:tab w:val="left" w:pos="630"/>
          <w:tab w:val="right" w:leader="dot" w:pos="8296"/>
        </w:tabs>
        <w:rPr>
          <w:rFonts w:ascii="Arial" w:hAnsi="Arial" w:cs="Arial"/>
          <w:noProof/>
        </w:rPr>
      </w:pPr>
      <w:hyperlink w:anchor="_Toc6323855" w:history="1">
        <w:r w:rsidR="00AB3312" w:rsidRPr="00681902">
          <w:rPr>
            <w:rStyle w:val="aa"/>
            <w:rFonts w:ascii="Arial" w:hAnsi="Arial" w:cs="Arial"/>
            <w:b/>
            <w:noProof/>
          </w:rPr>
          <w:t>三</w:t>
        </w:r>
        <w:r w:rsidR="00AB3312" w:rsidRPr="00681902">
          <w:rPr>
            <w:rStyle w:val="aa"/>
            <w:rFonts w:ascii="Arial" w:hAnsi="Arial" w:cs="Arial"/>
            <w:b/>
            <w:noProof/>
          </w:rPr>
          <w:t>.</w:t>
        </w:r>
        <w:r w:rsidR="00AB3312" w:rsidRPr="00681902">
          <w:rPr>
            <w:rFonts w:ascii="Arial" w:hAnsi="Arial" w:cs="Arial"/>
            <w:noProof/>
          </w:rPr>
          <w:tab/>
        </w:r>
        <w:r w:rsidR="00AB3312" w:rsidRPr="00681902">
          <w:rPr>
            <w:rStyle w:val="aa"/>
            <w:rFonts w:ascii="Arial" w:hAnsi="Arial" w:cs="Arial"/>
            <w:b/>
            <w:noProof/>
          </w:rPr>
          <w:t>产品基本情况</w:t>
        </w:r>
        <w:r w:rsidR="00AB3312" w:rsidRPr="00681902">
          <w:rPr>
            <w:rFonts w:ascii="Arial" w:hAnsi="Arial" w:cs="Arial"/>
            <w:noProof/>
            <w:webHidden/>
          </w:rPr>
          <w:tab/>
        </w:r>
        <w:r w:rsidRPr="00681902">
          <w:rPr>
            <w:rFonts w:ascii="Arial" w:hAnsi="Arial" w:cs="Arial"/>
            <w:noProof/>
            <w:webHidden/>
          </w:rPr>
          <w:fldChar w:fldCharType="begin"/>
        </w:r>
        <w:r w:rsidR="00AB3312" w:rsidRPr="00681902">
          <w:rPr>
            <w:rFonts w:ascii="Arial" w:hAnsi="Arial" w:cs="Arial"/>
            <w:noProof/>
            <w:webHidden/>
          </w:rPr>
          <w:instrText xml:space="preserve"> PAGEREF _Toc6323855 \h </w:instrText>
        </w:r>
        <w:r w:rsidRPr="00681902">
          <w:rPr>
            <w:rFonts w:ascii="Arial" w:hAnsi="Arial" w:cs="Arial"/>
            <w:noProof/>
            <w:webHidden/>
          </w:rPr>
        </w:r>
        <w:r w:rsidRPr="00681902">
          <w:rPr>
            <w:rFonts w:ascii="Arial" w:hAnsi="Arial" w:cs="Arial"/>
            <w:noProof/>
            <w:webHidden/>
          </w:rPr>
          <w:fldChar w:fldCharType="separate"/>
        </w:r>
        <w:r w:rsidR="00AB3312" w:rsidRPr="00681902">
          <w:rPr>
            <w:rFonts w:ascii="Arial" w:hAnsi="Arial" w:cs="Arial"/>
            <w:noProof/>
            <w:webHidden/>
          </w:rPr>
          <w:t>1</w:t>
        </w:r>
        <w:r w:rsidRPr="00681902">
          <w:rPr>
            <w:rFonts w:ascii="Arial" w:hAnsi="Arial" w:cs="Arial"/>
            <w:noProof/>
            <w:webHidden/>
          </w:rPr>
          <w:fldChar w:fldCharType="end"/>
        </w:r>
      </w:hyperlink>
    </w:p>
    <w:p w:rsidR="00AB3312" w:rsidRPr="00681902" w:rsidRDefault="0024624C">
      <w:pPr>
        <w:pStyle w:val="1"/>
        <w:tabs>
          <w:tab w:val="left" w:pos="630"/>
          <w:tab w:val="right" w:leader="dot" w:pos="8296"/>
        </w:tabs>
        <w:rPr>
          <w:rFonts w:ascii="Arial" w:hAnsi="Arial" w:cs="Arial"/>
          <w:noProof/>
        </w:rPr>
      </w:pPr>
      <w:hyperlink w:anchor="_Toc6323856" w:history="1">
        <w:r w:rsidR="00AB3312" w:rsidRPr="00681902">
          <w:rPr>
            <w:rStyle w:val="aa"/>
            <w:rFonts w:ascii="Arial" w:hAnsi="Arial" w:cs="Arial"/>
            <w:b/>
            <w:noProof/>
          </w:rPr>
          <w:t>四</w:t>
        </w:r>
        <w:r w:rsidR="00AB3312" w:rsidRPr="00681902">
          <w:rPr>
            <w:rStyle w:val="aa"/>
            <w:rFonts w:ascii="Arial" w:hAnsi="Arial" w:cs="Arial"/>
            <w:b/>
            <w:noProof/>
          </w:rPr>
          <w:t>.</w:t>
        </w:r>
        <w:r w:rsidR="00AB3312" w:rsidRPr="00681902">
          <w:rPr>
            <w:rFonts w:ascii="Arial" w:hAnsi="Arial" w:cs="Arial"/>
            <w:noProof/>
          </w:rPr>
          <w:tab/>
        </w:r>
        <w:r w:rsidR="00AB3312" w:rsidRPr="00681902">
          <w:rPr>
            <w:rStyle w:val="aa"/>
            <w:rFonts w:ascii="Arial" w:hAnsi="Arial" w:cs="Arial"/>
            <w:b/>
            <w:noProof/>
          </w:rPr>
          <w:t>产品收益表现</w:t>
        </w:r>
        <w:r w:rsidR="00AB3312" w:rsidRPr="00681902">
          <w:rPr>
            <w:rFonts w:ascii="Arial" w:hAnsi="Arial" w:cs="Arial"/>
            <w:noProof/>
            <w:webHidden/>
          </w:rPr>
          <w:tab/>
        </w:r>
        <w:r w:rsidRPr="00681902">
          <w:rPr>
            <w:rFonts w:ascii="Arial" w:hAnsi="Arial" w:cs="Arial"/>
            <w:noProof/>
            <w:webHidden/>
          </w:rPr>
          <w:fldChar w:fldCharType="begin"/>
        </w:r>
        <w:r w:rsidR="00AB3312" w:rsidRPr="00681902">
          <w:rPr>
            <w:rFonts w:ascii="Arial" w:hAnsi="Arial" w:cs="Arial"/>
            <w:noProof/>
            <w:webHidden/>
          </w:rPr>
          <w:instrText xml:space="preserve"> PAGEREF _Toc6323856 \h </w:instrText>
        </w:r>
        <w:r w:rsidRPr="00681902">
          <w:rPr>
            <w:rFonts w:ascii="Arial" w:hAnsi="Arial" w:cs="Arial"/>
            <w:noProof/>
            <w:webHidden/>
          </w:rPr>
        </w:r>
        <w:r w:rsidRPr="00681902">
          <w:rPr>
            <w:rFonts w:ascii="Arial" w:hAnsi="Arial" w:cs="Arial"/>
            <w:noProof/>
            <w:webHidden/>
          </w:rPr>
          <w:fldChar w:fldCharType="separate"/>
        </w:r>
        <w:r w:rsidR="00AB3312" w:rsidRPr="00681902">
          <w:rPr>
            <w:rFonts w:ascii="Arial" w:hAnsi="Arial" w:cs="Arial"/>
            <w:noProof/>
            <w:webHidden/>
          </w:rPr>
          <w:t>2</w:t>
        </w:r>
        <w:r w:rsidRPr="00681902">
          <w:rPr>
            <w:rFonts w:ascii="Arial" w:hAnsi="Arial" w:cs="Arial"/>
            <w:noProof/>
            <w:webHidden/>
          </w:rPr>
          <w:fldChar w:fldCharType="end"/>
        </w:r>
      </w:hyperlink>
    </w:p>
    <w:p w:rsidR="00AB3312" w:rsidRPr="00681902" w:rsidRDefault="0024624C">
      <w:pPr>
        <w:pStyle w:val="1"/>
        <w:tabs>
          <w:tab w:val="left" w:pos="630"/>
          <w:tab w:val="right" w:leader="dot" w:pos="8296"/>
        </w:tabs>
        <w:rPr>
          <w:rFonts w:ascii="Arial" w:hAnsi="Arial" w:cs="Arial"/>
          <w:noProof/>
        </w:rPr>
      </w:pPr>
      <w:hyperlink w:anchor="_Toc6323857" w:history="1">
        <w:r w:rsidR="00AB3312" w:rsidRPr="00681902">
          <w:rPr>
            <w:rStyle w:val="aa"/>
            <w:rFonts w:ascii="Arial" w:hAnsi="Arial" w:cs="Arial"/>
            <w:b/>
            <w:noProof/>
          </w:rPr>
          <w:t>五</w:t>
        </w:r>
        <w:r w:rsidR="00AB3312" w:rsidRPr="00681902">
          <w:rPr>
            <w:rStyle w:val="aa"/>
            <w:rFonts w:ascii="Arial" w:hAnsi="Arial" w:cs="Arial"/>
            <w:b/>
            <w:noProof/>
          </w:rPr>
          <w:t>.</w:t>
        </w:r>
        <w:r w:rsidR="00AB3312" w:rsidRPr="00681902">
          <w:rPr>
            <w:rFonts w:ascii="Arial" w:hAnsi="Arial" w:cs="Arial"/>
            <w:noProof/>
          </w:rPr>
          <w:tab/>
        </w:r>
        <w:r w:rsidR="00AB3312" w:rsidRPr="00681902">
          <w:rPr>
            <w:rStyle w:val="aa"/>
            <w:rFonts w:ascii="Arial" w:hAnsi="Arial" w:cs="Arial"/>
            <w:b/>
            <w:noProof/>
          </w:rPr>
          <w:t>报告期内产品的投资策略和运作分析</w:t>
        </w:r>
        <w:r w:rsidR="00AB3312" w:rsidRPr="00681902">
          <w:rPr>
            <w:rFonts w:ascii="Arial" w:hAnsi="Arial" w:cs="Arial"/>
            <w:noProof/>
            <w:webHidden/>
          </w:rPr>
          <w:tab/>
        </w:r>
        <w:r w:rsidRPr="00681902">
          <w:rPr>
            <w:rFonts w:ascii="Arial" w:hAnsi="Arial" w:cs="Arial"/>
            <w:noProof/>
            <w:webHidden/>
          </w:rPr>
          <w:fldChar w:fldCharType="begin"/>
        </w:r>
        <w:r w:rsidR="00AB3312" w:rsidRPr="00681902">
          <w:rPr>
            <w:rFonts w:ascii="Arial" w:hAnsi="Arial" w:cs="Arial"/>
            <w:noProof/>
            <w:webHidden/>
          </w:rPr>
          <w:instrText xml:space="preserve"> PAGEREF _Toc6323857 \h </w:instrText>
        </w:r>
        <w:r w:rsidRPr="00681902">
          <w:rPr>
            <w:rFonts w:ascii="Arial" w:hAnsi="Arial" w:cs="Arial"/>
            <w:noProof/>
            <w:webHidden/>
          </w:rPr>
        </w:r>
        <w:r w:rsidRPr="00681902">
          <w:rPr>
            <w:rFonts w:ascii="Arial" w:hAnsi="Arial" w:cs="Arial"/>
            <w:noProof/>
            <w:webHidden/>
          </w:rPr>
          <w:fldChar w:fldCharType="separate"/>
        </w:r>
        <w:r w:rsidR="00AB3312" w:rsidRPr="00681902">
          <w:rPr>
            <w:rFonts w:ascii="Arial" w:hAnsi="Arial" w:cs="Arial"/>
            <w:noProof/>
            <w:webHidden/>
          </w:rPr>
          <w:t>2</w:t>
        </w:r>
        <w:r w:rsidRPr="00681902">
          <w:rPr>
            <w:rFonts w:ascii="Arial" w:hAnsi="Arial" w:cs="Arial"/>
            <w:noProof/>
            <w:webHidden/>
          </w:rPr>
          <w:fldChar w:fldCharType="end"/>
        </w:r>
      </w:hyperlink>
    </w:p>
    <w:p w:rsidR="00AB3312" w:rsidRPr="00681902" w:rsidRDefault="0024624C">
      <w:pPr>
        <w:pStyle w:val="2"/>
        <w:tabs>
          <w:tab w:val="left" w:pos="840"/>
          <w:tab w:val="right" w:leader="dot" w:pos="8296"/>
        </w:tabs>
        <w:rPr>
          <w:rFonts w:ascii="Arial" w:hAnsi="Arial" w:cs="Arial"/>
          <w:noProof/>
        </w:rPr>
      </w:pPr>
      <w:hyperlink w:anchor="_Toc6323858" w:history="1">
        <w:r w:rsidR="00AB3312" w:rsidRPr="00681902">
          <w:rPr>
            <w:rStyle w:val="aa"/>
            <w:rFonts w:ascii="Arial" w:eastAsia="宋体" w:hAnsi="Arial" w:cs="Arial"/>
            <w:b/>
            <w:noProof/>
          </w:rPr>
          <w:t>1.</w:t>
        </w:r>
        <w:r w:rsidR="00AB3312" w:rsidRPr="00681902">
          <w:rPr>
            <w:rFonts w:ascii="Arial" w:hAnsi="Arial" w:cs="Arial"/>
            <w:noProof/>
          </w:rPr>
          <w:tab/>
        </w:r>
        <w:r w:rsidR="00AB3312" w:rsidRPr="00681902">
          <w:rPr>
            <w:rStyle w:val="aa"/>
            <w:rFonts w:ascii="Arial" w:eastAsia="宋体" w:hAnsi="Arial" w:cs="Arial"/>
            <w:b/>
            <w:noProof/>
          </w:rPr>
          <w:t>资产负债表</w:t>
        </w:r>
        <w:r w:rsidR="00AB3312" w:rsidRPr="00681902">
          <w:rPr>
            <w:rFonts w:ascii="Arial" w:hAnsi="Arial" w:cs="Arial"/>
            <w:noProof/>
            <w:webHidden/>
          </w:rPr>
          <w:tab/>
        </w:r>
        <w:r w:rsidRPr="00681902">
          <w:rPr>
            <w:rFonts w:ascii="Arial" w:hAnsi="Arial" w:cs="Arial"/>
            <w:noProof/>
            <w:webHidden/>
          </w:rPr>
          <w:fldChar w:fldCharType="begin"/>
        </w:r>
        <w:r w:rsidR="00AB3312" w:rsidRPr="00681902">
          <w:rPr>
            <w:rFonts w:ascii="Arial" w:hAnsi="Arial" w:cs="Arial"/>
            <w:noProof/>
            <w:webHidden/>
          </w:rPr>
          <w:instrText xml:space="preserve"> PAGEREF _Toc6323858 \h </w:instrText>
        </w:r>
        <w:r w:rsidRPr="00681902">
          <w:rPr>
            <w:rFonts w:ascii="Arial" w:hAnsi="Arial" w:cs="Arial"/>
            <w:noProof/>
            <w:webHidden/>
          </w:rPr>
        </w:r>
        <w:r w:rsidRPr="00681902">
          <w:rPr>
            <w:rFonts w:ascii="Arial" w:hAnsi="Arial" w:cs="Arial"/>
            <w:noProof/>
            <w:webHidden/>
          </w:rPr>
          <w:fldChar w:fldCharType="separate"/>
        </w:r>
        <w:r w:rsidR="00AB3312" w:rsidRPr="00681902">
          <w:rPr>
            <w:rFonts w:ascii="Arial" w:hAnsi="Arial" w:cs="Arial"/>
            <w:noProof/>
            <w:webHidden/>
          </w:rPr>
          <w:t>3</w:t>
        </w:r>
        <w:r w:rsidRPr="00681902">
          <w:rPr>
            <w:rFonts w:ascii="Arial" w:hAnsi="Arial" w:cs="Arial"/>
            <w:noProof/>
            <w:webHidden/>
          </w:rPr>
          <w:fldChar w:fldCharType="end"/>
        </w:r>
      </w:hyperlink>
    </w:p>
    <w:p w:rsidR="00AB3312" w:rsidRPr="00681902" w:rsidRDefault="0024624C">
      <w:pPr>
        <w:pStyle w:val="2"/>
        <w:tabs>
          <w:tab w:val="left" w:pos="840"/>
          <w:tab w:val="right" w:leader="dot" w:pos="8296"/>
        </w:tabs>
        <w:rPr>
          <w:rFonts w:ascii="Arial" w:hAnsi="Arial" w:cs="Arial"/>
          <w:noProof/>
        </w:rPr>
      </w:pPr>
      <w:hyperlink w:anchor="_Toc6323859" w:history="1">
        <w:r w:rsidR="00AB3312" w:rsidRPr="00681902">
          <w:rPr>
            <w:rStyle w:val="aa"/>
            <w:rFonts w:ascii="Arial" w:eastAsia="宋体" w:hAnsi="Arial" w:cs="Arial"/>
            <w:b/>
            <w:noProof/>
          </w:rPr>
          <w:t>2.</w:t>
        </w:r>
        <w:r w:rsidR="00AB3312" w:rsidRPr="00681902">
          <w:rPr>
            <w:rFonts w:ascii="Arial" w:hAnsi="Arial" w:cs="Arial"/>
            <w:noProof/>
          </w:rPr>
          <w:tab/>
        </w:r>
        <w:r w:rsidR="00AB3312" w:rsidRPr="00681902">
          <w:rPr>
            <w:rStyle w:val="aa"/>
            <w:rFonts w:ascii="Arial" w:eastAsia="宋体" w:hAnsi="Arial" w:cs="Arial"/>
            <w:b/>
            <w:noProof/>
          </w:rPr>
          <w:t>利润表</w:t>
        </w:r>
        <w:r w:rsidR="00AB3312" w:rsidRPr="00681902">
          <w:rPr>
            <w:rFonts w:ascii="Arial" w:hAnsi="Arial" w:cs="Arial"/>
            <w:noProof/>
            <w:webHidden/>
          </w:rPr>
          <w:tab/>
        </w:r>
        <w:r w:rsidRPr="00681902">
          <w:rPr>
            <w:rFonts w:ascii="Arial" w:hAnsi="Arial" w:cs="Arial"/>
            <w:noProof/>
            <w:webHidden/>
          </w:rPr>
          <w:fldChar w:fldCharType="begin"/>
        </w:r>
        <w:r w:rsidR="00AB3312" w:rsidRPr="00681902">
          <w:rPr>
            <w:rFonts w:ascii="Arial" w:hAnsi="Arial" w:cs="Arial"/>
            <w:noProof/>
            <w:webHidden/>
          </w:rPr>
          <w:instrText xml:space="preserve"> PAGEREF _Toc6323859 \h </w:instrText>
        </w:r>
        <w:r w:rsidRPr="00681902">
          <w:rPr>
            <w:rFonts w:ascii="Arial" w:hAnsi="Arial" w:cs="Arial"/>
            <w:noProof/>
            <w:webHidden/>
          </w:rPr>
        </w:r>
        <w:r w:rsidRPr="00681902">
          <w:rPr>
            <w:rFonts w:ascii="Arial" w:hAnsi="Arial" w:cs="Arial"/>
            <w:noProof/>
            <w:webHidden/>
          </w:rPr>
          <w:fldChar w:fldCharType="separate"/>
        </w:r>
        <w:r w:rsidR="00AB3312" w:rsidRPr="00681902">
          <w:rPr>
            <w:rFonts w:ascii="Arial" w:hAnsi="Arial" w:cs="Arial"/>
            <w:noProof/>
            <w:webHidden/>
          </w:rPr>
          <w:t>4</w:t>
        </w:r>
        <w:r w:rsidRPr="00681902">
          <w:rPr>
            <w:rFonts w:ascii="Arial" w:hAnsi="Arial" w:cs="Arial"/>
            <w:noProof/>
            <w:webHidden/>
          </w:rPr>
          <w:fldChar w:fldCharType="end"/>
        </w:r>
      </w:hyperlink>
    </w:p>
    <w:p w:rsidR="00AB3312" w:rsidRPr="00681902" w:rsidRDefault="0024624C">
      <w:pPr>
        <w:pStyle w:val="2"/>
        <w:tabs>
          <w:tab w:val="left" w:pos="840"/>
          <w:tab w:val="right" w:leader="dot" w:pos="8296"/>
        </w:tabs>
        <w:rPr>
          <w:rFonts w:ascii="Arial" w:hAnsi="Arial" w:cs="Arial"/>
          <w:noProof/>
        </w:rPr>
      </w:pPr>
      <w:hyperlink w:anchor="_Toc6323860" w:history="1">
        <w:r w:rsidR="00AB3312" w:rsidRPr="00681902">
          <w:rPr>
            <w:rStyle w:val="aa"/>
            <w:rFonts w:ascii="Arial" w:eastAsia="宋体" w:hAnsi="Arial" w:cs="Arial"/>
            <w:b/>
            <w:noProof/>
          </w:rPr>
          <w:t>3.</w:t>
        </w:r>
        <w:r w:rsidR="00AB3312" w:rsidRPr="00681902">
          <w:rPr>
            <w:rFonts w:ascii="Arial" w:hAnsi="Arial" w:cs="Arial"/>
            <w:noProof/>
          </w:rPr>
          <w:tab/>
        </w:r>
        <w:r w:rsidR="00AB3312" w:rsidRPr="00681902">
          <w:rPr>
            <w:rStyle w:val="aa"/>
            <w:rFonts w:ascii="Arial" w:eastAsia="宋体" w:hAnsi="Arial" w:cs="Arial"/>
            <w:b/>
            <w:noProof/>
          </w:rPr>
          <w:t>所有者权益（产品净值）变动表</w:t>
        </w:r>
        <w:r w:rsidR="00AB3312" w:rsidRPr="00681902">
          <w:rPr>
            <w:rFonts w:ascii="Arial" w:hAnsi="Arial" w:cs="Arial"/>
            <w:noProof/>
            <w:webHidden/>
          </w:rPr>
          <w:tab/>
        </w:r>
        <w:r w:rsidRPr="00681902">
          <w:rPr>
            <w:rFonts w:ascii="Arial" w:hAnsi="Arial" w:cs="Arial"/>
            <w:noProof/>
            <w:webHidden/>
          </w:rPr>
          <w:fldChar w:fldCharType="begin"/>
        </w:r>
        <w:r w:rsidR="00AB3312" w:rsidRPr="00681902">
          <w:rPr>
            <w:rFonts w:ascii="Arial" w:hAnsi="Arial" w:cs="Arial"/>
            <w:noProof/>
            <w:webHidden/>
          </w:rPr>
          <w:instrText xml:space="preserve"> PAGEREF _Toc6323860 \h </w:instrText>
        </w:r>
        <w:r w:rsidRPr="00681902">
          <w:rPr>
            <w:rFonts w:ascii="Arial" w:hAnsi="Arial" w:cs="Arial"/>
            <w:noProof/>
            <w:webHidden/>
          </w:rPr>
        </w:r>
        <w:r w:rsidRPr="00681902">
          <w:rPr>
            <w:rFonts w:ascii="Arial" w:hAnsi="Arial" w:cs="Arial"/>
            <w:noProof/>
            <w:webHidden/>
          </w:rPr>
          <w:fldChar w:fldCharType="separate"/>
        </w:r>
        <w:r w:rsidR="00AB3312" w:rsidRPr="00681902">
          <w:rPr>
            <w:rFonts w:ascii="Arial" w:hAnsi="Arial" w:cs="Arial"/>
            <w:noProof/>
            <w:webHidden/>
          </w:rPr>
          <w:t>5</w:t>
        </w:r>
        <w:r w:rsidRPr="00681902">
          <w:rPr>
            <w:rFonts w:ascii="Arial" w:hAnsi="Arial" w:cs="Arial"/>
            <w:noProof/>
            <w:webHidden/>
          </w:rPr>
          <w:fldChar w:fldCharType="end"/>
        </w:r>
      </w:hyperlink>
    </w:p>
    <w:p w:rsidR="00AB3312" w:rsidRPr="00681902" w:rsidRDefault="0024624C">
      <w:pPr>
        <w:pStyle w:val="1"/>
        <w:tabs>
          <w:tab w:val="left" w:pos="630"/>
          <w:tab w:val="right" w:leader="dot" w:pos="8296"/>
        </w:tabs>
        <w:rPr>
          <w:rFonts w:ascii="Arial" w:hAnsi="Arial" w:cs="Arial"/>
          <w:noProof/>
        </w:rPr>
      </w:pPr>
      <w:hyperlink w:anchor="_Toc6323861" w:history="1">
        <w:r w:rsidR="00AB3312" w:rsidRPr="00681902">
          <w:rPr>
            <w:rStyle w:val="aa"/>
            <w:rFonts w:ascii="Arial" w:hAnsi="Arial" w:cs="Arial"/>
            <w:b/>
            <w:noProof/>
          </w:rPr>
          <w:t>七</w:t>
        </w:r>
        <w:r w:rsidR="00AB3312" w:rsidRPr="00681902">
          <w:rPr>
            <w:rStyle w:val="aa"/>
            <w:rFonts w:ascii="Arial" w:hAnsi="Arial" w:cs="Arial"/>
            <w:b/>
            <w:noProof/>
          </w:rPr>
          <w:t>.</w:t>
        </w:r>
        <w:r w:rsidR="00AB3312" w:rsidRPr="00681902">
          <w:rPr>
            <w:rFonts w:ascii="Arial" w:hAnsi="Arial" w:cs="Arial"/>
            <w:noProof/>
          </w:rPr>
          <w:tab/>
        </w:r>
        <w:r w:rsidR="00AB3312" w:rsidRPr="00681902">
          <w:rPr>
            <w:rStyle w:val="aa"/>
            <w:rFonts w:ascii="Arial" w:hAnsi="Arial" w:cs="Arial"/>
            <w:b/>
            <w:noProof/>
          </w:rPr>
          <w:t>投资组合情况</w:t>
        </w:r>
        <w:r w:rsidR="00AB3312" w:rsidRPr="00681902">
          <w:rPr>
            <w:rFonts w:ascii="Arial" w:hAnsi="Arial" w:cs="Arial"/>
            <w:noProof/>
            <w:webHidden/>
          </w:rPr>
          <w:tab/>
        </w:r>
        <w:r w:rsidRPr="00681902">
          <w:rPr>
            <w:rFonts w:ascii="Arial" w:hAnsi="Arial" w:cs="Arial"/>
            <w:noProof/>
            <w:webHidden/>
          </w:rPr>
          <w:fldChar w:fldCharType="begin"/>
        </w:r>
        <w:r w:rsidR="00AB3312" w:rsidRPr="00681902">
          <w:rPr>
            <w:rFonts w:ascii="Arial" w:hAnsi="Arial" w:cs="Arial"/>
            <w:noProof/>
            <w:webHidden/>
          </w:rPr>
          <w:instrText xml:space="preserve"> PAGEREF _Toc6323861 \h </w:instrText>
        </w:r>
        <w:r w:rsidRPr="00681902">
          <w:rPr>
            <w:rFonts w:ascii="Arial" w:hAnsi="Arial" w:cs="Arial"/>
            <w:noProof/>
            <w:webHidden/>
          </w:rPr>
        </w:r>
        <w:r w:rsidRPr="00681902">
          <w:rPr>
            <w:rFonts w:ascii="Arial" w:hAnsi="Arial" w:cs="Arial"/>
            <w:noProof/>
            <w:webHidden/>
          </w:rPr>
          <w:fldChar w:fldCharType="separate"/>
        </w:r>
        <w:r w:rsidR="00AB3312" w:rsidRPr="00681902">
          <w:rPr>
            <w:rFonts w:ascii="Arial" w:hAnsi="Arial" w:cs="Arial"/>
            <w:noProof/>
            <w:webHidden/>
          </w:rPr>
          <w:t>6</w:t>
        </w:r>
        <w:r w:rsidRPr="00681902">
          <w:rPr>
            <w:rFonts w:ascii="Arial" w:hAnsi="Arial" w:cs="Arial"/>
            <w:noProof/>
            <w:webHidden/>
          </w:rPr>
          <w:fldChar w:fldCharType="end"/>
        </w:r>
      </w:hyperlink>
    </w:p>
    <w:p w:rsidR="00AB3312" w:rsidRPr="00681902" w:rsidRDefault="0024624C">
      <w:pPr>
        <w:pStyle w:val="2"/>
        <w:tabs>
          <w:tab w:val="left" w:pos="840"/>
          <w:tab w:val="right" w:leader="dot" w:pos="8296"/>
        </w:tabs>
        <w:rPr>
          <w:rFonts w:ascii="Arial" w:hAnsi="Arial" w:cs="Arial"/>
          <w:noProof/>
        </w:rPr>
      </w:pPr>
      <w:hyperlink w:anchor="_Toc6323862" w:history="1">
        <w:r w:rsidR="00AB3312" w:rsidRPr="00681902">
          <w:rPr>
            <w:rStyle w:val="aa"/>
            <w:rFonts w:ascii="Arial" w:hAnsi="Arial" w:cs="Arial"/>
            <w:b/>
            <w:noProof/>
          </w:rPr>
          <w:t>1.</w:t>
        </w:r>
        <w:r w:rsidR="00AB3312" w:rsidRPr="00681902">
          <w:rPr>
            <w:rFonts w:ascii="Arial" w:hAnsi="Arial" w:cs="Arial"/>
            <w:noProof/>
          </w:rPr>
          <w:tab/>
        </w:r>
        <w:r w:rsidR="00AB3312" w:rsidRPr="00681902">
          <w:rPr>
            <w:rStyle w:val="aa"/>
            <w:rFonts w:ascii="Arial" w:hAnsi="Arial" w:cs="Arial"/>
            <w:b/>
            <w:noProof/>
          </w:rPr>
          <w:t>报告期末产品资产组合情况</w:t>
        </w:r>
        <w:r w:rsidR="00AB3312" w:rsidRPr="00681902">
          <w:rPr>
            <w:rFonts w:ascii="Arial" w:hAnsi="Arial" w:cs="Arial"/>
            <w:noProof/>
            <w:webHidden/>
          </w:rPr>
          <w:tab/>
        </w:r>
        <w:r w:rsidRPr="00681902">
          <w:rPr>
            <w:rFonts w:ascii="Arial" w:hAnsi="Arial" w:cs="Arial"/>
            <w:noProof/>
            <w:webHidden/>
          </w:rPr>
          <w:fldChar w:fldCharType="begin"/>
        </w:r>
        <w:r w:rsidR="00AB3312" w:rsidRPr="00681902">
          <w:rPr>
            <w:rFonts w:ascii="Arial" w:hAnsi="Arial" w:cs="Arial"/>
            <w:noProof/>
            <w:webHidden/>
          </w:rPr>
          <w:instrText xml:space="preserve"> PAGEREF _Toc6323862 \h </w:instrText>
        </w:r>
        <w:r w:rsidRPr="00681902">
          <w:rPr>
            <w:rFonts w:ascii="Arial" w:hAnsi="Arial" w:cs="Arial"/>
            <w:noProof/>
            <w:webHidden/>
          </w:rPr>
        </w:r>
        <w:r w:rsidRPr="00681902">
          <w:rPr>
            <w:rFonts w:ascii="Arial" w:hAnsi="Arial" w:cs="Arial"/>
            <w:noProof/>
            <w:webHidden/>
          </w:rPr>
          <w:fldChar w:fldCharType="separate"/>
        </w:r>
        <w:r w:rsidR="00AB3312" w:rsidRPr="00681902">
          <w:rPr>
            <w:rFonts w:ascii="Arial" w:hAnsi="Arial" w:cs="Arial"/>
            <w:noProof/>
            <w:webHidden/>
          </w:rPr>
          <w:t>6</w:t>
        </w:r>
        <w:r w:rsidRPr="00681902">
          <w:rPr>
            <w:rFonts w:ascii="Arial" w:hAnsi="Arial" w:cs="Arial"/>
            <w:noProof/>
            <w:webHidden/>
          </w:rPr>
          <w:fldChar w:fldCharType="end"/>
        </w:r>
      </w:hyperlink>
    </w:p>
    <w:p w:rsidR="00AB3312" w:rsidRPr="00681902" w:rsidRDefault="0024624C">
      <w:pPr>
        <w:pStyle w:val="2"/>
        <w:tabs>
          <w:tab w:val="left" w:pos="840"/>
          <w:tab w:val="right" w:leader="dot" w:pos="8296"/>
        </w:tabs>
        <w:rPr>
          <w:rFonts w:ascii="Arial" w:hAnsi="Arial" w:cs="Arial"/>
          <w:noProof/>
        </w:rPr>
      </w:pPr>
      <w:hyperlink w:anchor="_Toc6323863" w:history="1">
        <w:r w:rsidR="00AB3312" w:rsidRPr="00681902">
          <w:rPr>
            <w:rStyle w:val="aa"/>
            <w:rFonts w:ascii="Arial" w:hAnsi="Arial" w:cs="Arial"/>
            <w:b/>
            <w:noProof/>
          </w:rPr>
          <w:t>2.</w:t>
        </w:r>
        <w:r w:rsidR="00AB3312" w:rsidRPr="00681902">
          <w:rPr>
            <w:rFonts w:ascii="Arial" w:hAnsi="Arial" w:cs="Arial"/>
            <w:noProof/>
          </w:rPr>
          <w:tab/>
        </w:r>
        <w:r w:rsidR="00AB3312" w:rsidRPr="00681902">
          <w:rPr>
            <w:rStyle w:val="aa"/>
            <w:rFonts w:ascii="Arial" w:hAnsi="Arial" w:cs="Arial"/>
            <w:b/>
            <w:noProof/>
          </w:rPr>
          <w:t>报告期末杠杆融资情况</w:t>
        </w:r>
        <w:r w:rsidR="00AB3312" w:rsidRPr="00681902">
          <w:rPr>
            <w:rFonts w:ascii="Arial" w:hAnsi="Arial" w:cs="Arial"/>
            <w:noProof/>
            <w:webHidden/>
          </w:rPr>
          <w:tab/>
        </w:r>
        <w:r w:rsidRPr="00681902">
          <w:rPr>
            <w:rFonts w:ascii="Arial" w:hAnsi="Arial" w:cs="Arial"/>
            <w:noProof/>
            <w:webHidden/>
          </w:rPr>
          <w:fldChar w:fldCharType="begin"/>
        </w:r>
        <w:r w:rsidR="00AB3312" w:rsidRPr="00681902">
          <w:rPr>
            <w:rFonts w:ascii="Arial" w:hAnsi="Arial" w:cs="Arial"/>
            <w:noProof/>
            <w:webHidden/>
          </w:rPr>
          <w:instrText xml:space="preserve"> PAGEREF _Toc6323863 \h </w:instrText>
        </w:r>
        <w:r w:rsidRPr="00681902">
          <w:rPr>
            <w:rFonts w:ascii="Arial" w:hAnsi="Arial" w:cs="Arial"/>
            <w:noProof/>
            <w:webHidden/>
          </w:rPr>
        </w:r>
        <w:r w:rsidRPr="00681902">
          <w:rPr>
            <w:rFonts w:ascii="Arial" w:hAnsi="Arial" w:cs="Arial"/>
            <w:noProof/>
            <w:webHidden/>
          </w:rPr>
          <w:fldChar w:fldCharType="separate"/>
        </w:r>
        <w:r w:rsidR="00AB3312" w:rsidRPr="00681902">
          <w:rPr>
            <w:rFonts w:ascii="Arial" w:hAnsi="Arial" w:cs="Arial"/>
            <w:noProof/>
            <w:webHidden/>
          </w:rPr>
          <w:t>6</w:t>
        </w:r>
        <w:r w:rsidRPr="00681902">
          <w:rPr>
            <w:rFonts w:ascii="Arial" w:hAnsi="Arial" w:cs="Arial"/>
            <w:noProof/>
            <w:webHidden/>
          </w:rPr>
          <w:fldChar w:fldCharType="end"/>
        </w:r>
      </w:hyperlink>
    </w:p>
    <w:p w:rsidR="00AB3312" w:rsidRPr="00681902" w:rsidRDefault="0024624C">
      <w:pPr>
        <w:pStyle w:val="2"/>
        <w:tabs>
          <w:tab w:val="left" w:pos="840"/>
          <w:tab w:val="right" w:leader="dot" w:pos="8296"/>
        </w:tabs>
        <w:rPr>
          <w:rFonts w:ascii="Arial" w:hAnsi="Arial" w:cs="Arial"/>
          <w:noProof/>
        </w:rPr>
      </w:pPr>
      <w:hyperlink w:anchor="_Toc6323864" w:history="1">
        <w:r w:rsidR="00AB3312" w:rsidRPr="00681902">
          <w:rPr>
            <w:rStyle w:val="aa"/>
            <w:rFonts w:ascii="Arial" w:hAnsi="Arial" w:cs="Arial"/>
            <w:b/>
            <w:noProof/>
          </w:rPr>
          <w:t>3.</w:t>
        </w:r>
        <w:r w:rsidR="00AB3312" w:rsidRPr="00681902">
          <w:rPr>
            <w:rFonts w:ascii="Arial" w:hAnsi="Arial" w:cs="Arial"/>
            <w:noProof/>
          </w:rPr>
          <w:tab/>
        </w:r>
        <w:r w:rsidR="00AB3312" w:rsidRPr="00681902">
          <w:rPr>
            <w:rStyle w:val="aa"/>
            <w:rFonts w:ascii="Arial" w:hAnsi="Arial" w:cs="Arial"/>
            <w:b/>
            <w:noProof/>
          </w:rPr>
          <w:t>报告期末资产持仓前十基本信息</w:t>
        </w:r>
        <w:r w:rsidR="00AB3312" w:rsidRPr="00681902">
          <w:rPr>
            <w:rFonts w:ascii="Arial" w:hAnsi="Arial" w:cs="Arial"/>
            <w:noProof/>
            <w:webHidden/>
          </w:rPr>
          <w:tab/>
        </w:r>
        <w:r w:rsidRPr="00681902">
          <w:rPr>
            <w:rFonts w:ascii="Arial" w:hAnsi="Arial" w:cs="Arial"/>
            <w:noProof/>
            <w:webHidden/>
          </w:rPr>
          <w:fldChar w:fldCharType="begin"/>
        </w:r>
        <w:r w:rsidR="00AB3312" w:rsidRPr="00681902">
          <w:rPr>
            <w:rFonts w:ascii="Arial" w:hAnsi="Arial" w:cs="Arial"/>
            <w:noProof/>
            <w:webHidden/>
          </w:rPr>
          <w:instrText xml:space="preserve"> PAGEREF _Toc6323864 \h </w:instrText>
        </w:r>
        <w:r w:rsidRPr="00681902">
          <w:rPr>
            <w:rFonts w:ascii="Arial" w:hAnsi="Arial" w:cs="Arial"/>
            <w:noProof/>
            <w:webHidden/>
          </w:rPr>
        </w:r>
        <w:r w:rsidRPr="00681902">
          <w:rPr>
            <w:rFonts w:ascii="Arial" w:hAnsi="Arial" w:cs="Arial"/>
            <w:noProof/>
            <w:webHidden/>
          </w:rPr>
          <w:fldChar w:fldCharType="separate"/>
        </w:r>
        <w:r w:rsidR="00AB3312" w:rsidRPr="00681902">
          <w:rPr>
            <w:rFonts w:ascii="Arial" w:hAnsi="Arial" w:cs="Arial"/>
            <w:noProof/>
            <w:webHidden/>
          </w:rPr>
          <w:t>6</w:t>
        </w:r>
        <w:r w:rsidRPr="00681902">
          <w:rPr>
            <w:rFonts w:ascii="Arial" w:hAnsi="Arial" w:cs="Arial"/>
            <w:noProof/>
            <w:webHidden/>
          </w:rPr>
          <w:fldChar w:fldCharType="end"/>
        </w:r>
      </w:hyperlink>
    </w:p>
    <w:p w:rsidR="000115F3" w:rsidRPr="00681902" w:rsidRDefault="0024624C" w:rsidP="000115F3">
      <w:pPr>
        <w:pStyle w:val="a9"/>
        <w:ind w:left="510" w:firstLineChars="0" w:firstLine="0"/>
        <w:rPr>
          <w:rFonts w:ascii="Arial" w:hAnsi="Arial" w:cs="Arial"/>
          <w:b/>
          <w:sz w:val="30"/>
          <w:szCs w:val="30"/>
        </w:rPr>
      </w:pPr>
      <w:r w:rsidRPr="00681902">
        <w:rPr>
          <w:rFonts w:ascii="Arial" w:hAnsi="Arial" w:cs="Arial"/>
          <w:b/>
          <w:sz w:val="30"/>
          <w:szCs w:val="30"/>
        </w:rPr>
        <w:fldChar w:fldCharType="end"/>
      </w:r>
    </w:p>
    <w:p w:rsidR="00DA7666" w:rsidRPr="00681902" w:rsidRDefault="00DA7666" w:rsidP="000115F3">
      <w:pPr>
        <w:pStyle w:val="a9"/>
        <w:numPr>
          <w:ilvl w:val="0"/>
          <w:numId w:val="1"/>
        </w:numPr>
        <w:ind w:firstLineChars="0"/>
        <w:outlineLvl w:val="0"/>
        <w:rPr>
          <w:rFonts w:ascii="Arial" w:hAnsi="Arial" w:cs="Arial"/>
          <w:b/>
          <w:sz w:val="30"/>
          <w:szCs w:val="30"/>
        </w:rPr>
      </w:pPr>
      <w:bookmarkStart w:id="1" w:name="_Toc6323854"/>
      <w:r w:rsidRPr="00681902">
        <w:rPr>
          <w:rFonts w:ascii="Arial" w:hAnsi="Arial" w:cs="Arial"/>
          <w:b/>
          <w:sz w:val="30"/>
          <w:szCs w:val="30"/>
        </w:rPr>
        <w:t>重要提示</w:t>
      </w:r>
      <w:bookmarkEnd w:id="1"/>
    </w:p>
    <w:p w:rsidR="003B3B52" w:rsidRPr="00681902" w:rsidRDefault="003B3B52" w:rsidP="003B3B52">
      <w:pPr>
        <w:pStyle w:val="a9"/>
        <w:ind w:left="510" w:firstLineChars="0" w:firstLine="0"/>
        <w:rPr>
          <w:rFonts w:ascii="Arial" w:eastAsia="宋体" w:hAnsi="Arial" w:cs="Arial"/>
          <w:color w:val="FF0000"/>
          <w:sz w:val="30"/>
          <w:szCs w:val="30"/>
        </w:rPr>
      </w:pPr>
      <w:r w:rsidRPr="00681902">
        <w:rPr>
          <w:rFonts w:ascii="Arial" w:eastAsia="宋体" w:hAnsi="Arial" w:cs="Arial"/>
          <w:b/>
          <w:bCs/>
          <w:color w:val="FF0000"/>
          <w:sz w:val="30"/>
          <w:szCs w:val="30"/>
        </w:rPr>
        <w:t>1.</w:t>
      </w:r>
      <w:r w:rsidRPr="00681902">
        <w:rPr>
          <w:rFonts w:ascii="Arial" w:eastAsia="宋体" w:hAnsi="Arial" w:cs="Arial"/>
          <w:b/>
          <w:bCs/>
          <w:color w:val="FF0000"/>
          <w:sz w:val="30"/>
          <w:szCs w:val="30"/>
        </w:rPr>
        <w:t>温馨提醒：理财非存款，产品有风险，投资需谨慎！</w:t>
      </w:r>
    </w:p>
    <w:p w:rsidR="003B3B52" w:rsidRPr="00681902" w:rsidRDefault="003B3B52" w:rsidP="003B3B52">
      <w:pPr>
        <w:pStyle w:val="a9"/>
        <w:ind w:left="510" w:firstLineChars="0" w:firstLine="0"/>
        <w:rPr>
          <w:rFonts w:ascii="Arial" w:eastAsia="宋体" w:hAnsi="Arial" w:cs="Arial"/>
          <w:sz w:val="30"/>
          <w:szCs w:val="30"/>
        </w:rPr>
      </w:pPr>
      <w:r w:rsidRPr="00681902">
        <w:rPr>
          <w:rFonts w:ascii="Arial" w:eastAsia="宋体" w:hAnsi="Arial" w:cs="Arial"/>
          <w:sz w:val="30"/>
          <w:szCs w:val="30"/>
        </w:rPr>
        <w:t>2.</w:t>
      </w:r>
      <w:r w:rsidRPr="00681902">
        <w:rPr>
          <w:rFonts w:ascii="Arial" w:eastAsia="宋体" w:hAnsi="Arial" w:cs="Arial"/>
          <w:sz w:val="30"/>
          <w:szCs w:val="30"/>
        </w:rPr>
        <w:t>理财信息可供参考，详情请咨询理财经理，或在</w:t>
      </w:r>
      <w:r w:rsidRPr="00681902">
        <w:rPr>
          <w:rFonts w:ascii="Arial" w:eastAsia="宋体" w:hAnsi="Arial" w:cs="Arial"/>
          <w:sz w:val="30"/>
          <w:szCs w:val="30"/>
        </w:rPr>
        <w:t>“</w:t>
      </w:r>
      <w:r w:rsidRPr="00681902">
        <w:rPr>
          <w:rFonts w:ascii="Arial" w:eastAsia="宋体" w:hAnsi="Arial" w:cs="Arial"/>
          <w:sz w:val="30"/>
          <w:szCs w:val="30"/>
        </w:rPr>
        <w:t>中国理财网（</w:t>
      </w:r>
      <w:r w:rsidRPr="00681902">
        <w:rPr>
          <w:rFonts w:ascii="Arial" w:eastAsia="宋体" w:hAnsi="Arial" w:cs="Arial"/>
          <w:sz w:val="30"/>
          <w:szCs w:val="30"/>
        </w:rPr>
        <w:t>www.chinawealth.com.cn</w:t>
      </w:r>
      <w:r w:rsidRPr="00681902">
        <w:rPr>
          <w:rFonts w:ascii="Arial" w:eastAsia="宋体" w:hAnsi="Arial" w:cs="Arial"/>
          <w:sz w:val="30"/>
          <w:szCs w:val="30"/>
        </w:rPr>
        <w:t>）</w:t>
      </w:r>
      <w:r w:rsidRPr="00681902">
        <w:rPr>
          <w:rFonts w:ascii="Arial" w:eastAsia="宋体" w:hAnsi="Arial" w:cs="Arial"/>
          <w:sz w:val="30"/>
          <w:szCs w:val="30"/>
        </w:rPr>
        <w:t>”</w:t>
      </w:r>
      <w:r w:rsidRPr="00681902">
        <w:rPr>
          <w:rFonts w:ascii="Arial" w:eastAsia="宋体" w:hAnsi="Arial" w:cs="Arial"/>
          <w:sz w:val="30"/>
          <w:szCs w:val="30"/>
        </w:rPr>
        <w:t>查询该产品相关信息。</w:t>
      </w:r>
    </w:p>
    <w:p w:rsidR="003B3B52" w:rsidRPr="00681902" w:rsidRDefault="003B3B52" w:rsidP="003B3B52">
      <w:pPr>
        <w:pStyle w:val="a9"/>
        <w:ind w:left="510" w:firstLineChars="0" w:firstLine="0"/>
        <w:rPr>
          <w:rFonts w:ascii="Arial" w:eastAsia="宋体" w:hAnsi="Arial" w:cs="Arial"/>
          <w:sz w:val="30"/>
          <w:szCs w:val="30"/>
        </w:rPr>
      </w:pPr>
      <w:r w:rsidRPr="00681902">
        <w:rPr>
          <w:rFonts w:ascii="Arial" w:eastAsia="宋体" w:hAnsi="Arial" w:cs="Arial"/>
          <w:sz w:val="30"/>
          <w:szCs w:val="30"/>
        </w:rPr>
        <w:t>3.</w:t>
      </w:r>
      <w:r w:rsidRPr="00681902">
        <w:rPr>
          <w:rFonts w:ascii="Arial" w:eastAsia="宋体" w:hAnsi="Arial" w:cs="Arial"/>
          <w:sz w:val="30"/>
          <w:szCs w:val="30"/>
        </w:rPr>
        <w:t>兴业银行保留对所有文字说明的最终解释权。</w:t>
      </w:r>
    </w:p>
    <w:p w:rsidR="003B3B52" w:rsidRPr="00681902" w:rsidRDefault="003B3B52" w:rsidP="003B3B52">
      <w:pPr>
        <w:pStyle w:val="a9"/>
        <w:ind w:left="510" w:firstLineChars="0" w:firstLine="0"/>
        <w:rPr>
          <w:rFonts w:ascii="Arial" w:hAnsi="Arial" w:cs="Arial"/>
          <w:b/>
          <w:sz w:val="30"/>
          <w:szCs w:val="30"/>
        </w:rPr>
      </w:pPr>
    </w:p>
    <w:p w:rsidR="00DA7666" w:rsidRPr="00681902" w:rsidRDefault="00DA7666" w:rsidP="000115F3">
      <w:pPr>
        <w:pStyle w:val="a9"/>
        <w:numPr>
          <w:ilvl w:val="0"/>
          <w:numId w:val="1"/>
        </w:numPr>
        <w:ind w:firstLineChars="0"/>
        <w:outlineLvl w:val="0"/>
        <w:rPr>
          <w:rFonts w:ascii="Arial" w:hAnsi="Arial" w:cs="Arial"/>
          <w:b/>
          <w:sz w:val="30"/>
          <w:szCs w:val="30"/>
        </w:rPr>
      </w:pPr>
      <w:bookmarkStart w:id="2" w:name="_Toc6323855"/>
      <w:r w:rsidRPr="00681902">
        <w:rPr>
          <w:rFonts w:ascii="Arial" w:hAnsi="Arial" w:cs="Arial"/>
          <w:b/>
          <w:sz w:val="30"/>
          <w:szCs w:val="30"/>
        </w:rPr>
        <w:t>产品基本情况</w:t>
      </w:r>
      <w:bookmarkEnd w:id="2"/>
    </w:p>
    <w:tbl>
      <w:tblPr>
        <w:tblW w:w="8295" w:type="dxa"/>
        <w:tblInd w:w="93" w:type="dxa"/>
        <w:tblLook w:val="04A0"/>
      </w:tblPr>
      <w:tblGrid>
        <w:gridCol w:w="2700"/>
        <w:gridCol w:w="5595"/>
      </w:tblGrid>
      <w:tr w:rsidR="00DD6476" w:rsidRPr="00681902" w:rsidTr="00DD6476">
        <w:trPr>
          <w:trHeight w:val="27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681902" w:rsidRDefault="00DD6476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681902" w:rsidRDefault="007B4E3A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兴业银行</w:t>
            </w: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“</w:t>
            </w: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万利宝</w:t>
            </w: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-</w:t>
            </w: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聚利</w:t>
            </w: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”2018</w:t>
            </w: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年第</w:t>
            </w: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3</w:t>
            </w: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期封闭式净值型理财产品</w:t>
            </w: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(</w:t>
            </w: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北京专属</w:t>
            </w: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)</w:t>
            </w:r>
          </w:p>
        </w:tc>
      </w:tr>
      <w:tr w:rsidR="00DD6476" w:rsidRPr="00681902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681902" w:rsidRDefault="00DD6476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产品代码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681902" w:rsidRDefault="00E40B7D" w:rsidP="007B4E3A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1K1180</w:t>
            </w:r>
            <w:r w:rsidR="007B4E3A"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13</w:t>
            </w:r>
          </w:p>
        </w:tc>
      </w:tr>
      <w:tr w:rsidR="00DD6476" w:rsidRPr="00681902" w:rsidTr="00DD6476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681902" w:rsidRDefault="00DD6476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全国银行业理财信息登记系统登记编码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681902" w:rsidRDefault="007B4E3A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C1030918000805</w:t>
            </w:r>
          </w:p>
        </w:tc>
      </w:tr>
      <w:tr w:rsidR="00DD6476" w:rsidRPr="00681902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681902" w:rsidRDefault="00DD6476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产品运作方式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681902" w:rsidRDefault="00AD0A5D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封闭式</w:t>
            </w:r>
          </w:p>
        </w:tc>
      </w:tr>
      <w:tr w:rsidR="00DD6476" w:rsidRPr="00681902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681902" w:rsidRDefault="00DD6476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lastRenderedPageBreak/>
              <w:t>报告期末产品份额总额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681902" w:rsidRDefault="007B4E3A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4.32193</w:t>
            </w:r>
            <w:r w:rsidR="00E81E6E"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亿份</w:t>
            </w:r>
          </w:p>
        </w:tc>
      </w:tr>
      <w:tr w:rsidR="00DD6476" w:rsidRPr="00681902" w:rsidTr="00DD6476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681902" w:rsidRDefault="00DD6476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投资目标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681902" w:rsidRDefault="00DD6476" w:rsidP="00C77554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在保持理财资产的低风险的前提下，力争实现业绩比较基准的投资回报。</w:t>
            </w:r>
          </w:p>
        </w:tc>
      </w:tr>
      <w:tr w:rsidR="00DD6476" w:rsidRPr="00681902" w:rsidTr="00DD6476">
        <w:trPr>
          <w:trHeight w:val="81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681902" w:rsidRDefault="00DD6476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投资策略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681902" w:rsidRDefault="00AC6994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固定期限，低风险</w:t>
            </w:r>
            <w:r w:rsidR="00A567E9"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，低估值波动</w:t>
            </w: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的稳健投资策略</w:t>
            </w:r>
          </w:p>
        </w:tc>
      </w:tr>
      <w:tr w:rsidR="00DD6476" w:rsidRPr="00681902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681902" w:rsidRDefault="006A5F01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proofErr w:type="gramStart"/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当前</w:t>
            </w:r>
            <w:r w:rsidR="00DD6476"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业绩</w:t>
            </w:r>
            <w:proofErr w:type="gramEnd"/>
            <w:r w:rsidR="00DD6476"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比较基准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681902" w:rsidRDefault="00E81E6E" w:rsidP="00DA766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兴业银行一年期定期存款利率</w:t>
            </w: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(1.95%)+3.</w:t>
            </w:r>
            <w:r w:rsidR="00DA7666"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00</w:t>
            </w: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%</w:t>
            </w:r>
          </w:p>
        </w:tc>
      </w:tr>
      <w:tr w:rsidR="00545CE3" w:rsidRPr="00681902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E3" w:rsidRPr="00681902" w:rsidRDefault="00545CE3" w:rsidP="00255AEB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风险收益特征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CE3" w:rsidRPr="00681902" w:rsidRDefault="00545CE3" w:rsidP="00255AEB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本产品具有低风险、</w:t>
            </w:r>
            <w:r w:rsidR="00C77554"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固定收益特征</w:t>
            </w:r>
          </w:p>
        </w:tc>
      </w:tr>
      <w:tr w:rsidR="00545CE3" w:rsidRPr="00681902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E3" w:rsidRPr="00681902" w:rsidRDefault="00545CE3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管理人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CE3" w:rsidRPr="00681902" w:rsidRDefault="00545CE3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兴业银行股份有限公司</w:t>
            </w:r>
          </w:p>
        </w:tc>
      </w:tr>
      <w:tr w:rsidR="00545CE3" w:rsidRPr="00681902" w:rsidTr="00DD6476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E3" w:rsidRPr="00681902" w:rsidRDefault="00545CE3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托管人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CE3" w:rsidRPr="00681902" w:rsidRDefault="00545CE3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兴业银行股份有限公司</w:t>
            </w:r>
          </w:p>
        </w:tc>
      </w:tr>
    </w:tbl>
    <w:p w:rsidR="003B3B52" w:rsidRPr="00681902" w:rsidRDefault="003B3B52" w:rsidP="00921320">
      <w:pPr>
        <w:tabs>
          <w:tab w:val="left" w:pos="5565"/>
        </w:tabs>
        <w:rPr>
          <w:rFonts w:ascii="Arial" w:hAnsi="Arial" w:cs="Arial"/>
          <w:sz w:val="30"/>
          <w:szCs w:val="30"/>
        </w:rPr>
      </w:pPr>
    </w:p>
    <w:p w:rsidR="00D957E4" w:rsidRPr="00681902" w:rsidRDefault="005978D1" w:rsidP="000115F3">
      <w:pPr>
        <w:pStyle w:val="a9"/>
        <w:numPr>
          <w:ilvl w:val="0"/>
          <w:numId w:val="1"/>
        </w:numPr>
        <w:ind w:firstLineChars="0"/>
        <w:outlineLvl w:val="0"/>
        <w:rPr>
          <w:rFonts w:ascii="Arial" w:hAnsi="Arial" w:cs="Arial"/>
          <w:b/>
          <w:sz w:val="30"/>
          <w:szCs w:val="30"/>
        </w:rPr>
      </w:pPr>
      <w:bookmarkStart w:id="3" w:name="_Toc6323856"/>
      <w:r w:rsidRPr="00681902">
        <w:rPr>
          <w:rFonts w:ascii="Arial" w:hAnsi="Arial" w:cs="Arial"/>
          <w:b/>
          <w:sz w:val="30"/>
          <w:szCs w:val="30"/>
        </w:rPr>
        <w:t>产品收益表现</w:t>
      </w:r>
      <w:bookmarkEnd w:id="3"/>
      <w:r w:rsidR="00921320" w:rsidRPr="00681902">
        <w:rPr>
          <w:rFonts w:ascii="Arial" w:hAnsi="Arial" w:cs="Arial"/>
          <w:b/>
          <w:sz w:val="30"/>
          <w:szCs w:val="30"/>
        </w:rPr>
        <w:tab/>
      </w:r>
    </w:p>
    <w:p w:rsidR="000447A7" w:rsidRPr="00681902" w:rsidRDefault="00765D1B" w:rsidP="00AD01BE">
      <w:pPr>
        <w:ind w:firstLineChars="200" w:firstLine="600"/>
        <w:rPr>
          <w:rFonts w:ascii="Arial" w:hAnsi="Arial" w:cs="Arial"/>
          <w:sz w:val="30"/>
          <w:szCs w:val="30"/>
        </w:rPr>
      </w:pPr>
      <w:r w:rsidRPr="00681902">
        <w:rPr>
          <w:rFonts w:ascii="Arial" w:hAnsi="Arial" w:cs="Arial"/>
          <w:sz w:val="30"/>
          <w:szCs w:val="30"/>
        </w:rPr>
        <w:t>报告期内，本</w:t>
      </w:r>
      <w:proofErr w:type="gramStart"/>
      <w:r w:rsidRPr="00681902">
        <w:rPr>
          <w:rFonts w:ascii="Arial" w:hAnsi="Arial" w:cs="Arial"/>
          <w:sz w:val="30"/>
          <w:szCs w:val="30"/>
        </w:rPr>
        <w:t>产品</w:t>
      </w:r>
      <w:r w:rsidR="00AD01BE" w:rsidRPr="00681902">
        <w:rPr>
          <w:rFonts w:ascii="Arial" w:hAnsi="Arial" w:cs="Arial"/>
          <w:sz w:val="30"/>
          <w:szCs w:val="30"/>
        </w:rPr>
        <w:t>年化收益率</w:t>
      </w:r>
      <w:proofErr w:type="gramEnd"/>
      <w:r w:rsidR="00AD01BE" w:rsidRPr="00681902">
        <w:rPr>
          <w:rFonts w:ascii="Arial" w:hAnsi="Arial" w:cs="Arial"/>
          <w:sz w:val="30"/>
          <w:szCs w:val="30"/>
        </w:rPr>
        <w:t>为</w:t>
      </w:r>
      <w:r w:rsidR="007B4E3A" w:rsidRPr="00681902">
        <w:rPr>
          <w:rFonts w:ascii="Arial" w:hAnsi="Arial" w:cs="Arial"/>
          <w:sz w:val="30"/>
          <w:szCs w:val="30"/>
        </w:rPr>
        <w:t>4.95</w:t>
      </w:r>
      <w:r w:rsidRPr="00681902">
        <w:rPr>
          <w:rFonts w:ascii="Arial" w:hAnsi="Arial" w:cs="Arial"/>
          <w:sz w:val="30"/>
          <w:szCs w:val="30"/>
        </w:rPr>
        <w:t>%</w:t>
      </w:r>
      <w:r w:rsidRPr="00681902">
        <w:rPr>
          <w:rFonts w:ascii="Arial" w:hAnsi="Arial" w:cs="Arial"/>
          <w:sz w:val="30"/>
          <w:szCs w:val="30"/>
        </w:rPr>
        <w:t>，</w:t>
      </w:r>
      <w:r w:rsidR="00AD01BE" w:rsidRPr="00681902">
        <w:rPr>
          <w:rFonts w:ascii="Arial" w:hAnsi="Arial" w:cs="Arial"/>
          <w:sz w:val="30"/>
          <w:szCs w:val="30"/>
        </w:rPr>
        <w:t>达到业绩比较基准。</w:t>
      </w:r>
    </w:p>
    <w:p w:rsidR="00E547E3" w:rsidRPr="00681902" w:rsidRDefault="00E547E3" w:rsidP="00E547E3">
      <w:pPr>
        <w:ind w:left="180" w:firstLineChars="140" w:firstLine="420"/>
        <w:rPr>
          <w:rFonts w:ascii="Arial" w:eastAsia="宋体" w:hAnsi="Arial" w:cs="Arial"/>
          <w:sz w:val="30"/>
          <w:szCs w:val="30"/>
        </w:rPr>
      </w:pPr>
      <w:r w:rsidRPr="00681902">
        <w:rPr>
          <w:rFonts w:ascii="Arial" w:eastAsia="宋体" w:hAnsi="Arial" w:cs="Arial"/>
          <w:sz w:val="30"/>
          <w:szCs w:val="30"/>
        </w:rPr>
        <w:t>报告期末，产品净值表现具体如下：</w:t>
      </w:r>
    </w:p>
    <w:tbl>
      <w:tblPr>
        <w:tblW w:w="6620" w:type="dxa"/>
        <w:jc w:val="center"/>
        <w:tblInd w:w="93" w:type="dxa"/>
        <w:tblLook w:val="04A0"/>
      </w:tblPr>
      <w:tblGrid>
        <w:gridCol w:w="1316"/>
        <w:gridCol w:w="1648"/>
        <w:gridCol w:w="1680"/>
        <w:gridCol w:w="1976"/>
      </w:tblGrid>
      <w:tr w:rsidR="00E547E3" w:rsidRPr="00681902" w:rsidTr="00AE318E">
        <w:trPr>
          <w:trHeight w:val="555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7E3" w:rsidRPr="00681902" w:rsidRDefault="00E547E3" w:rsidP="00AE318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估值日期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7E3" w:rsidRPr="00681902" w:rsidRDefault="00E547E3" w:rsidP="00AE318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产品份额净值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7E3" w:rsidRPr="00681902" w:rsidRDefault="00E547E3" w:rsidP="00AE318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产品累计净值</w:t>
            </w:r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7E3" w:rsidRPr="00681902" w:rsidRDefault="00E547E3" w:rsidP="00AE318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产品资产净值</w:t>
            </w:r>
          </w:p>
        </w:tc>
      </w:tr>
      <w:tr w:rsidR="00E547E3" w:rsidRPr="00681902" w:rsidTr="00AE318E">
        <w:trPr>
          <w:trHeight w:val="285"/>
          <w:jc w:val="center"/>
        </w:trPr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7E3" w:rsidRPr="00681902" w:rsidRDefault="00E547E3" w:rsidP="00AE318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2"/>
              </w:rPr>
              <w:t>2019/3/29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7E3" w:rsidRPr="00681902" w:rsidRDefault="00E547E3" w:rsidP="00AE318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2"/>
              </w:rPr>
              <w:t>1.0278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7E3" w:rsidRPr="00681902" w:rsidRDefault="00E547E3" w:rsidP="00AE318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2"/>
              </w:rPr>
              <w:t>1.0278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7E3" w:rsidRPr="00681902" w:rsidRDefault="00E547E3" w:rsidP="00AE318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2"/>
              </w:rPr>
              <w:t>444,208,625.25</w:t>
            </w:r>
          </w:p>
        </w:tc>
      </w:tr>
    </w:tbl>
    <w:p w:rsidR="00AD01BE" w:rsidRPr="00681902" w:rsidRDefault="00AD01BE" w:rsidP="00AD01BE">
      <w:pPr>
        <w:ind w:firstLineChars="200" w:firstLine="480"/>
        <w:rPr>
          <w:rFonts w:ascii="Arial" w:eastAsia="宋体" w:hAnsi="Arial" w:cs="Arial"/>
          <w:sz w:val="24"/>
          <w:szCs w:val="24"/>
        </w:rPr>
      </w:pPr>
    </w:p>
    <w:p w:rsidR="005978D1" w:rsidRPr="00681902" w:rsidRDefault="001F2ACD" w:rsidP="000115F3">
      <w:pPr>
        <w:pStyle w:val="a9"/>
        <w:numPr>
          <w:ilvl w:val="0"/>
          <w:numId w:val="1"/>
        </w:numPr>
        <w:ind w:firstLineChars="0"/>
        <w:outlineLvl w:val="0"/>
        <w:rPr>
          <w:rFonts w:ascii="Arial" w:hAnsi="Arial" w:cs="Arial"/>
          <w:b/>
          <w:sz w:val="30"/>
          <w:szCs w:val="30"/>
        </w:rPr>
      </w:pPr>
      <w:bookmarkStart w:id="4" w:name="_Toc6323857"/>
      <w:r w:rsidRPr="00681902">
        <w:rPr>
          <w:rFonts w:ascii="Arial" w:hAnsi="Arial" w:cs="Arial"/>
          <w:b/>
          <w:sz w:val="30"/>
          <w:szCs w:val="30"/>
        </w:rPr>
        <w:t>报告期内产品的投资策略和运作分析</w:t>
      </w:r>
      <w:bookmarkEnd w:id="4"/>
    </w:p>
    <w:p w:rsidR="00AD01BE" w:rsidRPr="00681902" w:rsidRDefault="00AD01BE" w:rsidP="00AD01BE">
      <w:pPr>
        <w:ind w:firstLineChars="200" w:firstLine="600"/>
        <w:rPr>
          <w:rFonts w:ascii="Arial" w:hAnsi="Arial" w:cs="Arial"/>
          <w:sz w:val="30"/>
          <w:szCs w:val="30"/>
        </w:rPr>
      </w:pPr>
      <w:r w:rsidRPr="00681902">
        <w:rPr>
          <w:rFonts w:ascii="Arial" w:hAnsi="Arial" w:cs="Arial"/>
          <w:sz w:val="30"/>
          <w:szCs w:val="30"/>
        </w:rPr>
        <w:t>本理财产品投资于</w:t>
      </w:r>
      <w:r w:rsidR="001422A9" w:rsidRPr="00681902">
        <w:rPr>
          <w:rFonts w:ascii="Arial" w:hAnsi="Arial" w:cs="Arial"/>
          <w:sz w:val="30"/>
          <w:szCs w:val="30"/>
        </w:rPr>
        <w:t>同业借款资产</w:t>
      </w:r>
      <w:r w:rsidRPr="00681902">
        <w:rPr>
          <w:rFonts w:ascii="Arial" w:hAnsi="Arial" w:cs="Arial"/>
          <w:sz w:val="30"/>
          <w:szCs w:val="30"/>
        </w:rPr>
        <w:t>，</w:t>
      </w:r>
      <w:r w:rsidR="001422A9" w:rsidRPr="00681902">
        <w:rPr>
          <w:rFonts w:ascii="Arial" w:hAnsi="Arial" w:cs="Arial"/>
          <w:sz w:val="30"/>
          <w:szCs w:val="30"/>
        </w:rPr>
        <w:t>融资人为</w:t>
      </w:r>
      <w:r w:rsidR="00B84C30" w:rsidRPr="00681902">
        <w:rPr>
          <w:rFonts w:ascii="Arial" w:hAnsi="Arial" w:cs="Arial"/>
          <w:sz w:val="30"/>
          <w:szCs w:val="30"/>
        </w:rPr>
        <w:t>太平石化金融租赁有限责任公司</w:t>
      </w:r>
      <w:r w:rsidRPr="00681902">
        <w:rPr>
          <w:rFonts w:ascii="Arial" w:hAnsi="Arial" w:cs="Arial"/>
          <w:sz w:val="30"/>
          <w:szCs w:val="30"/>
        </w:rPr>
        <w:t>。</w:t>
      </w:r>
      <w:r w:rsidR="001422A9" w:rsidRPr="00681902">
        <w:rPr>
          <w:rFonts w:ascii="Arial" w:hAnsi="Arial" w:cs="Arial"/>
          <w:sz w:val="30"/>
          <w:szCs w:val="30"/>
        </w:rPr>
        <w:t>同业借款是指金融机构之间开展的</w:t>
      </w:r>
      <w:r w:rsidR="001422A9" w:rsidRPr="00681902">
        <w:rPr>
          <w:rFonts w:ascii="Arial" w:hAnsi="Arial" w:cs="Arial"/>
          <w:sz w:val="30"/>
          <w:szCs w:val="30"/>
        </w:rPr>
        <w:t>3</w:t>
      </w:r>
      <w:r w:rsidR="001422A9" w:rsidRPr="00681902">
        <w:rPr>
          <w:rFonts w:ascii="Arial" w:hAnsi="Arial" w:cs="Arial"/>
          <w:sz w:val="30"/>
          <w:szCs w:val="30"/>
        </w:rPr>
        <w:t>年期以下银行间资金借贷，用以补足准备金和季节性资金需求</w:t>
      </w:r>
      <w:r w:rsidRPr="00681902">
        <w:rPr>
          <w:rFonts w:ascii="Arial" w:hAnsi="Arial" w:cs="Arial"/>
          <w:sz w:val="30"/>
          <w:szCs w:val="30"/>
        </w:rPr>
        <w:t>。本理财产品投资标的为发行人凭借自身信用</w:t>
      </w:r>
      <w:r w:rsidR="001422A9" w:rsidRPr="00681902">
        <w:rPr>
          <w:rFonts w:ascii="Arial" w:hAnsi="Arial" w:cs="Arial"/>
          <w:sz w:val="30"/>
          <w:szCs w:val="30"/>
        </w:rPr>
        <w:t>在我行拆借的</w:t>
      </w:r>
      <w:r w:rsidRPr="00681902">
        <w:rPr>
          <w:rFonts w:ascii="Arial" w:hAnsi="Arial" w:cs="Arial"/>
          <w:sz w:val="30"/>
          <w:szCs w:val="30"/>
        </w:rPr>
        <w:t>固定收益</w:t>
      </w:r>
      <w:r w:rsidR="001422A9" w:rsidRPr="00681902">
        <w:rPr>
          <w:rFonts w:ascii="Arial" w:hAnsi="Arial" w:cs="Arial"/>
          <w:sz w:val="30"/>
          <w:szCs w:val="30"/>
        </w:rPr>
        <w:t>同业借款</w:t>
      </w:r>
      <w:r w:rsidRPr="00681902">
        <w:rPr>
          <w:rFonts w:ascii="Arial" w:hAnsi="Arial" w:cs="Arial"/>
          <w:sz w:val="30"/>
          <w:szCs w:val="30"/>
        </w:rPr>
        <w:t>。</w:t>
      </w:r>
    </w:p>
    <w:p w:rsidR="00B84C30" w:rsidRPr="00681902" w:rsidRDefault="00B84C30" w:rsidP="00B84C30">
      <w:pPr>
        <w:spacing w:line="360" w:lineRule="auto"/>
        <w:ind w:firstLineChars="200" w:firstLine="600"/>
        <w:rPr>
          <w:rFonts w:ascii="Arial" w:hAnsi="Arial" w:cs="Arial"/>
          <w:sz w:val="30"/>
          <w:szCs w:val="30"/>
        </w:rPr>
      </w:pPr>
      <w:r w:rsidRPr="00681902">
        <w:rPr>
          <w:rFonts w:ascii="Arial" w:hAnsi="Arial" w:cs="Arial"/>
          <w:sz w:val="30"/>
          <w:szCs w:val="30"/>
        </w:rPr>
        <w:t>太平石化金融租赁有限责任公司是经中国银监会批准，由太平人寿保险有限公司和中国石油化工集团公司共同</w:t>
      </w:r>
      <w:r w:rsidR="001422A9" w:rsidRPr="00681902">
        <w:rPr>
          <w:rFonts w:ascii="Arial" w:hAnsi="Arial" w:cs="Arial"/>
          <w:sz w:val="30"/>
          <w:szCs w:val="30"/>
        </w:rPr>
        <w:t>设立</w:t>
      </w:r>
      <w:r w:rsidRPr="00681902">
        <w:rPr>
          <w:rFonts w:ascii="Arial" w:hAnsi="Arial" w:cs="Arial"/>
          <w:sz w:val="30"/>
          <w:szCs w:val="30"/>
        </w:rPr>
        <w:t>的金融机构</w:t>
      </w:r>
      <w:r w:rsidR="001422A9" w:rsidRPr="00681902">
        <w:rPr>
          <w:rFonts w:ascii="Arial" w:hAnsi="Arial" w:cs="Arial"/>
          <w:sz w:val="30"/>
          <w:szCs w:val="30"/>
        </w:rPr>
        <w:t>，</w:t>
      </w:r>
      <w:r w:rsidRPr="00681902">
        <w:rPr>
          <w:rFonts w:ascii="Arial" w:hAnsi="Arial" w:cs="Arial"/>
          <w:sz w:val="30"/>
          <w:szCs w:val="30"/>
        </w:rPr>
        <w:t>注册资本</w:t>
      </w:r>
      <w:r w:rsidRPr="00681902">
        <w:rPr>
          <w:rFonts w:ascii="Arial" w:hAnsi="Arial" w:cs="Arial"/>
          <w:sz w:val="30"/>
          <w:szCs w:val="30"/>
        </w:rPr>
        <w:t>50</w:t>
      </w:r>
      <w:r w:rsidRPr="00681902">
        <w:rPr>
          <w:rFonts w:ascii="Arial" w:hAnsi="Arial" w:cs="Arial"/>
          <w:sz w:val="30"/>
          <w:szCs w:val="30"/>
        </w:rPr>
        <w:t>亿元。太平石化金融租赁定位以石化产业链为主线，重点发展石油化工、装备制造、交通运输节能环保等领域的融资租赁业务，着力推动石油石化相关产品的转型升级，支</w:t>
      </w:r>
      <w:r w:rsidRPr="00681902">
        <w:rPr>
          <w:rFonts w:ascii="Arial" w:hAnsi="Arial" w:cs="Arial"/>
          <w:sz w:val="30"/>
          <w:szCs w:val="30"/>
        </w:rPr>
        <w:lastRenderedPageBreak/>
        <w:t>持石油石化行业相关中小企业发展。</w:t>
      </w:r>
    </w:p>
    <w:p w:rsidR="00DF2704" w:rsidRPr="00681902" w:rsidRDefault="00E97562" w:rsidP="00E97562">
      <w:pPr>
        <w:ind w:firstLineChars="200" w:firstLine="600"/>
        <w:rPr>
          <w:rFonts w:ascii="Arial" w:hAnsi="Arial" w:cs="Arial"/>
          <w:sz w:val="30"/>
          <w:szCs w:val="30"/>
        </w:rPr>
      </w:pPr>
      <w:r w:rsidRPr="00681902">
        <w:rPr>
          <w:rFonts w:ascii="Arial" w:hAnsi="Arial" w:cs="Arial"/>
          <w:sz w:val="30"/>
          <w:szCs w:val="30"/>
        </w:rPr>
        <w:t>截至</w:t>
      </w:r>
      <w:r w:rsidRPr="00681902">
        <w:rPr>
          <w:rFonts w:ascii="Arial" w:hAnsi="Arial" w:cs="Arial"/>
          <w:sz w:val="30"/>
          <w:szCs w:val="30"/>
        </w:rPr>
        <w:t>2018</w:t>
      </w:r>
      <w:r w:rsidRPr="00681902">
        <w:rPr>
          <w:rFonts w:ascii="Arial" w:hAnsi="Arial" w:cs="Arial"/>
          <w:sz w:val="30"/>
          <w:szCs w:val="30"/>
        </w:rPr>
        <w:t>年</w:t>
      </w:r>
      <w:r w:rsidRPr="00681902">
        <w:rPr>
          <w:rFonts w:ascii="Arial" w:hAnsi="Arial" w:cs="Arial"/>
          <w:sz w:val="30"/>
          <w:szCs w:val="30"/>
        </w:rPr>
        <w:t>12</w:t>
      </w:r>
      <w:r w:rsidRPr="00681902">
        <w:rPr>
          <w:rFonts w:ascii="Arial" w:hAnsi="Arial" w:cs="Arial"/>
          <w:sz w:val="30"/>
          <w:szCs w:val="30"/>
        </w:rPr>
        <w:t>月，公司总资产</w:t>
      </w:r>
      <w:r w:rsidRPr="00681902">
        <w:rPr>
          <w:rFonts w:ascii="Arial" w:hAnsi="Arial" w:cs="Arial"/>
          <w:sz w:val="30"/>
          <w:szCs w:val="30"/>
        </w:rPr>
        <w:t>483.76</w:t>
      </w:r>
      <w:r w:rsidRPr="00681902">
        <w:rPr>
          <w:rFonts w:ascii="Arial" w:hAnsi="Arial" w:cs="Arial"/>
          <w:sz w:val="30"/>
          <w:szCs w:val="30"/>
        </w:rPr>
        <w:t>亿元，总负债</w:t>
      </w:r>
      <w:r w:rsidRPr="00681902">
        <w:rPr>
          <w:rFonts w:ascii="Arial" w:hAnsi="Arial" w:cs="Arial"/>
          <w:sz w:val="30"/>
          <w:szCs w:val="30"/>
        </w:rPr>
        <w:t>424.72</w:t>
      </w:r>
      <w:r w:rsidRPr="00681902">
        <w:rPr>
          <w:rFonts w:ascii="Arial" w:hAnsi="Arial" w:cs="Arial"/>
          <w:sz w:val="30"/>
          <w:szCs w:val="30"/>
        </w:rPr>
        <w:t>亿元，股东权益合计</w:t>
      </w:r>
      <w:r w:rsidRPr="00681902">
        <w:rPr>
          <w:rFonts w:ascii="Arial" w:hAnsi="Arial" w:cs="Arial"/>
          <w:sz w:val="30"/>
          <w:szCs w:val="30"/>
        </w:rPr>
        <w:t>59.02</w:t>
      </w:r>
      <w:r w:rsidRPr="00681902">
        <w:rPr>
          <w:rFonts w:ascii="Arial" w:hAnsi="Arial" w:cs="Arial"/>
          <w:sz w:val="30"/>
          <w:szCs w:val="30"/>
        </w:rPr>
        <w:t>亿元。营业收入</w:t>
      </w:r>
      <w:r w:rsidRPr="00681902">
        <w:rPr>
          <w:rFonts w:ascii="Arial" w:hAnsi="Arial" w:cs="Arial"/>
          <w:sz w:val="30"/>
          <w:szCs w:val="30"/>
        </w:rPr>
        <w:t>7.68</w:t>
      </w:r>
      <w:r w:rsidRPr="00681902">
        <w:rPr>
          <w:rFonts w:ascii="Arial" w:hAnsi="Arial" w:cs="Arial"/>
          <w:sz w:val="30"/>
          <w:szCs w:val="30"/>
        </w:rPr>
        <w:t>亿元，净利润</w:t>
      </w:r>
      <w:r w:rsidRPr="00681902">
        <w:rPr>
          <w:rFonts w:ascii="Arial" w:hAnsi="Arial" w:cs="Arial"/>
          <w:sz w:val="30"/>
          <w:szCs w:val="30"/>
        </w:rPr>
        <w:t>2.68</w:t>
      </w:r>
      <w:r w:rsidRPr="00681902">
        <w:rPr>
          <w:rFonts w:ascii="Arial" w:hAnsi="Arial" w:cs="Arial"/>
          <w:sz w:val="30"/>
          <w:szCs w:val="30"/>
        </w:rPr>
        <w:t>亿元，资产负债率</w:t>
      </w:r>
      <w:r w:rsidRPr="00681902">
        <w:rPr>
          <w:rFonts w:ascii="Arial" w:hAnsi="Arial" w:cs="Arial"/>
          <w:sz w:val="30"/>
          <w:szCs w:val="30"/>
        </w:rPr>
        <w:t>88.8%</w:t>
      </w:r>
      <w:r w:rsidRPr="00681902">
        <w:rPr>
          <w:rFonts w:ascii="Arial" w:hAnsi="Arial" w:cs="Arial"/>
          <w:sz w:val="30"/>
          <w:szCs w:val="30"/>
        </w:rPr>
        <w:t>，净资产收益率</w:t>
      </w:r>
      <w:r w:rsidRPr="00681902">
        <w:rPr>
          <w:rFonts w:ascii="Arial" w:hAnsi="Arial" w:cs="Arial"/>
          <w:sz w:val="30"/>
          <w:szCs w:val="30"/>
        </w:rPr>
        <w:t>4.52%</w:t>
      </w:r>
      <w:r w:rsidRPr="00681902">
        <w:rPr>
          <w:rFonts w:ascii="Arial" w:hAnsi="Arial" w:cs="Arial"/>
          <w:sz w:val="30"/>
          <w:szCs w:val="30"/>
        </w:rPr>
        <w:t>。</w:t>
      </w:r>
    </w:p>
    <w:p w:rsidR="00DF2704" w:rsidRPr="00681902" w:rsidRDefault="00DF2704" w:rsidP="00B36784">
      <w:pPr>
        <w:ind w:firstLineChars="200" w:firstLine="600"/>
        <w:rPr>
          <w:rFonts w:ascii="Arial" w:hAnsi="Arial" w:cs="Arial"/>
          <w:sz w:val="30"/>
          <w:szCs w:val="30"/>
        </w:rPr>
      </w:pPr>
      <w:bookmarkStart w:id="5" w:name="_GoBack"/>
      <w:bookmarkEnd w:id="5"/>
    </w:p>
    <w:p w:rsidR="00E547E3" w:rsidRPr="00681902" w:rsidRDefault="00E547E3" w:rsidP="00E547E3">
      <w:pPr>
        <w:pStyle w:val="a9"/>
        <w:numPr>
          <w:ilvl w:val="0"/>
          <w:numId w:val="1"/>
        </w:numPr>
        <w:ind w:firstLineChars="0"/>
        <w:rPr>
          <w:rFonts w:ascii="Arial" w:hAnsi="Arial" w:cs="Arial"/>
          <w:b/>
          <w:sz w:val="30"/>
          <w:szCs w:val="30"/>
        </w:rPr>
      </w:pPr>
      <w:bookmarkStart w:id="6" w:name="_Toc5874821"/>
      <w:r w:rsidRPr="00681902">
        <w:rPr>
          <w:rFonts w:ascii="Arial" w:hAnsi="Arial" w:cs="Arial"/>
          <w:b/>
          <w:sz w:val="30"/>
          <w:szCs w:val="30"/>
        </w:rPr>
        <w:t>2019</w:t>
      </w:r>
      <w:r w:rsidRPr="00681902">
        <w:rPr>
          <w:rFonts w:ascii="Arial" w:hAnsi="Arial" w:cs="Arial"/>
          <w:b/>
          <w:sz w:val="30"/>
          <w:szCs w:val="30"/>
        </w:rPr>
        <w:t>年第</w:t>
      </w:r>
      <w:r w:rsidRPr="00681902">
        <w:rPr>
          <w:rFonts w:ascii="Arial" w:hAnsi="Arial" w:cs="Arial"/>
          <w:b/>
          <w:sz w:val="30"/>
          <w:szCs w:val="30"/>
        </w:rPr>
        <w:t>1</w:t>
      </w:r>
      <w:r w:rsidRPr="00681902">
        <w:rPr>
          <w:rFonts w:ascii="Arial" w:hAnsi="Arial" w:cs="Arial"/>
          <w:b/>
          <w:sz w:val="30"/>
          <w:szCs w:val="30"/>
        </w:rPr>
        <w:t>季度财务会计报告</w:t>
      </w:r>
      <w:bookmarkEnd w:id="6"/>
    </w:p>
    <w:p w:rsidR="00E547E3" w:rsidRPr="00681902" w:rsidRDefault="00E547E3" w:rsidP="00E547E3">
      <w:pPr>
        <w:pStyle w:val="a9"/>
        <w:numPr>
          <w:ilvl w:val="0"/>
          <w:numId w:val="3"/>
        </w:numPr>
        <w:ind w:firstLineChars="0"/>
        <w:outlineLvl w:val="1"/>
        <w:rPr>
          <w:rFonts w:ascii="Arial" w:eastAsia="宋体" w:hAnsi="Arial" w:cs="Arial"/>
          <w:b/>
          <w:sz w:val="30"/>
          <w:szCs w:val="30"/>
        </w:rPr>
      </w:pPr>
      <w:bookmarkStart w:id="7" w:name="_Toc535326255"/>
      <w:bookmarkStart w:id="8" w:name="_Toc5874822"/>
      <w:bookmarkStart w:id="9" w:name="_Toc6323858"/>
      <w:r w:rsidRPr="00681902">
        <w:rPr>
          <w:rFonts w:ascii="Arial" w:eastAsia="宋体" w:hAnsi="Arial" w:cs="Arial"/>
          <w:b/>
          <w:sz w:val="30"/>
          <w:szCs w:val="30"/>
        </w:rPr>
        <w:t>资产负债表</w:t>
      </w:r>
      <w:bookmarkEnd w:id="7"/>
      <w:bookmarkEnd w:id="8"/>
      <w:bookmarkEnd w:id="9"/>
    </w:p>
    <w:p w:rsidR="00E547E3" w:rsidRPr="00681902" w:rsidRDefault="00E547E3" w:rsidP="00E547E3">
      <w:pPr>
        <w:pStyle w:val="a9"/>
        <w:ind w:left="1080" w:firstLineChars="0" w:firstLine="0"/>
        <w:rPr>
          <w:rFonts w:ascii="Arial" w:eastAsia="宋体" w:hAnsi="Arial" w:cs="Arial"/>
          <w:color w:val="000000"/>
          <w:kern w:val="0"/>
          <w:sz w:val="22"/>
        </w:rPr>
      </w:pPr>
      <w:r w:rsidRPr="00681902">
        <w:rPr>
          <w:rFonts w:ascii="Arial" w:eastAsia="宋体" w:hAnsi="Arial" w:cs="Arial"/>
          <w:sz w:val="22"/>
        </w:rPr>
        <w:t>会计主体：兴业银行</w:t>
      </w:r>
      <w:r w:rsidRPr="00681902">
        <w:rPr>
          <w:rFonts w:ascii="Arial" w:eastAsia="宋体" w:hAnsi="Arial" w:cs="Arial"/>
          <w:sz w:val="22"/>
        </w:rPr>
        <w:t>“</w:t>
      </w:r>
      <w:r w:rsidRPr="00681902">
        <w:rPr>
          <w:rFonts w:ascii="Arial" w:eastAsia="宋体" w:hAnsi="Arial" w:cs="Arial"/>
          <w:sz w:val="22"/>
        </w:rPr>
        <w:t>万利宝</w:t>
      </w:r>
      <w:r w:rsidRPr="00681902">
        <w:rPr>
          <w:rFonts w:ascii="Arial" w:eastAsia="宋体" w:hAnsi="Arial" w:cs="Arial"/>
          <w:sz w:val="22"/>
        </w:rPr>
        <w:t>-</w:t>
      </w:r>
      <w:r w:rsidRPr="00681902">
        <w:rPr>
          <w:rFonts w:ascii="Arial" w:eastAsia="宋体" w:hAnsi="Arial" w:cs="Arial"/>
          <w:sz w:val="22"/>
        </w:rPr>
        <w:t>聚利</w:t>
      </w:r>
      <w:r w:rsidRPr="00681902">
        <w:rPr>
          <w:rFonts w:ascii="Arial" w:eastAsia="宋体" w:hAnsi="Arial" w:cs="Arial"/>
          <w:sz w:val="22"/>
        </w:rPr>
        <w:t>”2018</w:t>
      </w:r>
      <w:r w:rsidRPr="00681902">
        <w:rPr>
          <w:rFonts w:ascii="Arial" w:eastAsia="宋体" w:hAnsi="Arial" w:cs="Arial"/>
          <w:sz w:val="22"/>
        </w:rPr>
        <w:t>年第</w:t>
      </w:r>
      <w:r w:rsidRPr="00681902">
        <w:rPr>
          <w:rFonts w:ascii="Arial" w:eastAsia="宋体" w:hAnsi="Arial" w:cs="Arial"/>
          <w:sz w:val="22"/>
        </w:rPr>
        <w:t>3</w:t>
      </w:r>
      <w:r w:rsidRPr="00681902">
        <w:rPr>
          <w:rFonts w:ascii="Arial" w:eastAsia="宋体" w:hAnsi="Arial" w:cs="Arial"/>
          <w:sz w:val="22"/>
        </w:rPr>
        <w:t>期封闭式净值型理财产品</w:t>
      </w:r>
      <w:r w:rsidRPr="00681902">
        <w:rPr>
          <w:rFonts w:ascii="Arial" w:eastAsia="宋体" w:hAnsi="Arial" w:cs="Arial"/>
          <w:sz w:val="22"/>
        </w:rPr>
        <w:t>(</w:t>
      </w:r>
      <w:r w:rsidRPr="00681902">
        <w:rPr>
          <w:rFonts w:ascii="Arial" w:eastAsia="宋体" w:hAnsi="Arial" w:cs="Arial"/>
          <w:sz w:val="22"/>
        </w:rPr>
        <w:t>北京专属</w:t>
      </w:r>
      <w:r w:rsidRPr="00681902">
        <w:rPr>
          <w:rFonts w:ascii="Arial" w:eastAsia="宋体" w:hAnsi="Arial" w:cs="Arial"/>
          <w:sz w:val="22"/>
        </w:rPr>
        <w:t>)</w:t>
      </w:r>
    </w:p>
    <w:p w:rsidR="00E547E3" w:rsidRPr="00681902" w:rsidRDefault="00E547E3" w:rsidP="00E547E3">
      <w:pPr>
        <w:pStyle w:val="a9"/>
        <w:ind w:left="1080" w:firstLineChars="0" w:firstLine="0"/>
        <w:rPr>
          <w:rFonts w:ascii="Arial" w:eastAsia="宋体" w:hAnsi="Arial" w:cs="Arial"/>
          <w:color w:val="000000"/>
          <w:kern w:val="0"/>
          <w:sz w:val="22"/>
        </w:rPr>
      </w:pPr>
      <w:r w:rsidRPr="00681902">
        <w:rPr>
          <w:rFonts w:ascii="Arial" w:eastAsia="宋体" w:hAnsi="Arial" w:cs="Arial"/>
          <w:color w:val="000000"/>
          <w:kern w:val="0"/>
          <w:sz w:val="22"/>
        </w:rPr>
        <w:t>报告截止日：</w:t>
      </w:r>
      <w:r w:rsidRPr="00681902">
        <w:rPr>
          <w:rFonts w:ascii="Arial" w:eastAsia="宋体" w:hAnsi="Arial" w:cs="Arial"/>
          <w:color w:val="000000"/>
          <w:kern w:val="0"/>
          <w:sz w:val="22"/>
        </w:rPr>
        <w:t>2019</w:t>
      </w:r>
      <w:r w:rsidRPr="00681902">
        <w:rPr>
          <w:rFonts w:ascii="Arial" w:eastAsia="宋体" w:hAnsi="Arial" w:cs="Arial"/>
          <w:color w:val="000000"/>
          <w:kern w:val="0"/>
          <w:sz w:val="22"/>
        </w:rPr>
        <w:t>年</w:t>
      </w:r>
      <w:r w:rsidRPr="00681902">
        <w:rPr>
          <w:rFonts w:ascii="Arial" w:eastAsia="宋体" w:hAnsi="Arial" w:cs="Arial"/>
          <w:color w:val="000000"/>
          <w:kern w:val="0"/>
          <w:sz w:val="22"/>
        </w:rPr>
        <w:t>3</w:t>
      </w:r>
      <w:r w:rsidRPr="00681902">
        <w:rPr>
          <w:rFonts w:ascii="Arial" w:eastAsia="宋体" w:hAnsi="Arial" w:cs="Arial"/>
          <w:color w:val="000000"/>
          <w:kern w:val="0"/>
          <w:sz w:val="22"/>
        </w:rPr>
        <w:t>月</w:t>
      </w:r>
      <w:r w:rsidRPr="00681902">
        <w:rPr>
          <w:rFonts w:ascii="Arial" w:eastAsia="宋体" w:hAnsi="Arial" w:cs="Arial"/>
          <w:color w:val="000000"/>
          <w:kern w:val="0"/>
          <w:sz w:val="22"/>
        </w:rPr>
        <w:t>31</w:t>
      </w:r>
      <w:r w:rsidRPr="00681902">
        <w:rPr>
          <w:rFonts w:ascii="Arial" w:eastAsia="宋体" w:hAnsi="Arial" w:cs="Arial"/>
          <w:color w:val="000000"/>
          <w:kern w:val="0"/>
          <w:sz w:val="22"/>
        </w:rPr>
        <w:t>日</w:t>
      </w:r>
    </w:p>
    <w:tbl>
      <w:tblPr>
        <w:tblW w:w="8980" w:type="dxa"/>
        <w:jc w:val="center"/>
        <w:tblInd w:w="95" w:type="dxa"/>
        <w:tblLook w:val="04A0"/>
      </w:tblPr>
      <w:tblGrid>
        <w:gridCol w:w="1036"/>
        <w:gridCol w:w="1607"/>
        <w:gridCol w:w="1607"/>
        <w:gridCol w:w="1516"/>
        <w:gridCol w:w="1607"/>
        <w:gridCol w:w="1607"/>
      </w:tblGrid>
      <w:tr w:rsidR="000115F3" w:rsidRPr="00681902" w:rsidTr="000115F3">
        <w:trPr>
          <w:trHeight w:val="28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报表名称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资产负债表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报表类型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日报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报表日期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2019-03-31</w:t>
            </w:r>
          </w:p>
        </w:tc>
      </w:tr>
      <w:tr w:rsidR="000115F3" w:rsidRPr="00681902" w:rsidTr="000115F3">
        <w:trPr>
          <w:trHeight w:val="51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机构名称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理财产品代码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1K118013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理财产品名称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万利宝聚利</w:t>
            </w:r>
            <w:proofErr w:type="gramEnd"/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第</w:t>
            </w: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期业绩基准</w:t>
            </w: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4.95%</w:t>
            </w: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北京</w:t>
            </w:r>
          </w:p>
        </w:tc>
      </w:tr>
      <w:tr w:rsidR="000115F3" w:rsidRPr="00681902" w:rsidTr="000115F3">
        <w:trPr>
          <w:trHeight w:val="28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币种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人民币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0115F3" w:rsidRPr="00681902" w:rsidTr="000115F3">
        <w:trPr>
          <w:trHeight w:val="61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资产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期末余额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(2019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年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月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31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日）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期初余额（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2018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年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12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月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31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日）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负债和所有者权益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期末余额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(2019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年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月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31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日）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期初余额（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2018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年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12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月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31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日）</w:t>
            </w:r>
          </w:p>
        </w:tc>
      </w:tr>
      <w:tr w:rsidR="000115F3" w:rsidRPr="00681902" w:rsidTr="000115F3">
        <w:trPr>
          <w:trHeight w:val="28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资产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负债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0115F3" w:rsidRPr="00681902" w:rsidTr="000115F3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银行存款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17,667,931.66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11,866,886.00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拆入资金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存出保证金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交易性金融负债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拆出资金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427,070,000.00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427,070,000.00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衍生金融负债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交易性金融资产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卖出回购金融资产款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衍生金融资产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应付管理人报酬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731,767.62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412,063.32 </w:t>
            </w:r>
          </w:p>
        </w:tc>
      </w:tr>
      <w:tr w:rsidR="000115F3" w:rsidRPr="00681902" w:rsidTr="000115F3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买入返售金融资产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应付托管费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24,392.46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13,735.56 </w:t>
            </w:r>
          </w:p>
        </w:tc>
      </w:tr>
      <w:tr w:rsidR="000115F3" w:rsidRPr="00681902" w:rsidTr="000115F3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可供出售金融资产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应付销售服务费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365,884.84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206,032.24 </w:t>
            </w:r>
          </w:p>
        </w:tc>
      </w:tr>
      <w:tr w:rsidR="000115F3" w:rsidRPr="00681902" w:rsidTr="000115F3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应收款项类投资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应交税费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持有到期投资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应付利息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应收利息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711,143.73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709,016.66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应付利润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应收股利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其他负债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其他资产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应付</w:t>
            </w:r>
            <w:proofErr w:type="gramStart"/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赎回款</w:t>
            </w:r>
            <w:proofErr w:type="gram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8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负债合计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1,122,044.92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631,831.12 </w:t>
            </w:r>
          </w:p>
        </w:tc>
      </w:tr>
      <w:tr w:rsidR="000115F3" w:rsidRPr="00681902" w:rsidTr="000115F3">
        <w:trPr>
          <w:trHeight w:val="28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所有者权益：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0115F3" w:rsidRPr="00681902" w:rsidTr="000115F3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实收资金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432,193,000.00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432,193,000.00 </w:t>
            </w:r>
          </w:p>
        </w:tc>
      </w:tr>
      <w:tr w:rsidR="000115F3" w:rsidRPr="00681902" w:rsidTr="000115F3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资本公积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未分配利润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12,134,030.47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6,821,071.54 </w:t>
            </w:r>
          </w:p>
        </w:tc>
      </w:tr>
      <w:tr w:rsidR="000115F3" w:rsidRPr="00681902" w:rsidTr="000115F3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>损益平准金</w:t>
            </w:r>
            <w:proofErr w:type="gram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8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所有者权益合计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444,327,030.47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439,014,071.54 </w:t>
            </w:r>
          </w:p>
        </w:tc>
      </w:tr>
      <w:tr w:rsidR="000115F3" w:rsidRPr="00681902" w:rsidTr="000115F3">
        <w:trPr>
          <w:trHeight w:val="55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资产总计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445,449,075.39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439,645,902.66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22"/>
              </w:rPr>
              <w:t>负债和所有者权益总计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445,449,075.39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439,645,902.66 </w:t>
            </w:r>
          </w:p>
        </w:tc>
      </w:tr>
    </w:tbl>
    <w:p w:rsidR="000115F3" w:rsidRPr="00681902" w:rsidRDefault="000115F3" w:rsidP="000115F3">
      <w:pPr>
        <w:pStyle w:val="a9"/>
        <w:numPr>
          <w:ilvl w:val="0"/>
          <w:numId w:val="3"/>
        </w:numPr>
        <w:ind w:firstLineChars="0"/>
        <w:outlineLvl w:val="1"/>
        <w:rPr>
          <w:rFonts w:ascii="Arial" w:eastAsia="宋体" w:hAnsi="Arial" w:cs="Arial"/>
          <w:b/>
          <w:sz w:val="30"/>
          <w:szCs w:val="30"/>
        </w:rPr>
      </w:pPr>
      <w:bookmarkStart w:id="10" w:name="_Toc5874823"/>
      <w:bookmarkStart w:id="11" w:name="_Toc6323859"/>
      <w:r w:rsidRPr="00681902">
        <w:rPr>
          <w:rFonts w:ascii="Arial" w:eastAsia="宋体" w:hAnsi="Arial" w:cs="Arial"/>
          <w:b/>
          <w:sz w:val="30"/>
          <w:szCs w:val="30"/>
        </w:rPr>
        <w:t>利润表</w:t>
      </w:r>
      <w:bookmarkEnd w:id="10"/>
      <w:bookmarkEnd w:id="11"/>
    </w:p>
    <w:p w:rsidR="000115F3" w:rsidRPr="00681902" w:rsidRDefault="000115F3" w:rsidP="000115F3">
      <w:pPr>
        <w:pStyle w:val="a9"/>
        <w:ind w:left="1080" w:firstLineChars="0" w:firstLine="0"/>
        <w:rPr>
          <w:rFonts w:ascii="Arial" w:eastAsia="宋体" w:hAnsi="Arial" w:cs="Arial"/>
          <w:color w:val="000000"/>
          <w:kern w:val="0"/>
          <w:sz w:val="22"/>
        </w:rPr>
      </w:pPr>
      <w:r w:rsidRPr="00681902">
        <w:rPr>
          <w:rFonts w:ascii="Arial" w:eastAsia="宋体" w:hAnsi="Arial" w:cs="Arial"/>
          <w:sz w:val="22"/>
        </w:rPr>
        <w:t>会计主体：兴业银行</w:t>
      </w:r>
      <w:r w:rsidRPr="00681902">
        <w:rPr>
          <w:rFonts w:ascii="Arial" w:eastAsia="宋体" w:hAnsi="Arial" w:cs="Arial"/>
          <w:sz w:val="22"/>
        </w:rPr>
        <w:t>“</w:t>
      </w:r>
      <w:r w:rsidRPr="00681902">
        <w:rPr>
          <w:rFonts w:ascii="Arial" w:eastAsia="宋体" w:hAnsi="Arial" w:cs="Arial"/>
          <w:sz w:val="22"/>
        </w:rPr>
        <w:t>万利宝</w:t>
      </w:r>
      <w:r w:rsidRPr="00681902">
        <w:rPr>
          <w:rFonts w:ascii="Arial" w:eastAsia="宋体" w:hAnsi="Arial" w:cs="Arial"/>
          <w:sz w:val="22"/>
        </w:rPr>
        <w:t>-</w:t>
      </w:r>
      <w:r w:rsidRPr="00681902">
        <w:rPr>
          <w:rFonts w:ascii="Arial" w:eastAsia="宋体" w:hAnsi="Arial" w:cs="Arial"/>
          <w:sz w:val="22"/>
        </w:rPr>
        <w:t>聚利</w:t>
      </w:r>
      <w:r w:rsidRPr="00681902">
        <w:rPr>
          <w:rFonts w:ascii="Arial" w:eastAsia="宋体" w:hAnsi="Arial" w:cs="Arial"/>
          <w:sz w:val="22"/>
        </w:rPr>
        <w:t>”2018</w:t>
      </w:r>
      <w:r w:rsidRPr="00681902">
        <w:rPr>
          <w:rFonts w:ascii="Arial" w:eastAsia="宋体" w:hAnsi="Arial" w:cs="Arial"/>
          <w:sz w:val="22"/>
        </w:rPr>
        <w:t>年第</w:t>
      </w:r>
      <w:r w:rsidRPr="00681902">
        <w:rPr>
          <w:rFonts w:ascii="Arial" w:eastAsia="宋体" w:hAnsi="Arial" w:cs="Arial"/>
          <w:sz w:val="22"/>
        </w:rPr>
        <w:t>3</w:t>
      </w:r>
      <w:r w:rsidRPr="00681902">
        <w:rPr>
          <w:rFonts w:ascii="Arial" w:eastAsia="宋体" w:hAnsi="Arial" w:cs="Arial"/>
          <w:sz w:val="22"/>
        </w:rPr>
        <w:t>期封闭式净值型理财产品</w:t>
      </w:r>
      <w:r w:rsidRPr="00681902">
        <w:rPr>
          <w:rFonts w:ascii="Arial" w:eastAsia="宋体" w:hAnsi="Arial" w:cs="Arial"/>
          <w:sz w:val="22"/>
        </w:rPr>
        <w:t>(</w:t>
      </w:r>
      <w:r w:rsidRPr="00681902">
        <w:rPr>
          <w:rFonts w:ascii="Arial" w:eastAsia="宋体" w:hAnsi="Arial" w:cs="Arial"/>
          <w:sz w:val="22"/>
        </w:rPr>
        <w:t>北京专属</w:t>
      </w:r>
      <w:r w:rsidRPr="00681902">
        <w:rPr>
          <w:rFonts w:ascii="Arial" w:eastAsia="宋体" w:hAnsi="Arial" w:cs="Arial"/>
          <w:sz w:val="22"/>
        </w:rPr>
        <w:t>)</w:t>
      </w:r>
    </w:p>
    <w:p w:rsidR="000115F3" w:rsidRPr="00681902" w:rsidRDefault="000115F3" w:rsidP="000115F3">
      <w:pPr>
        <w:ind w:left="660" w:firstLine="420"/>
        <w:rPr>
          <w:rFonts w:ascii="Arial" w:eastAsia="宋体" w:hAnsi="Arial" w:cs="Arial"/>
          <w:color w:val="000000"/>
          <w:kern w:val="0"/>
          <w:sz w:val="22"/>
        </w:rPr>
      </w:pPr>
      <w:r w:rsidRPr="00681902">
        <w:rPr>
          <w:rFonts w:ascii="Arial" w:eastAsia="宋体" w:hAnsi="Arial" w:cs="Arial"/>
          <w:color w:val="000000"/>
          <w:kern w:val="0"/>
          <w:sz w:val="22"/>
        </w:rPr>
        <w:t>本报告期：</w:t>
      </w:r>
      <w:r w:rsidRPr="00681902">
        <w:rPr>
          <w:rFonts w:ascii="Arial" w:eastAsia="宋体" w:hAnsi="Arial" w:cs="Arial"/>
          <w:color w:val="000000"/>
          <w:kern w:val="0"/>
          <w:sz w:val="22"/>
        </w:rPr>
        <w:t>2019</w:t>
      </w:r>
      <w:r w:rsidRPr="00681902">
        <w:rPr>
          <w:rFonts w:ascii="Arial" w:eastAsia="宋体" w:hAnsi="Arial" w:cs="Arial"/>
          <w:color w:val="000000"/>
          <w:kern w:val="0"/>
          <w:sz w:val="22"/>
        </w:rPr>
        <w:t>年</w:t>
      </w:r>
      <w:r w:rsidRPr="00681902">
        <w:rPr>
          <w:rFonts w:ascii="Arial" w:eastAsia="宋体" w:hAnsi="Arial" w:cs="Arial"/>
          <w:color w:val="000000"/>
          <w:kern w:val="0"/>
          <w:sz w:val="22"/>
        </w:rPr>
        <w:t>1</w:t>
      </w:r>
      <w:r w:rsidRPr="00681902">
        <w:rPr>
          <w:rFonts w:ascii="Arial" w:eastAsia="宋体" w:hAnsi="Arial" w:cs="Arial"/>
          <w:color w:val="000000"/>
          <w:kern w:val="0"/>
          <w:sz w:val="22"/>
        </w:rPr>
        <w:t>月</w:t>
      </w:r>
      <w:r w:rsidRPr="00681902">
        <w:rPr>
          <w:rFonts w:ascii="Arial" w:eastAsia="宋体" w:hAnsi="Arial" w:cs="Arial"/>
          <w:color w:val="000000"/>
          <w:kern w:val="0"/>
          <w:sz w:val="22"/>
        </w:rPr>
        <w:t>1</w:t>
      </w:r>
      <w:r w:rsidRPr="00681902">
        <w:rPr>
          <w:rFonts w:ascii="Arial" w:eastAsia="宋体" w:hAnsi="Arial" w:cs="Arial"/>
          <w:color w:val="000000"/>
          <w:kern w:val="0"/>
          <w:sz w:val="22"/>
        </w:rPr>
        <w:t>日至</w:t>
      </w:r>
      <w:r w:rsidRPr="00681902">
        <w:rPr>
          <w:rFonts w:ascii="Arial" w:eastAsia="宋体" w:hAnsi="Arial" w:cs="Arial"/>
          <w:color w:val="000000"/>
          <w:kern w:val="0"/>
          <w:sz w:val="22"/>
        </w:rPr>
        <w:t>2019</w:t>
      </w:r>
      <w:r w:rsidRPr="00681902">
        <w:rPr>
          <w:rFonts w:ascii="Arial" w:eastAsia="宋体" w:hAnsi="Arial" w:cs="Arial"/>
          <w:color w:val="000000"/>
          <w:kern w:val="0"/>
          <w:sz w:val="22"/>
        </w:rPr>
        <w:t>年</w:t>
      </w:r>
      <w:r w:rsidRPr="00681902">
        <w:rPr>
          <w:rFonts w:ascii="Arial" w:eastAsia="宋体" w:hAnsi="Arial" w:cs="Arial"/>
          <w:color w:val="000000"/>
          <w:kern w:val="0"/>
          <w:sz w:val="22"/>
        </w:rPr>
        <w:t>3</w:t>
      </w:r>
      <w:r w:rsidRPr="00681902">
        <w:rPr>
          <w:rFonts w:ascii="Arial" w:eastAsia="宋体" w:hAnsi="Arial" w:cs="Arial"/>
          <w:color w:val="000000"/>
          <w:kern w:val="0"/>
          <w:sz w:val="22"/>
        </w:rPr>
        <w:t>月</w:t>
      </w:r>
      <w:r w:rsidRPr="00681902">
        <w:rPr>
          <w:rFonts w:ascii="Arial" w:eastAsia="宋体" w:hAnsi="Arial" w:cs="Arial"/>
          <w:color w:val="000000"/>
          <w:kern w:val="0"/>
          <w:sz w:val="22"/>
        </w:rPr>
        <w:t>31</w:t>
      </w:r>
      <w:r w:rsidRPr="00681902">
        <w:rPr>
          <w:rFonts w:ascii="Arial" w:eastAsia="宋体" w:hAnsi="Arial" w:cs="Arial"/>
          <w:color w:val="000000"/>
          <w:kern w:val="0"/>
          <w:sz w:val="22"/>
        </w:rPr>
        <w:t>日</w:t>
      </w:r>
    </w:p>
    <w:tbl>
      <w:tblPr>
        <w:tblW w:w="6580" w:type="dxa"/>
        <w:jc w:val="center"/>
        <w:tblInd w:w="95" w:type="dxa"/>
        <w:tblLook w:val="04A0"/>
      </w:tblPr>
      <w:tblGrid>
        <w:gridCol w:w="4120"/>
        <w:gridCol w:w="2460"/>
      </w:tblGrid>
      <w:tr w:rsidR="000115F3" w:rsidRPr="00681902" w:rsidTr="000115F3">
        <w:trPr>
          <w:trHeight w:val="270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F3" w:rsidRPr="00681902" w:rsidRDefault="000115F3" w:rsidP="000115F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F3" w:rsidRPr="00681902" w:rsidRDefault="000115F3" w:rsidP="000115F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81902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本期金额</w:t>
            </w:r>
            <w:r w:rsidRPr="00681902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0115F3" w:rsidRPr="00681902" w:rsidTr="000115F3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一、收入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5,803,172.73 </w:t>
            </w:r>
          </w:p>
        </w:tc>
      </w:tr>
      <w:tr w:rsidR="000115F3" w:rsidRPr="00681902" w:rsidTr="000115F3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1.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5,803,172.73 </w:t>
            </w:r>
          </w:p>
        </w:tc>
      </w:tr>
      <w:tr w:rsidR="000115F3" w:rsidRPr="00681902" w:rsidTr="000115F3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81902">
              <w:rPr>
                <w:rFonts w:ascii="Arial" w:eastAsia="宋体" w:hAnsi="Arial" w:cs="Arial"/>
                <w:kern w:val="0"/>
                <w:sz w:val="18"/>
                <w:szCs w:val="18"/>
              </w:rPr>
              <w:t>其中：存款利息收入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37,727.73 </w:t>
            </w:r>
          </w:p>
        </w:tc>
      </w:tr>
      <w:tr w:rsidR="000115F3" w:rsidRPr="00681902" w:rsidTr="000115F3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81902">
              <w:rPr>
                <w:rFonts w:ascii="Arial" w:eastAsia="宋体" w:hAnsi="Arial" w:cs="Arial"/>
                <w:kern w:val="0"/>
                <w:sz w:val="18"/>
                <w:szCs w:val="18"/>
              </w:rPr>
              <w:t>存出保证金利息收入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81902">
              <w:rPr>
                <w:rFonts w:ascii="Arial" w:eastAsia="宋体" w:hAnsi="Arial" w:cs="Arial"/>
                <w:kern w:val="0"/>
                <w:sz w:val="18"/>
                <w:szCs w:val="18"/>
              </w:rPr>
              <w:t>债券利息收入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81902">
              <w:rPr>
                <w:rFonts w:ascii="Arial" w:eastAsia="宋体" w:hAnsi="Arial" w:cs="Arial"/>
                <w:kern w:val="0"/>
                <w:sz w:val="18"/>
                <w:szCs w:val="18"/>
              </w:rPr>
              <w:t>拆出资金利息收入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5,765,445.00 </w:t>
            </w:r>
          </w:p>
        </w:tc>
      </w:tr>
      <w:tr w:rsidR="000115F3" w:rsidRPr="00681902" w:rsidTr="000115F3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81902">
              <w:rPr>
                <w:rFonts w:ascii="Arial" w:eastAsia="宋体" w:hAnsi="Arial" w:cs="Arial"/>
                <w:kern w:val="0"/>
                <w:sz w:val="18"/>
                <w:szCs w:val="18"/>
              </w:rPr>
              <w:t>买入返售金融资产收入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81902">
              <w:rPr>
                <w:rFonts w:ascii="Arial" w:eastAsia="宋体" w:hAnsi="Arial" w:cs="Arial"/>
                <w:kern w:val="0"/>
                <w:sz w:val="18"/>
                <w:szCs w:val="18"/>
              </w:rPr>
              <w:t>其他利息收入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2.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投资收益（损失以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“-”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填列）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81902">
              <w:rPr>
                <w:rFonts w:ascii="Arial" w:eastAsia="宋体" w:hAnsi="Arial" w:cs="Arial"/>
                <w:kern w:val="0"/>
                <w:sz w:val="18"/>
                <w:szCs w:val="18"/>
              </w:rPr>
              <w:t>其中：贵金属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81902">
              <w:rPr>
                <w:rFonts w:ascii="Arial" w:eastAsia="宋体" w:hAnsi="Arial" w:cs="Arial"/>
                <w:kern w:val="0"/>
                <w:sz w:val="18"/>
                <w:szCs w:val="18"/>
              </w:rPr>
              <w:t>交易性金融资产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81902">
              <w:rPr>
                <w:rFonts w:ascii="Arial" w:eastAsia="宋体" w:hAnsi="Arial" w:cs="Arial"/>
                <w:kern w:val="0"/>
                <w:sz w:val="18"/>
                <w:szCs w:val="18"/>
              </w:rPr>
              <w:t>衍生工具收益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81902">
              <w:rPr>
                <w:rFonts w:ascii="Arial" w:eastAsia="宋体" w:hAnsi="Arial" w:cs="Arial"/>
                <w:kern w:val="0"/>
                <w:sz w:val="18"/>
                <w:szCs w:val="18"/>
              </w:rPr>
              <w:t>可供出售金融资产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81902">
              <w:rPr>
                <w:rFonts w:ascii="Arial" w:eastAsia="宋体" w:hAnsi="Arial" w:cs="Arial"/>
                <w:kern w:val="0"/>
                <w:sz w:val="18"/>
                <w:szCs w:val="18"/>
              </w:rPr>
              <w:t>交易性金融负债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81902">
              <w:rPr>
                <w:rFonts w:ascii="Arial" w:eastAsia="宋体" w:hAnsi="Arial" w:cs="Arial"/>
                <w:kern w:val="0"/>
                <w:sz w:val="18"/>
                <w:szCs w:val="18"/>
              </w:rPr>
              <w:t>应收款项类投资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81902">
              <w:rPr>
                <w:rFonts w:ascii="Arial" w:eastAsia="宋体" w:hAnsi="Arial" w:cs="Arial"/>
                <w:kern w:val="0"/>
                <w:sz w:val="18"/>
                <w:szCs w:val="18"/>
              </w:rPr>
              <w:t>持有到期投资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81902">
              <w:rPr>
                <w:rFonts w:ascii="Arial" w:eastAsia="宋体" w:hAnsi="Arial" w:cs="Arial"/>
                <w:kern w:val="0"/>
                <w:sz w:val="18"/>
                <w:szCs w:val="18"/>
              </w:rPr>
              <w:t>其他投资收益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3.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公允价值变动收益（损失以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“-”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号填列）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4.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汇兑损益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5.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其他收入（损失以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“-”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号填列）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二、费用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490,213.80 </w:t>
            </w:r>
          </w:p>
        </w:tc>
      </w:tr>
      <w:tr w:rsidR="000115F3" w:rsidRPr="00681902" w:rsidTr="000115F3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1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．管理人报酬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319,704.30 </w:t>
            </w:r>
          </w:p>
        </w:tc>
      </w:tr>
      <w:tr w:rsidR="000115F3" w:rsidRPr="00681902" w:rsidTr="000115F3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2</w:t>
            </w:r>
            <w:r w:rsidRPr="00681902">
              <w:rPr>
                <w:rFonts w:ascii="Arial" w:eastAsia="宋体" w:hAnsi="Arial" w:cs="Arial"/>
                <w:kern w:val="0"/>
                <w:sz w:val="18"/>
                <w:szCs w:val="18"/>
              </w:rPr>
              <w:t>．托管费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10,656.90 </w:t>
            </w:r>
          </w:p>
        </w:tc>
      </w:tr>
      <w:tr w:rsidR="000115F3" w:rsidRPr="00681902" w:rsidTr="000115F3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3</w:t>
            </w:r>
            <w:r w:rsidRPr="00681902">
              <w:rPr>
                <w:rFonts w:ascii="Arial" w:eastAsia="宋体" w:hAnsi="Arial" w:cs="Arial"/>
                <w:kern w:val="0"/>
                <w:sz w:val="18"/>
                <w:szCs w:val="18"/>
              </w:rPr>
              <w:t>．销售服务费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159,852.60 </w:t>
            </w:r>
          </w:p>
        </w:tc>
      </w:tr>
      <w:tr w:rsidR="000115F3" w:rsidRPr="00681902" w:rsidTr="000115F3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lastRenderedPageBreak/>
              <w:t>4</w:t>
            </w:r>
            <w:r w:rsidRPr="0068190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．利息支出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81902">
              <w:rPr>
                <w:rFonts w:ascii="Arial" w:eastAsia="宋体" w:hAnsi="Arial" w:cs="Arial"/>
                <w:kern w:val="0"/>
                <w:sz w:val="18"/>
                <w:szCs w:val="18"/>
              </w:rPr>
              <w:t>其中：卖出回购金融资产支出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81902">
              <w:rPr>
                <w:rFonts w:ascii="Arial" w:eastAsia="宋体" w:hAnsi="Arial" w:cs="Arial"/>
                <w:kern w:val="0"/>
                <w:sz w:val="18"/>
                <w:szCs w:val="18"/>
              </w:rPr>
              <w:t>拆入资金利息支出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681902">
              <w:rPr>
                <w:rFonts w:ascii="Arial" w:eastAsia="宋体" w:hAnsi="Arial" w:cs="Arial"/>
                <w:kern w:val="0"/>
                <w:sz w:val="18"/>
                <w:szCs w:val="18"/>
              </w:rPr>
              <w:t>其他利息支出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5</w:t>
            </w:r>
            <w:r w:rsidRPr="00681902">
              <w:rPr>
                <w:rFonts w:ascii="Arial" w:eastAsia="宋体" w:hAnsi="Arial" w:cs="Arial"/>
                <w:kern w:val="0"/>
                <w:sz w:val="18"/>
                <w:szCs w:val="18"/>
              </w:rPr>
              <w:t>．其他费用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6.</w:t>
            </w:r>
            <w:r w:rsidRPr="00681902">
              <w:rPr>
                <w:rFonts w:ascii="Arial" w:eastAsia="宋体" w:hAnsi="Arial" w:cs="Arial"/>
                <w:kern w:val="0"/>
                <w:sz w:val="18"/>
                <w:szCs w:val="18"/>
              </w:rPr>
              <w:t>资产损失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68190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三、利润总额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5,312,958.93 </w:t>
            </w:r>
          </w:p>
        </w:tc>
      </w:tr>
    </w:tbl>
    <w:p w:rsidR="00E547E3" w:rsidRPr="00681902" w:rsidRDefault="00E547E3" w:rsidP="00B36784">
      <w:pPr>
        <w:ind w:firstLineChars="200" w:firstLine="600"/>
        <w:rPr>
          <w:rFonts w:ascii="Arial" w:hAnsi="Arial" w:cs="Arial"/>
          <w:sz w:val="30"/>
          <w:szCs w:val="30"/>
        </w:rPr>
      </w:pPr>
    </w:p>
    <w:p w:rsidR="000115F3" w:rsidRPr="00681902" w:rsidRDefault="000115F3" w:rsidP="000115F3">
      <w:pPr>
        <w:pStyle w:val="a9"/>
        <w:numPr>
          <w:ilvl w:val="0"/>
          <w:numId w:val="3"/>
        </w:numPr>
        <w:ind w:firstLineChars="0"/>
        <w:outlineLvl w:val="1"/>
        <w:rPr>
          <w:rFonts w:ascii="Arial" w:eastAsia="宋体" w:hAnsi="Arial" w:cs="Arial"/>
          <w:b/>
          <w:sz w:val="30"/>
          <w:szCs w:val="30"/>
        </w:rPr>
      </w:pPr>
      <w:bookmarkStart w:id="12" w:name="_Toc535326257"/>
      <w:bookmarkStart w:id="13" w:name="_Toc5874824"/>
      <w:bookmarkStart w:id="14" w:name="_Toc6323860"/>
      <w:r w:rsidRPr="00681902">
        <w:rPr>
          <w:rFonts w:ascii="Arial" w:eastAsia="宋体" w:hAnsi="Arial" w:cs="Arial"/>
          <w:b/>
          <w:sz w:val="30"/>
          <w:szCs w:val="30"/>
        </w:rPr>
        <w:t>所有者权益（产品净值）变动表</w:t>
      </w:r>
      <w:bookmarkEnd w:id="12"/>
      <w:bookmarkEnd w:id="13"/>
      <w:bookmarkEnd w:id="14"/>
    </w:p>
    <w:p w:rsidR="000115F3" w:rsidRPr="00681902" w:rsidRDefault="000115F3" w:rsidP="000115F3">
      <w:pPr>
        <w:pStyle w:val="a9"/>
        <w:ind w:left="1080" w:firstLineChars="0" w:firstLine="0"/>
        <w:rPr>
          <w:rFonts w:ascii="Arial" w:eastAsia="宋体" w:hAnsi="Arial" w:cs="Arial"/>
          <w:color w:val="000000"/>
          <w:kern w:val="0"/>
          <w:sz w:val="22"/>
        </w:rPr>
      </w:pPr>
      <w:r w:rsidRPr="00681902">
        <w:rPr>
          <w:rFonts w:ascii="Arial" w:eastAsia="宋体" w:hAnsi="Arial" w:cs="Arial"/>
          <w:sz w:val="22"/>
        </w:rPr>
        <w:t>会计主体：兴业银行</w:t>
      </w:r>
      <w:r w:rsidRPr="00681902">
        <w:rPr>
          <w:rFonts w:ascii="Arial" w:eastAsia="宋体" w:hAnsi="Arial" w:cs="Arial"/>
          <w:sz w:val="22"/>
        </w:rPr>
        <w:t>“</w:t>
      </w:r>
      <w:r w:rsidRPr="00681902">
        <w:rPr>
          <w:rFonts w:ascii="Arial" w:eastAsia="宋体" w:hAnsi="Arial" w:cs="Arial"/>
          <w:sz w:val="22"/>
        </w:rPr>
        <w:t>万利宝</w:t>
      </w:r>
      <w:r w:rsidRPr="00681902">
        <w:rPr>
          <w:rFonts w:ascii="Arial" w:eastAsia="宋体" w:hAnsi="Arial" w:cs="Arial"/>
          <w:sz w:val="22"/>
        </w:rPr>
        <w:t>-</w:t>
      </w:r>
      <w:r w:rsidRPr="00681902">
        <w:rPr>
          <w:rFonts w:ascii="Arial" w:eastAsia="宋体" w:hAnsi="Arial" w:cs="Arial"/>
          <w:sz w:val="22"/>
        </w:rPr>
        <w:t>聚利</w:t>
      </w:r>
      <w:r w:rsidRPr="00681902">
        <w:rPr>
          <w:rFonts w:ascii="Arial" w:eastAsia="宋体" w:hAnsi="Arial" w:cs="Arial"/>
          <w:sz w:val="22"/>
        </w:rPr>
        <w:t>”2018</w:t>
      </w:r>
      <w:r w:rsidRPr="00681902">
        <w:rPr>
          <w:rFonts w:ascii="Arial" w:eastAsia="宋体" w:hAnsi="Arial" w:cs="Arial"/>
          <w:sz w:val="22"/>
        </w:rPr>
        <w:t>年第</w:t>
      </w:r>
      <w:r w:rsidRPr="00681902">
        <w:rPr>
          <w:rFonts w:ascii="Arial" w:eastAsia="宋体" w:hAnsi="Arial" w:cs="Arial"/>
          <w:sz w:val="22"/>
        </w:rPr>
        <w:t>3</w:t>
      </w:r>
      <w:r w:rsidRPr="00681902">
        <w:rPr>
          <w:rFonts w:ascii="Arial" w:eastAsia="宋体" w:hAnsi="Arial" w:cs="Arial"/>
          <w:sz w:val="22"/>
        </w:rPr>
        <w:t>期封闭式净值型理财产品</w:t>
      </w:r>
      <w:r w:rsidRPr="00681902">
        <w:rPr>
          <w:rFonts w:ascii="Arial" w:eastAsia="宋体" w:hAnsi="Arial" w:cs="Arial"/>
          <w:sz w:val="22"/>
        </w:rPr>
        <w:t>(</w:t>
      </w:r>
      <w:r w:rsidRPr="00681902">
        <w:rPr>
          <w:rFonts w:ascii="Arial" w:eastAsia="宋体" w:hAnsi="Arial" w:cs="Arial"/>
          <w:sz w:val="22"/>
        </w:rPr>
        <w:t>北京专属</w:t>
      </w:r>
      <w:r w:rsidRPr="00681902">
        <w:rPr>
          <w:rFonts w:ascii="Arial" w:eastAsia="宋体" w:hAnsi="Arial" w:cs="Arial"/>
          <w:sz w:val="22"/>
        </w:rPr>
        <w:t>)</w:t>
      </w:r>
    </w:p>
    <w:p w:rsidR="000115F3" w:rsidRPr="00681902" w:rsidRDefault="000115F3" w:rsidP="000115F3">
      <w:pPr>
        <w:pStyle w:val="a9"/>
        <w:ind w:left="1080" w:firstLineChars="0" w:firstLine="0"/>
        <w:rPr>
          <w:rFonts w:ascii="Arial" w:eastAsia="宋体" w:hAnsi="Arial" w:cs="Arial"/>
          <w:color w:val="000000"/>
          <w:kern w:val="0"/>
          <w:sz w:val="22"/>
        </w:rPr>
      </w:pPr>
      <w:r w:rsidRPr="00681902">
        <w:rPr>
          <w:rFonts w:ascii="Arial" w:eastAsia="宋体" w:hAnsi="Arial" w:cs="Arial"/>
          <w:color w:val="000000"/>
          <w:kern w:val="0"/>
          <w:sz w:val="22"/>
        </w:rPr>
        <w:t>本报告期：</w:t>
      </w:r>
      <w:r w:rsidRPr="00681902">
        <w:rPr>
          <w:rFonts w:ascii="Arial" w:eastAsia="宋体" w:hAnsi="Arial" w:cs="Arial"/>
          <w:color w:val="000000"/>
          <w:kern w:val="0"/>
          <w:sz w:val="22"/>
        </w:rPr>
        <w:t>2019</w:t>
      </w:r>
      <w:r w:rsidRPr="00681902">
        <w:rPr>
          <w:rFonts w:ascii="Arial" w:eastAsia="宋体" w:hAnsi="Arial" w:cs="Arial"/>
          <w:color w:val="000000"/>
          <w:kern w:val="0"/>
          <w:sz w:val="22"/>
        </w:rPr>
        <w:t>年</w:t>
      </w:r>
      <w:r w:rsidRPr="00681902">
        <w:rPr>
          <w:rFonts w:ascii="Arial" w:eastAsia="宋体" w:hAnsi="Arial" w:cs="Arial"/>
          <w:color w:val="000000"/>
          <w:kern w:val="0"/>
          <w:sz w:val="22"/>
        </w:rPr>
        <w:t>1</w:t>
      </w:r>
      <w:r w:rsidRPr="00681902">
        <w:rPr>
          <w:rFonts w:ascii="Arial" w:eastAsia="宋体" w:hAnsi="Arial" w:cs="Arial"/>
          <w:color w:val="000000"/>
          <w:kern w:val="0"/>
          <w:sz w:val="22"/>
        </w:rPr>
        <w:t>月</w:t>
      </w:r>
      <w:r w:rsidRPr="00681902">
        <w:rPr>
          <w:rFonts w:ascii="Arial" w:eastAsia="宋体" w:hAnsi="Arial" w:cs="Arial"/>
          <w:color w:val="000000"/>
          <w:kern w:val="0"/>
          <w:sz w:val="22"/>
        </w:rPr>
        <w:t>1</w:t>
      </w:r>
      <w:r w:rsidRPr="00681902">
        <w:rPr>
          <w:rFonts w:ascii="Arial" w:eastAsia="宋体" w:hAnsi="Arial" w:cs="Arial"/>
          <w:color w:val="000000"/>
          <w:kern w:val="0"/>
          <w:sz w:val="22"/>
        </w:rPr>
        <w:t>日至</w:t>
      </w:r>
      <w:r w:rsidRPr="00681902">
        <w:rPr>
          <w:rFonts w:ascii="Arial" w:eastAsia="宋体" w:hAnsi="Arial" w:cs="Arial"/>
          <w:color w:val="000000"/>
          <w:kern w:val="0"/>
          <w:sz w:val="22"/>
        </w:rPr>
        <w:t>2019</w:t>
      </w:r>
      <w:r w:rsidRPr="00681902">
        <w:rPr>
          <w:rFonts w:ascii="Arial" w:eastAsia="宋体" w:hAnsi="Arial" w:cs="Arial"/>
          <w:color w:val="000000"/>
          <w:kern w:val="0"/>
          <w:sz w:val="22"/>
        </w:rPr>
        <w:t>年</w:t>
      </w:r>
      <w:r w:rsidRPr="00681902">
        <w:rPr>
          <w:rFonts w:ascii="Arial" w:eastAsia="宋体" w:hAnsi="Arial" w:cs="Arial"/>
          <w:color w:val="000000"/>
          <w:kern w:val="0"/>
          <w:sz w:val="22"/>
        </w:rPr>
        <w:t>3</w:t>
      </w:r>
      <w:r w:rsidRPr="00681902">
        <w:rPr>
          <w:rFonts w:ascii="Arial" w:eastAsia="宋体" w:hAnsi="Arial" w:cs="Arial"/>
          <w:color w:val="000000"/>
          <w:kern w:val="0"/>
          <w:sz w:val="22"/>
        </w:rPr>
        <w:t>月</w:t>
      </w:r>
      <w:r w:rsidRPr="00681902">
        <w:rPr>
          <w:rFonts w:ascii="Arial" w:eastAsia="宋体" w:hAnsi="Arial" w:cs="Arial"/>
          <w:color w:val="000000"/>
          <w:kern w:val="0"/>
          <w:sz w:val="22"/>
        </w:rPr>
        <w:t>31</w:t>
      </w:r>
      <w:r w:rsidRPr="00681902">
        <w:rPr>
          <w:rFonts w:ascii="Arial" w:eastAsia="宋体" w:hAnsi="Arial" w:cs="Arial"/>
          <w:color w:val="000000"/>
          <w:kern w:val="0"/>
          <w:sz w:val="22"/>
        </w:rPr>
        <w:t>日</w:t>
      </w:r>
    </w:p>
    <w:tbl>
      <w:tblPr>
        <w:tblW w:w="9160" w:type="dxa"/>
        <w:jc w:val="center"/>
        <w:tblInd w:w="95" w:type="dxa"/>
        <w:tblLook w:val="04A0"/>
      </w:tblPr>
      <w:tblGrid>
        <w:gridCol w:w="3280"/>
        <w:gridCol w:w="2040"/>
        <w:gridCol w:w="1800"/>
        <w:gridCol w:w="2040"/>
      </w:tblGrid>
      <w:tr w:rsidR="000115F3" w:rsidRPr="00681902" w:rsidTr="000115F3">
        <w:trPr>
          <w:trHeight w:val="24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编制单位：兴业银行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5F3" w:rsidRPr="00681902" w:rsidRDefault="000115F3" w:rsidP="000115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5F3" w:rsidRPr="00681902" w:rsidRDefault="000115F3" w:rsidP="000115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5F3" w:rsidRPr="00681902" w:rsidRDefault="000115F3" w:rsidP="000115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单位：元</w:t>
            </w:r>
          </w:p>
        </w:tc>
      </w:tr>
      <w:tr w:rsidR="000115F3" w:rsidRPr="00681902" w:rsidTr="000115F3">
        <w:trPr>
          <w:trHeight w:val="24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本期金额</w:t>
            </w:r>
          </w:p>
        </w:tc>
      </w:tr>
      <w:tr w:rsidR="000115F3" w:rsidRPr="00681902" w:rsidTr="000115F3">
        <w:trPr>
          <w:trHeight w:val="2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实收资本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未分配利润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所有者权益合计</w:t>
            </w:r>
          </w:p>
        </w:tc>
      </w:tr>
      <w:tr w:rsidR="000115F3" w:rsidRPr="00681902" w:rsidTr="000115F3">
        <w:trPr>
          <w:trHeight w:val="2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一、期初所有者权益（产品净值）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432,193,000.00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6,821,071.54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439,014,071.54 </w:t>
            </w:r>
          </w:p>
        </w:tc>
      </w:tr>
      <w:tr w:rsidR="000115F3" w:rsidRPr="00681902" w:rsidTr="000115F3">
        <w:trPr>
          <w:trHeight w:val="48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二、本期经营活动产生的产品净值变动数（本期净利润）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5,312,958.93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5,312,958.93 </w:t>
            </w:r>
          </w:p>
        </w:tc>
      </w:tr>
      <w:tr w:rsidR="000115F3" w:rsidRPr="00681902" w:rsidTr="000115F3">
        <w:trPr>
          <w:trHeight w:val="48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三、本期产品份额交易产生的产品净值变动数（减少以</w:t>
            </w: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“-”</w:t>
            </w: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48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其中：</w:t>
            </w: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    1.</w:t>
            </w: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产品申购款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72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ind w:firstLineChars="300" w:firstLine="600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  2.</w:t>
            </w: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proofErr w:type="gramStart"/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赎回款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48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四、本期向产品份额持有人分配利润产生的产品净值变动数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五、期末所有者权益（产品净值）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432,193,000.00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12,134,030.47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444,327,030.47 </w:t>
            </w:r>
          </w:p>
        </w:tc>
      </w:tr>
      <w:tr w:rsidR="000115F3" w:rsidRPr="00681902" w:rsidTr="000115F3">
        <w:trPr>
          <w:trHeight w:val="2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上期金额</w:t>
            </w:r>
          </w:p>
        </w:tc>
      </w:tr>
      <w:tr w:rsidR="000115F3" w:rsidRPr="00681902" w:rsidTr="000115F3">
        <w:trPr>
          <w:trHeight w:val="2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实收资本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未分配利润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所有者权益合计</w:t>
            </w:r>
          </w:p>
        </w:tc>
      </w:tr>
      <w:tr w:rsidR="000115F3" w:rsidRPr="00681902" w:rsidTr="000115F3">
        <w:trPr>
          <w:trHeight w:val="2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一、期初所有者权益（产品净值）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432,193,000.00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1,408,008.05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433,601,008.05 </w:t>
            </w:r>
          </w:p>
        </w:tc>
      </w:tr>
      <w:tr w:rsidR="000115F3" w:rsidRPr="00681902" w:rsidTr="000115F3">
        <w:trPr>
          <w:trHeight w:val="48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二、本期经营活动产生的产品净值变动数（本期净利润）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5,413,063.49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5,413,063.49 </w:t>
            </w:r>
          </w:p>
        </w:tc>
      </w:tr>
      <w:tr w:rsidR="000115F3" w:rsidRPr="00681902" w:rsidTr="000115F3">
        <w:trPr>
          <w:trHeight w:val="48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三、本期产品份额交易产生的产品净值变动数（减少以</w:t>
            </w: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“-”</w:t>
            </w: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48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其中：</w:t>
            </w: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    1.</w:t>
            </w: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产品申购款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72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ind w:firstLineChars="300" w:firstLine="600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  2.</w:t>
            </w: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proofErr w:type="gramStart"/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赎回款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48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四、本期向产品份额持有人分配利润产生的产品净值变动数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0115F3" w:rsidRPr="00681902" w:rsidTr="000115F3">
        <w:trPr>
          <w:trHeight w:val="2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五、期末所有者权益（产品净值）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432,193,000.00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6,821,071.54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F3" w:rsidRPr="00681902" w:rsidRDefault="000115F3" w:rsidP="000115F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439,014,071.54 </w:t>
            </w:r>
          </w:p>
        </w:tc>
      </w:tr>
    </w:tbl>
    <w:p w:rsidR="000115F3" w:rsidRPr="00681902" w:rsidRDefault="000115F3" w:rsidP="00B36784">
      <w:pPr>
        <w:ind w:firstLineChars="200" w:firstLine="600"/>
        <w:rPr>
          <w:rFonts w:ascii="Arial" w:hAnsi="Arial" w:cs="Arial"/>
          <w:sz w:val="30"/>
          <w:szCs w:val="30"/>
        </w:rPr>
      </w:pPr>
    </w:p>
    <w:p w:rsidR="000115F3" w:rsidRPr="00681902" w:rsidRDefault="000115F3" w:rsidP="000115F3">
      <w:pPr>
        <w:pStyle w:val="a9"/>
        <w:numPr>
          <w:ilvl w:val="0"/>
          <w:numId w:val="1"/>
        </w:numPr>
        <w:ind w:firstLineChars="0"/>
        <w:outlineLvl w:val="0"/>
        <w:rPr>
          <w:rFonts w:ascii="Arial" w:hAnsi="Arial" w:cs="Arial"/>
          <w:b/>
          <w:sz w:val="30"/>
          <w:szCs w:val="30"/>
        </w:rPr>
      </w:pPr>
      <w:bookmarkStart w:id="15" w:name="_Toc5874825"/>
      <w:bookmarkStart w:id="16" w:name="_Toc6323861"/>
      <w:r w:rsidRPr="00681902">
        <w:rPr>
          <w:rFonts w:ascii="Arial" w:hAnsi="Arial" w:cs="Arial"/>
          <w:b/>
          <w:sz w:val="30"/>
          <w:szCs w:val="30"/>
        </w:rPr>
        <w:t>投资组合情况</w:t>
      </w:r>
      <w:bookmarkEnd w:id="15"/>
      <w:bookmarkEnd w:id="16"/>
    </w:p>
    <w:p w:rsidR="000115F3" w:rsidRPr="00681902" w:rsidRDefault="000115F3" w:rsidP="000115F3">
      <w:pPr>
        <w:pStyle w:val="a9"/>
        <w:numPr>
          <w:ilvl w:val="0"/>
          <w:numId w:val="6"/>
        </w:numPr>
        <w:ind w:firstLineChars="0"/>
        <w:outlineLvl w:val="1"/>
        <w:rPr>
          <w:rFonts w:ascii="Arial" w:hAnsi="Arial" w:cs="Arial"/>
          <w:b/>
          <w:sz w:val="30"/>
          <w:szCs w:val="30"/>
        </w:rPr>
      </w:pPr>
      <w:bookmarkStart w:id="17" w:name="_Toc5874826"/>
      <w:bookmarkStart w:id="18" w:name="_Toc6323862"/>
      <w:r w:rsidRPr="00681902">
        <w:rPr>
          <w:rFonts w:ascii="Arial" w:hAnsi="Arial" w:cs="Arial"/>
          <w:b/>
          <w:sz w:val="30"/>
          <w:szCs w:val="30"/>
        </w:rPr>
        <w:t>报告期末产品资产组合情况</w:t>
      </w:r>
      <w:bookmarkEnd w:id="17"/>
      <w:bookmarkEnd w:id="18"/>
    </w:p>
    <w:tbl>
      <w:tblPr>
        <w:tblW w:w="4638" w:type="dxa"/>
        <w:jc w:val="center"/>
        <w:tblLook w:val="04A0"/>
      </w:tblPr>
      <w:tblGrid>
        <w:gridCol w:w="2796"/>
        <w:gridCol w:w="1842"/>
      </w:tblGrid>
      <w:tr w:rsidR="000115F3" w:rsidRPr="00681902" w:rsidTr="00AE318E">
        <w:trPr>
          <w:trHeight w:val="270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F3" w:rsidRPr="00681902" w:rsidRDefault="000115F3" w:rsidP="00AE318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681902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稳利</w:t>
            </w:r>
            <w:r w:rsidRPr="00681902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681902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  <w:proofErr w:type="gramEnd"/>
            <w:r w:rsidRPr="00681902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F</w:t>
            </w:r>
            <w:proofErr w:type="gramStart"/>
            <w:r w:rsidRPr="00681902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款资产</w:t>
            </w:r>
            <w:proofErr w:type="gramEnd"/>
            <w:r w:rsidRPr="00681902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F3" w:rsidRPr="00681902" w:rsidRDefault="000115F3" w:rsidP="00AE318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81902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占总资产比例</w:t>
            </w:r>
          </w:p>
        </w:tc>
      </w:tr>
      <w:tr w:rsidR="000115F3" w:rsidRPr="00681902" w:rsidTr="00AE318E">
        <w:trPr>
          <w:trHeight w:val="270"/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F3" w:rsidRPr="00681902" w:rsidRDefault="000115F3" w:rsidP="00AE318E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681902">
              <w:rPr>
                <w:rFonts w:ascii="Arial" w:hAnsi="Arial" w:cs="Arial"/>
                <w:color w:val="000000"/>
                <w:sz w:val="18"/>
                <w:szCs w:val="18"/>
              </w:rPr>
              <w:t>现金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F3" w:rsidRPr="00681902" w:rsidRDefault="000115F3" w:rsidP="00AE318E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681902">
              <w:rPr>
                <w:rFonts w:ascii="Arial" w:hAnsi="Arial" w:cs="Arial"/>
                <w:color w:val="000000"/>
                <w:sz w:val="18"/>
                <w:szCs w:val="18"/>
              </w:rPr>
              <w:t>3.93%</w:t>
            </w:r>
          </w:p>
        </w:tc>
      </w:tr>
      <w:tr w:rsidR="000115F3" w:rsidRPr="00681902" w:rsidTr="00AE318E">
        <w:trPr>
          <w:trHeight w:val="270"/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F3" w:rsidRPr="00681902" w:rsidRDefault="000115F3" w:rsidP="00AE318E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681902">
              <w:rPr>
                <w:rFonts w:ascii="Arial" w:hAnsi="Arial" w:cs="Arial"/>
                <w:color w:val="000000"/>
                <w:sz w:val="18"/>
                <w:szCs w:val="18"/>
              </w:rPr>
              <w:t>货币市场工具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F3" w:rsidRPr="00681902" w:rsidRDefault="000115F3" w:rsidP="00AE318E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681902">
              <w:rPr>
                <w:rFonts w:ascii="Arial" w:hAnsi="Arial" w:cs="Arial"/>
                <w:color w:val="000000"/>
                <w:sz w:val="18"/>
                <w:szCs w:val="18"/>
              </w:rPr>
              <w:t>96.07%</w:t>
            </w:r>
          </w:p>
        </w:tc>
      </w:tr>
      <w:tr w:rsidR="000115F3" w:rsidRPr="00681902" w:rsidTr="00AE318E">
        <w:trPr>
          <w:trHeight w:val="270"/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F3" w:rsidRPr="00681902" w:rsidRDefault="000115F3" w:rsidP="00AE318E">
            <w:pPr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</w:pPr>
            <w:r w:rsidRPr="00681902">
              <w:rPr>
                <w:rFonts w:ascii="Arial" w:hAnsi="Arial" w:cs="Arial"/>
                <w:b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F3" w:rsidRPr="00681902" w:rsidRDefault="000115F3" w:rsidP="00AE318E">
            <w:pPr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</w:pPr>
            <w:r w:rsidRPr="00681902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100.00%</w:t>
            </w:r>
          </w:p>
        </w:tc>
      </w:tr>
    </w:tbl>
    <w:p w:rsidR="000115F3" w:rsidRPr="00681902" w:rsidRDefault="000115F3" w:rsidP="000115F3">
      <w:pPr>
        <w:ind w:firstLineChars="200" w:firstLine="600"/>
        <w:rPr>
          <w:rFonts w:ascii="Arial" w:hAnsi="Arial" w:cs="Arial"/>
          <w:bCs/>
          <w:sz w:val="30"/>
          <w:szCs w:val="30"/>
        </w:rPr>
      </w:pPr>
      <w:r w:rsidRPr="00681902">
        <w:rPr>
          <w:rFonts w:ascii="Arial" w:hAnsi="Arial" w:cs="Arial"/>
          <w:bCs/>
          <w:sz w:val="30"/>
          <w:szCs w:val="30"/>
        </w:rPr>
        <w:t>上述资产组合中，各类资产投资比例在协议约定的范围内。</w:t>
      </w:r>
    </w:p>
    <w:p w:rsidR="000115F3" w:rsidRPr="00681902" w:rsidRDefault="000115F3" w:rsidP="000115F3">
      <w:pPr>
        <w:ind w:firstLineChars="200" w:firstLine="600"/>
        <w:rPr>
          <w:rFonts w:ascii="Arial" w:hAnsi="Arial" w:cs="Arial"/>
          <w:bCs/>
          <w:sz w:val="30"/>
          <w:szCs w:val="30"/>
        </w:rPr>
      </w:pPr>
    </w:p>
    <w:p w:rsidR="000115F3" w:rsidRPr="00681902" w:rsidRDefault="000115F3" w:rsidP="000115F3">
      <w:pPr>
        <w:pStyle w:val="a9"/>
        <w:numPr>
          <w:ilvl w:val="0"/>
          <w:numId w:val="6"/>
        </w:numPr>
        <w:ind w:firstLineChars="0"/>
        <w:outlineLvl w:val="1"/>
        <w:rPr>
          <w:rFonts w:ascii="Arial" w:hAnsi="Arial" w:cs="Arial"/>
          <w:b/>
          <w:sz w:val="30"/>
          <w:szCs w:val="30"/>
        </w:rPr>
      </w:pPr>
      <w:bookmarkStart w:id="19" w:name="_Toc5874827"/>
      <w:bookmarkStart w:id="20" w:name="_Toc6323863"/>
      <w:r w:rsidRPr="00681902">
        <w:rPr>
          <w:rFonts w:ascii="Arial" w:hAnsi="Arial" w:cs="Arial"/>
          <w:b/>
          <w:sz w:val="30"/>
          <w:szCs w:val="30"/>
        </w:rPr>
        <w:t>报告期末杠杆融资情况</w:t>
      </w:r>
      <w:bookmarkEnd w:id="19"/>
      <w:bookmarkEnd w:id="20"/>
    </w:p>
    <w:p w:rsidR="000115F3" w:rsidRPr="00681902" w:rsidRDefault="000115F3" w:rsidP="000115F3">
      <w:pPr>
        <w:ind w:left="360"/>
        <w:rPr>
          <w:rFonts w:ascii="Arial" w:hAnsi="Arial" w:cs="Arial"/>
          <w:sz w:val="30"/>
          <w:szCs w:val="30"/>
        </w:rPr>
      </w:pPr>
      <w:r w:rsidRPr="00681902">
        <w:rPr>
          <w:rFonts w:ascii="Arial" w:hAnsi="Arial" w:cs="Arial"/>
          <w:sz w:val="30"/>
          <w:szCs w:val="30"/>
        </w:rPr>
        <w:t>无。</w:t>
      </w:r>
    </w:p>
    <w:p w:rsidR="000115F3" w:rsidRPr="00681902" w:rsidRDefault="000115F3" w:rsidP="000115F3">
      <w:pPr>
        <w:pStyle w:val="a9"/>
        <w:numPr>
          <w:ilvl w:val="0"/>
          <w:numId w:val="6"/>
        </w:numPr>
        <w:ind w:firstLineChars="0"/>
        <w:outlineLvl w:val="1"/>
        <w:rPr>
          <w:rFonts w:ascii="Arial" w:hAnsi="Arial" w:cs="Arial"/>
          <w:b/>
          <w:sz w:val="30"/>
          <w:szCs w:val="30"/>
        </w:rPr>
      </w:pPr>
      <w:bookmarkStart w:id="21" w:name="_Toc535326261"/>
      <w:bookmarkStart w:id="22" w:name="_Toc5874828"/>
      <w:bookmarkStart w:id="23" w:name="_Toc6323864"/>
      <w:r w:rsidRPr="00681902">
        <w:rPr>
          <w:rFonts w:ascii="Arial" w:hAnsi="Arial" w:cs="Arial"/>
          <w:b/>
          <w:sz w:val="30"/>
          <w:szCs w:val="30"/>
        </w:rPr>
        <w:t>报告期末资产持仓前</w:t>
      </w:r>
      <w:proofErr w:type="gramStart"/>
      <w:r w:rsidRPr="00681902">
        <w:rPr>
          <w:rFonts w:ascii="Arial" w:hAnsi="Arial" w:cs="Arial"/>
          <w:b/>
          <w:sz w:val="30"/>
          <w:szCs w:val="30"/>
        </w:rPr>
        <w:t>十基本</w:t>
      </w:r>
      <w:proofErr w:type="gramEnd"/>
      <w:r w:rsidRPr="00681902">
        <w:rPr>
          <w:rFonts w:ascii="Arial" w:hAnsi="Arial" w:cs="Arial"/>
          <w:b/>
          <w:sz w:val="30"/>
          <w:szCs w:val="30"/>
        </w:rPr>
        <w:t>信息</w:t>
      </w:r>
      <w:bookmarkEnd w:id="21"/>
      <w:bookmarkEnd w:id="22"/>
      <w:bookmarkEnd w:id="23"/>
    </w:p>
    <w:tbl>
      <w:tblPr>
        <w:tblW w:w="8300" w:type="dxa"/>
        <w:tblInd w:w="95" w:type="dxa"/>
        <w:tblLook w:val="04A0"/>
      </w:tblPr>
      <w:tblGrid>
        <w:gridCol w:w="1560"/>
        <w:gridCol w:w="3334"/>
        <w:gridCol w:w="2326"/>
        <w:gridCol w:w="1080"/>
      </w:tblGrid>
      <w:tr w:rsidR="000115F3" w:rsidRPr="00681902" w:rsidTr="000115F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F3" w:rsidRPr="00681902" w:rsidRDefault="000115F3" w:rsidP="000115F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资产类型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F3" w:rsidRPr="00681902" w:rsidRDefault="000115F3" w:rsidP="000115F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资产名称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F3" w:rsidRPr="00681902" w:rsidRDefault="000115F3" w:rsidP="000115F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81902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资产面额</w:t>
            </w:r>
            <w:r w:rsidRPr="00681902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F3" w:rsidRPr="00681902" w:rsidRDefault="000115F3" w:rsidP="000115F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占比</w:t>
            </w:r>
          </w:p>
        </w:tc>
      </w:tr>
      <w:tr w:rsidR="000115F3" w:rsidRPr="00681902" w:rsidTr="000115F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2"/>
              </w:rPr>
              <w:t>货币市场工具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2"/>
              </w:rPr>
              <w:t>同业借款</w:t>
            </w:r>
            <w:r w:rsidRPr="00681902">
              <w:rPr>
                <w:rFonts w:ascii="Arial" w:eastAsia="宋体" w:hAnsi="Arial" w:cs="Arial"/>
                <w:color w:val="000000"/>
                <w:kern w:val="0"/>
                <w:sz w:val="22"/>
              </w:rPr>
              <w:t>20180508-</w:t>
            </w:r>
            <w:r w:rsidRPr="00681902">
              <w:rPr>
                <w:rFonts w:ascii="Arial" w:eastAsia="宋体" w:hAnsi="Arial" w:cs="Arial"/>
                <w:color w:val="000000"/>
                <w:kern w:val="0"/>
                <w:sz w:val="22"/>
              </w:rPr>
              <w:t>太平</w:t>
            </w:r>
            <w:proofErr w:type="gramStart"/>
            <w:r w:rsidRPr="00681902">
              <w:rPr>
                <w:rFonts w:ascii="Arial" w:eastAsia="宋体" w:hAnsi="Arial" w:cs="Arial"/>
                <w:color w:val="000000"/>
                <w:kern w:val="0"/>
                <w:sz w:val="22"/>
              </w:rPr>
              <w:t>石化金租</w:t>
            </w:r>
            <w:proofErr w:type="gram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F3" w:rsidRPr="00681902" w:rsidRDefault="000115F3" w:rsidP="000115F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      427,070,000.00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F3" w:rsidRPr="00681902" w:rsidRDefault="000115F3" w:rsidP="000115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81902">
              <w:rPr>
                <w:rFonts w:ascii="Arial" w:eastAsia="宋体" w:hAnsi="Arial" w:cs="Arial"/>
                <w:color w:val="000000"/>
                <w:kern w:val="0"/>
                <w:sz w:val="22"/>
              </w:rPr>
              <w:t>96.07%</w:t>
            </w:r>
          </w:p>
        </w:tc>
      </w:tr>
    </w:tbl>
    <w:p w:rsidR="000115F3" w:rsidRPr="00681902" w:rsidRDefault="000115F3" w:rsidP="000115F3">
      <w:pPr>
        <w:rPr>
          <w:rFonts w:ascii="Arial" w:hAnsi="Arial" w:cs="Arial"/>
          <w:sz w:val="30"/>
          <w:szCs w:val="30"/>
        </w:rPr>
      </w:pPr>
    </w:p>
    <w:p w:rsidR="000115F3" w:rsidRPr="00681902" w:rsidRDefault="000115F3" w:rsidP="000115F3">
      <w:pPr>
        <w:pStyle w:val="a9"/>
        <w:ind w:left="435" w:right="150" w:firstLineChars="0" w:firstLine="0"/>
        <w:jc w:val="right"/>
        <w:rPr>
          <w:rFonts w:ascii="Arial" w:hAnsi="Arial" w:cs="Arial"/>
          <w:sz w:val="30"/>
          <w:szCs w:val="30"/>
        </w:rPr>
      </w:pPr>
      <w:r w:rsidRPr="00681902">
        <w:rPr>
          <w:rFonts w:ascii="Arial" w:hAnsi="Arial" w:cs="Arial"/>
          <w:sz w:val="30"/>
          <w:szCs w:val="30"/>
        </w:rPr>
        <w:t>兴业银行股份有限公司</w:t>
      </w:r>
    </w:p>
    <w:p w:rsidR="000115F3" w:rsidRPr="00681902" w:rsidRDefault="000115F3" w:rsidP="000115F3">
      <w:pPr>
        <w:pStyle w:val="a9"/>
        <w:ind w:left="435" w:right="150" w:firstLineChars="0" w:firstLine="0"/>
        <w:jc w:val="right"/>
        <w:rPr>
          <w:rFonts w:ascii="Arial" w:hAnsi="Arial" w:cs="Arial"/>
          <w:sz w:val="30"/>
          <w:szCs w:val="30"/>
        </w:rPr>
      </w:pPr>
      <w:r w:rsidRPr="00681902">
        <w:rPr>
          <w:rFonts w:ascii="Arial" w:hAnsi="Arial" w:cs="Arial"/>
          <w:sz w:val="30"/>
          <w:szCs w:val="30"/>
        </w:rPr>
        <w:t>2019</w:t>
      </w:r>
      <w:r w:rsidRPr="00681902">
        <w:rPr>
          <w:rFonts w:ascii="Arial" w:hAnsi="Arial" w:cs="Arial"/>
          <w:sz w:val="30"/>
          <w:szCs w:val="30"/>
        </w:rPr>
        <w:t>年</w:t>
      </w:r>
      <w:r w:rsidRPr="00681902">
        <w:rPr>
          <w:rFonts w:ascii="Arial" w:hAnsi="Arial" w:cs="Arial"/>
          <w:sz w:val="30"/>
          <w:szCs w:val="30"/>
        </w:rPr>
        <w:t>4</w:t>
      </w:r>
      <w:r w:rsidRPr="00681902">
        <w:rPr>
          <w:rFonts w:ascii="Arial" w:hAnsi="Arial" w:cs="Arial"/>
          <w:sz w:val="30"/>
          <w:szCs w:val="30"/>
        </w:rPr>
        <w:t>月</w:t>
      </w:r>
      <w:r w:rsidRPr="00681902">
        <w:rPr>
          <w:rFonts w:ascii="Arial" w:hAnsi="Arial" w:cs="Arial"/>
          <w:sz w:val="30"/>
          <w:szCs w:val="30"/>
        </w:rPr>
        <w:t>10</w:t>
      </w:r>
      <w:r w:rsidRPr="00681902">
        <w:rPr>
          <w:rFonts w:ascii="Arial" w:hAnsi="Arial" w:cs="Arial"/>
          <w:sz w:val="30"/>
          <w:szCs w:val="30"/>
        </w:rPr>
        <w:t>日</w:t>
      </w:r>
    </w:p>
    <w:p w:rsidR="000115F3" w:rsidRPr="00681902" w:rsidRDefault="000115F3" w:rsidP="00B36784">
      <w:pPr>
        <w:ind w:firstLineChars="200" w:firstLine="600"/>
        <w:rPr>
          <w:rFonts w:ascii="Arial" w:hAnsi="Arial" w:cs="Arial"/>
          <w:sz w:val="30"/>
          <w:szCs w:val="30"/>
        </w:rPr>
      </w:pPr>
    </w:p>
    <w:sectPr w:rsidR="000115F3" w:rsidRPr="00681902" w:rsidSect="00E44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496" w:rsidRDefault="00030496" w:rsidP="00E42B11">
      <w:r>
        <w:separator/>
      </w:r>
    </w:p>
  </w:endnote>
  <w:endnote w:type="continuationSeparator" w:id="0">
    <w:p w:rsidR="00030496" w:rsidRDefault="00030496" w:rsidP="00E42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496" w:rsidRDefault="00030496" w:rsidP="00E42B11">
      <w:r>
        <w:separator/>
      </w:r>
    </w:p>
  </w:footnote>
  <w:footnote w:type="continuationSeparator" w:id="0">
    <w:p w:rsidR="00030496" w:rsidRDefault="00030496" w:rsidP="00E42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7C9"/>
    <w:multiLevelType w:val="hybridMultilevel"/>
    <w:tmpl w:val="89AE6856"/>
    <w:lvl w:ilvl="0" w:tplc="BEB23DE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220E3A79"/>
    <w:multiLevelType w:val="hybridMultilevel"/>
    <w:tmpl w:val="89AE6856"/>
    <w:lvl w:ilvl="0" w:tplc="BEB23DE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">
    <w:nsid w:val="31D7485D"/>
    <w:multiLevelType w:val="hybridMultilevel"/>
    <w:tmpl w:val="58CCEAC2"/>
    <w:lvl w:ilvl="0" w:tplc="ABAEC948">
      <w:start w:val="1"/>
      <w:numFmt w:val="japaneseCounting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FD5DB3"/>
    <w:multiLevelType w:val="hybridMultilevel"/>
    <w:tmpl w:val="89AE6856"/>
    <w:lvl w:ilvl="0" w:tplc="BEB23DE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4">
    <w:nsid w:val="6A2A1CE9"/>
    <w:multiLevelType w:val="hybridMultilevel"/>
    <w:tmpl w:val="5740CCC0"/>
    <w:lvl w:ilvl="0" w:tplc="CD54A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023547"/>
    <w:multiLevelType w:val="hybridMultilevel"/>
    <w:tmpl w:val="B27A6208"/>
    <w:lvl w:ilvl="0" w:tplc="B7CC88C6">
      <w:start w:val="1"/>
      <w:numFmt w:val="japaneseCounting"/>
      <w:lvlText w:val="%1.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B11"/>
    <w:rsid w:val="000115F3"/>
    <w:rsid w:val="00026241"/>
    <w:rsid w:val="00030496"/>
    <w:rsid w:val="00034EB6"/>
    <w:rsid w:val="000447A7"/>
    <w:rsid w:val="00067D54"/>
    <w:rsid w:val="00076FD4"/>
    <w:rsid w:val="000775FC"/>
    <w:rsid w:val="0009490E"/>
    <w:rsid w:val="0009558A"/>
    <w:rsid w:val="000A20E0"/>
    <w:rsid w:val="000B2D52"/>
    <w:rsid w:val="001123E8"/>
    <w:rsid w:val="001422A9"/>
    <w:rsid w:val="0016001C"/>
    <w:rsid w:val="001610B6"/>
    <w:rsid w:val="00165214"/>
    <w:rsid w:val="001769C2"/>
    <w:rsid w:val="0018246E"/>
    <w:rsid w:val="001D2F7A"/>
    <w:rsid w:val="001F1BB1"/>
    <w:rsid w:val="001F1FC7"/>
    <w:rsid w:val="001F2ACD"/>
    <w:rsid w:val="001F7B76"/>
    <w:rsid w:val="0020760D"/>
    <w:rsid w:val="00213086"/>
    <w:rsid w:val="002245B7"/>
    <w:rsid w:val="0024624C"/>
    <w:rsid w:val="00265805"/>
    <w:rsid w:val="00271129"/>
    <w:rsid w:val="0028693D"/>
    <w:rsid w:val="002979A4"/>
    <w:rsid w:val="002A28C4"/>
    <w:rsid w:val="002B5EE3"/>
    <w:rsid w:val="002C1065"/>
    <w:rsid w:val="002E53B1"/>
    <w:rsid w:val="002E79A4"/>
    <w:rsid w:val="003323FF"/>
    <w:rsid w:val="00347423"/>
    <w:rsid w:val="003524F8"/>
    <w:rsid w:val="003B3B52"/>
    <w:rsid w:val="003B3D31"/>
    <w:rsid w:val="003B7DBD"/>
    <w:rsid w:val="003C6D13"/>
    <w:rsid w:val="003D1418"/>
    <w:rsid w:val="0040702C"/>
    <w:rsid w:val="0041186A"/>
    <w:rsid w:val="00416ECC"/>
    <w:rsid w:val="00430AE5"/>
    <w:rsid w:val="00480C55"/>
    <w:rsid w:val="004A59D4"/>
    <w:rsid w:val="004B01BE"/>
    <w:rsid w:val="004B11FA"/>
    <w:rsid w:val="004B57EF"/>
    <w:rsid w:val="00504FE1"/>
    <w:rsid w:val="00525364"/>
    <w:rsid w:val="00527CDB"/>
    <w:rsid w:val="00535C36"/>
    <w:rsid w:val="00545CE3"/>
    <w:rsid w:val="00550BC4"/>
    <w:rsid w:val="00557F6B"/>
    <w:rsid w:val="00565E65"/>
    <w:rsid w:val="005978D1"/>
    <w:rsid w:val="005B2E8C"/>
    <w:rsid w:val="005B583E"/>
    <w:rsid w:val="005B7A75"/>
    <w:rsid w:val="00616CAD"/>
    <w:rsid w:val="006300D0"/>
    <w:rsid w:val="00630450"/>
    <w:rsid w:val="00632F7D"/>
    <w:rsid w:val="00634D0A"/>
    <w:rsid w:val="006358D5"/>
    <w:rsid w:val="006448DF"/>
    <w:rsid w:val="00660FDC"/>
    <w:rsid w:val="00681902"/>
    <w:rsid w:val="00682D6D"/>
    <w:rsid w:val="00692C11"/>
    <w:rsid w:val="006A0F9B"/>
    <w:rsid w:val="006A5F01"/>
    <w:rsid w:val="006B1D7F"/>
    <w:rsid w:val="006B61CA"/>
    <w:rsid w:val="006C7B48"/>
    <w:rsid w:val="007225B3"/>
    <w:rsid w:val="0073787C"/>
    <w:rsid w:val="00740436"/>
    <w:rsid w:val="00765D1B"/>
    <w:rsid w:val="00777D87"/>
    <w:rsid w:val="00787C85"/>
    <w:rsid w:val="007B4E3A"/>
    <w:rsid w:val="007B501B"/>
    <w:rsid w:val="007B7769"/>
    <w:rsid w:val="00801412"/>
    <w:rsid w:val="00833046"/>
    <w:rsid w:val="00845254"/>
    <w:rsid w:val="00883A4F"/>
    <w:rsid w:val="008A6214"/>
    <w:rsid w:val="008B151B"/>
    <w:rsid w:val="008B5A0D"/>
    <w:rsid w:val="008B6D9D"/>
    <w:rsid w:val="008B7B2B"/>
    <w:rsid w:val="008F470E"/>
    <w:rsid w:val="008F4ADC"/>
    <w:rsid w:val="00921320"/>
    <w:rsid w:val="00934839"/>
    <w:rsid w:val="00977431"/>
    <w:rsid w:val="009775C0"/>
    <w:rsid w:val="009D56E4"/>
    <w:rsid w:val="009D6CCE"/>
    <w:rsid w:val="009E7A0F"/>
    <w:rsid w:val="009F14C0"/>
    <w:rsid w:val="009F3A99"/>
    <w:rsid w:val="009F585F"/>
    <w:rsid w:val="00A232A3"/>
    <w:rsid w:val="00A50646"/>
    <w:rsid w:val="00A567E9"/>
    <w:rsid w:val="00A7613E"/>
    <w:rsid w:val="00A86F3C"/>
    <w:rsid w:val="00AA3989"/>
    <w:rsid w:val="00AB3312"/>
    <w:rsid w:val="00AC0AFF"/>
    <w:rsid w:val="00AC6994"/>
    <w:rsid w:val="00AD01BE"/>
    <w:rsid w:val="00AD0A5D"/>
    <w:rsid w:val="00AD2D0C"/>
    <w:rsid w:val="00AE0DB4"/>
    <w:rsid w:val="00B335AF"/>
    <w:rsid w:val="00B352EF"/>
    <w:rsid w:val="00B36784"/>
    <w:rsid w:val="00B82B81"/>
    <w:rsid w:val="00B839B2"/>
    <w:rsid w:val="00B8437C"/>
    <w:rsid w:val="00B84C30"/>
    <w:rsid w:val="00B94046"/>
    <w:rsid w:val="00B95A73"/>
    <w:rsid w:val="00BC36F4"/>
    <w:rsid w:val="00BF55F4"/>
    <w:rsid w:val="00C14AEA"/>
    <w:rsid w:val="00C21680"/>
    <w:rsid w:val="00C37036"/>
    <w:rsid w:val="00C40A6B"/>
    <w:rsid w:val="00C50155"/>
    <w:rsid w:val="00C77554"/>
    <w:rsid w:val="00C86A89"/>
    <w:rsid w:val="00C873F1"/>
    <w:rsid w:val="00C9676B"/>
    <w:rsid w:val="00CB36F1"/>
    <w:rsid w:val="00CC04CB"/>
    <w:rsid w:val="00CD4799"/>
    <w:rsid w:val="00D04288"/>
    <w:rsid w:val="00D160E5"/>
    <w:rsid w:val="00D437B8"/>
    <w:rsid w:val="00D45F23"/>
    <w:rsid w:val="00D6033F"/>
    <w:rsid w:val="00D72610"/>
    <w:rsid w:val="00D957E4"/>
    <w:rsid w:val="00DA0767"/>
    <w:rsid w:val="00DA5319"/>
    <w:rsid w:val="00DA7666"/>
    <w:rsid w:val="00DB17F1"/>
    <w:rsid w:val="00DC347E"/>
    <w:rsid w:val="00DC3C80"/>
    <w:rsid w:val="00DC5710"/>
    <w:rsid w:val="00DD6476"/>
    <w:rsid w:val="00DE5EE5"/>
    <w:rsid w:val="00DF2704"/>
    <w:rsid w:val="00DF6B41"/>
    <w:rsid w:val="00E35A7D"/>
    <w:rsid w:val="00E40B7D"/>
    <w:rsid w:val="00E42B11"/>
    <w:rsid w:val="00E44B19"/>
    <w:rsid w:val="00E46765"/>
    <w:rsid w:val="00E547E3"/>
    <w:rsid w:val="00E71B61"/>
    <w:rsid w:val="00E73C20"/>
    <w:rsid w:val="00E81E6E"/>
    <w:rsid w:val="00E82255"/>
    <w:rsid w:val="00E9356F"/>
    <w:rsid w:val="00E97562"/>
    <w:rsid w:val="00EA4F76"/>
    <w:rsid w:val="00ED0764"/>
    <w:rsid w:val="00ED4904"/>
    <w:rsid w:val="00ED7259"/>
    <w:rsid w:val="00EF66DE"/>
    <w:rsid w:val="00F133DC"/>
    <w:rsid w:val="00F21DEB"/>
    <w:rsid w:val="00F25B10"/>
    <w:rsid w:val="00F307C3"/>
    <w:rsid w:val="00F708E3"/>
    <w:rsid w:val="00F7783B"/>
    <w:rsid w:val="00F86832"/>
    <w:rsid w:val="00FB2CE7"/>
    <w:rsid w:val="00FD0B11"/>
    <w:rsid w:val="00FD57E3"/>
    <w:rsid w:val="00FE1CE8"/>
    <w:rsid w:val="00FF46DC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B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B1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42B1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42B11"/>
  </w:style>
  <w:style w:type="paragraph" w:styleId="a6">
    <w:name w:val="Balloon Text"/>
    <w:basedOn w:val="a"/>
    <w:link w:val="Char2"/>
    <w:uiPriority w:val="99"/>
    <w:semiHidden/>
    <w:unhideWhenUsed/>
    <w:rsid w:val="00ED076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D0764"/>
    <w:rPr>
      <w:sz w:val="18"/>
      <w:szCs w:val="18"/>
    </w:rPr>
  </w:style>
  <w:style w:type="character" w:styleId="a7">
    <w:name w:val="annotation reference"/>
    <w:rsid w:val="00AD01BE"/>
    <w:rPr>
      <w:sz w:val="21"/>
      <w:szCs w:val="21"/>
    </w:rPr>
  </w:style>
  <w:style w:type="paragraph" w:styleId="a8">
    <w:name w:val="annotation text"/>
    <w:basedOn w:val="a"/>
    <w:link w:val="Char3"/>
    <w:rsid w:val="00AD01BE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批注文字 Char"/>
    <w:basedOn w:val="a0"/>
    <w:link w:val="a8"/>
    <w:rsid w:val="00AD01BE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DA7666"/>
    <w:pPr>
      <w:ind w:firstLineChars="200" w:firstLine="420"/>
    </w:pPr>
  </w:style>
  <w:style w:type="paragraph" w:styleId="1">
    <w:name w:val="toc 1"/>
    <w:basedOn w:val="a"/>
    <w:next w:val="a"/>
    <w:autoRedefine/>
    <w:uiPriority w:val="39"/>
    <w:unhideWhenUsed/>
    <w:rsid w:val="000115F3"/>
  </w:style>
  <w:style w:type="paragraph" w:styleId="2">
    <w:name w:val="toc 2"/>
    <w:basedOn w:val="a"/>
    <w:next w:val="a"/>
    <w:autoRedefine/>
    <w:uiPriority w:val="39"/>
    <w:unhideWhenUsed/>
    <w:rsid w:val="000115F3"/>
    <w:pPr>
      <w:ind w:leftChars="200" w:left="420"/>
    </w:pPr>
  </w:style>
  <w:style w:type="character" w:styleId="aa">
    <w:name w:val="Hyperlink"/>
    <w:basedOn w:val="a0"/>
    <w:uiPriority w:val="99"/>
    <w:unhideWhenUsed/>
    <w:rsid w:val="00011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B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B1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42B1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42B11"/>
  </w:style>
  <w:style w:type="paragraph" w:styleId="a6">
    <w:name w:val="Balloon Text"/>
    <w:basedOn w:val="a"/>
    <w:link w:val="Char2"/>
    <w:uiPriority w:val="99"/>
    <w:semiHidden/>
    <w:unhideWhenUsed/>
    <w:rsid w:val="00ED076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D0764"/>
    <w:rPr>
      <w:sz w:val="18"/>
      <w:szCs w:val="18"/>
    </w:rPr>
  </w:style>
  <w:style w:type="character" w:styleId="a7">
    <w:name w:val="annotation reference"/>
    <w:rsid w:val="00AD01BE"/>
    <w:rPr>
      <w:sz w:val="21"/>
      <w:szCs w:val="21"/>
    </w:rPr>
  </w:style>
  <w:style w:type="paragraph" w:styleId="a8">
    <w:name w:val="annotation text"/>
    <w:basedOn w:val="a"/>
    <w:link w:val="Char3"/>
    <w:rsid w:val="00AD01BE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批注文字 Char"/>
    <w:basedOn w:val="a0"/>
    <w:link w:val="a8"/>
    <w:rsid w:val="00AD01B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E73C-BE9A-4745-B38F-91837B3E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709</Words>
  <Characters>4046</Characters>
  <Application>Microsoft Office Word</Application>
  <DocSecurity>0</DocSecurity>
  <Lines>33</Lines>
  <Paragraphs>9</Paragraphs>
  <ScaleCrop>false</ScaleCrop>
  <Company>Microsoft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闫思聪</dc:creator>
  <cp:lastModifiedBy>李艺</cp:lastModifiedBy>
  <cp:revision>9</cp:revision>
  <cp:lastPrinted>2018-07-13T10:01:00Z</cp:lastPrinted>
  <dcterms:created xsi:type="dcterms:W3CDTF">2019-04-15T07:08:00Z</dcterms:created>
  <dcterms:modified xsi:type="dcterms:W3CDTF">2019-04-17T03:12:00Z</dcterms:modified>
</cp:coreProperties>
</file>