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5B" w:rsidRPr="00272D5B" w:rsidRDefault="00D93C16" w:rsidP="00E42B11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72D5B">
        <w:rPr>
          <w:rFonts w:ascii="宋体" w:eastAsia="宋体" w:hAnsi="宋体" w:cs="Times New Roman" w:hint="eastAsia"/>
          <w:b/>
          <w:sz w:val="30"/>
          <w:szCs w:val="30"/>
        </w:rPr>
        <w:t>兴业银行“万利宝-聚利”2018年第4期封闭式净值型理财产品(北京专属)</w:t>
      </w:r>
    </w:p>
    <w:p w:rsidR="00E42B11" w:rsidRPr="00272D5B" w:rsidRDefault="00D957E4" w:rsidP="00E42B11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72D5B">
        <w:rPr>
          <w:rFonts w:ascii="宋体" w:eastAsia="宋体" w:hAnsi="宋体" w:cs="Times New Roman"/>
          <w:b/>
          <w:sz w:val="30"/>
          <w:szCs w:val="30"/>
        </w:rPr>
        <w:t>2018年第</w:t>
      </w:r>
      <w:r w:rsidR="00DA5319" w:rsidRPr="00272D5B">
        <w:rPr>
          <w:rFonts w:ascii="宋体" w:eastAsia="宋体" w:hAnsi="宋体" w:cs="Times New Roman" w:hint="eastAsia"/>
          <w:b/>
          <w:sz w:val="30"/>
          <w:szCs w:val="30"/>
        </w:rPr>
        <w:t>4</w:t>
      </w:r>
      <w:r w:rsidRPr="00272D5B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272D5B" w:rsidRPr="00272D5B" w:rsidRDefault="00272D5B" w:rsidP="00E42B11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72D5B"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272D5B" w:rsidRDefault="00272D5B" w:rsidP="003F5575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5241639"/>
      <w:r w:rsidRPr="00272D5B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3F5575" w:rsidRDefault="0082573A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r w:rsidRPr="0082573A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3F5575">
        <w:rPr>
          <w:rFonts w:ascii="宋体" w:eastAsia="宋体" w:hAnsi="宋体" w:cs="Times New Roman"/>
          <w:b w:val="0"/>
          <w:sz w:val="30"/>
          <w:szCs w:val="30"/>
        </w:rPr>
        <w:instrText xml:space="preserve"> TOC \o "1-3" \h \z \u </w:instrText>
      </w:r>
      <w:r w:rsidRPr="0082573A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5241639" w:history="1">
        <w:r w:rsidR="003F5575" w:rsidRPr="007012B3">
          <w:rPr>
            <w:rStyle w:val="aa"/>
            <w:rFonts w:ascii="宋体" w:eastAsia="宋体" w:hAnsi="宋体" w:cs="Times New Roman" w:hint="eastAsia"/>
            <w:noProof/>
          </w:rPr>
          <w:t>一．</w:t>
        </w:r>
        <w:r w:rsidR="003F5575">
          <w:rPr>
            <w:b w:val="0"/>
            <w:bCs w:val="0"/>
            <w: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cs="Times New Roman" w:hint="eastAsia"/>
            <w:noProof/>
          </w:rPr>
          <w:t>目录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241640" w:history="1">
        <w:r w:rsidR="003F5575" w:rsidRPr="007012B3">
          <w:rPr>
            <w:rStyle w:val="aa"/>
            <w:rFonts w:ascii="宋体" w:eastAsia="宋体" w:hAnsi="宋体" w:cs="Times New Roman" w:hint="eastAsia"/>
            <w:noProof/>
          </w:rPr>
          <w:t>二．</w:t>
        </w:r>
        <w:r w:rsidR="003F5575">
          <w:rPr>
            <w:b w:val="0"/>
            <w:bCs w:val="0"/>
            <w: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hint="eastAsia"/>
            <w:noProof/>
          </w:rPr>
          <w:t>产品基本情况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241641" w:history="1">
        <w:r w:rsidR="003F5575" w:rsidRPr="007012B3">
          <w:rPr>
            <w:rStyle w:val="aa"/>
            <w:rFonts w:ascii="宋体" w:eastAsia="宋体" w:hAnsi="宋体" w:hint="eastAsia"/>
            <w:noProof/>
          </w:rPr>
          <w:t>三．</w:t>
        </w:r>
        <w:r w:rsidR="003F5575">
          <w:rPr>
            <w:b w:val="0"/>
            <w:bCs w:val="0"/>
            <w: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hint="eastAsia"/>
            <w:noProof/>
          </w:rPr>
          <w:t>产品收益</w:t>
        </w:r>
        <w:r w:rsidR="003F5575" w:rsidRPr="007012B3">
          <w:rPr>
            <w:rStyle w:val="aa"/>
            <w:rFonts w:ascii="宋体" w:eastAsia="宋体" w:hAnsi="宋体"/>
            <w:noProof/>
          </w:rPr>
          <w:t>/</w:t>
        </w:r>
        <w:r w:rsidR="003F5575" w:rsidRPr="007012B3">
          <w:rPr>
            <w:rStyle w:val="aa"/>
            <w:rFonts w:ascii="宋体" w:eastAsia="宋体" w:hAnsi="宋体" w:hint="eastAsia"/>
            <w:noProof/>
          </w:rPr>
          <w:t>净值表现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241642" w:history="1">
        <w:r w:rsidR="003F5575" w:rsidRPr="007012B3">
          <w:rPr>
            <w:rStyle w:val="aa"/>
            <w:rFonts w:ascii="宋体" w:eastAsia="宋体" w:hAnsi="宋体" w:hint="eastAsia"/>
            <w:noProof/>
          </w:rPr>
          <w:t>四．</w:t>
        </w:r>
        <w:r w:rsidR="003F5575">
          <w:rPr>
            <w:b w:val="0"/>
            <w:bCs w:val="0"/>
            <w: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hint="eastAsia"/>
            <w:noProof/>
          </w:rPr>
          <w:t>报告期内产品的投资策略和运作分析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241643" w:history="1">
        <w:r w:rsidR="003F5575" w:rsidRPr="007012B3">
          <w:rPr>
            <w:rStyle w:val="aa"/>
            <w:rFonts w:ascii="宋体" w:eastAsia="宋体" w:hAnsi="宋体" w:hint="eastAsia"/>
            <w:noProof/>
          </w:rPr>
          <w:t>五．</w:t>
        </w:r>
        <w:r w:rsidR="003F5575">
          <w:rPr>
            <w:b w:val="0"/>
            <w:bCs w:val="0"/>
            <w: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/>
            <w:noProof/>
          </w:rPr>
          <w:t>2018</w:t>
        </w:r>
        <w:r w:rsidR="003F5575" w:rsidRPr="007012B3">
          <w:rPr>
            <w:rStyle w:val="aa"/>
            <w:rFonts w:ascii="宋体" w:eastAsia="宋体" w:hAnsi="宋体" w:hint="eastAsia"/>
            <w:noProof/>
          </w:rPr>
          <w:t>年第</w:t>
        </w:r>
        <w:r w:rsidR="003F5575" w:rsidRPr="007012B3">
          <w:rPr>
            <w:rStyle w:val="aa"/>
            <w:rFonts w:ascii="宋体" w:eastAsia="宋体" w:hAnsi="宋体"/>
            <w:noProof/>
          </w:rPr>
          <w:t>4</w:t>
        </w:r>
        <w:r w:rsidR="003F5575" w:rsidRPr="007012B3">
          <w:rPr>
            <w:rStyle w:val="aa"/>
            <w:rFonts w:ascii="宋体" w:eastAsia="宋体" w:hAnsi="宋体" w:hint="eastAsia"/>
            <w:noProof/>
          </w:rPr>
          <w:t>季度财务会计报告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241644" w:history="1">
        <w:r w:rsidR="003F5575" w:rsidRPr="007012B3">
          <w:rPr>
            <w:rStyle w:val="aa"/>
            <w:rFonts w:ascii="宋体" w:eastAsia="宋体" w:hAnsi="宋体" w:cs="Times New Roman"/>
            <w:b/>
            <w:noProof/>
          </w:rPr>
          <w:t>1.</w:t>
        </w:r>
        <w:r w:rsidR="003F5575">
          <w:rPr>
            <w:small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cs="Times New Roman" w:hint="eastAsia"/>
            <w:b/>
            <w:noProof/>
          </w:rPr>
          <w:t>资产负债表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241645" w:history="1">
        <w:r w:rsidR="003F5575" w:rsidRPr="007012B3">
          <w:rPr>
            <w:rStyle w:val="aa"/>
            <w:rFonts w:ascii="宋体" w:eastAsia="宋体" w:hAnsi="宋体" w:cs="Times New Roman"/>
            <w:b/>
            <w:noProof/>
          </w:rPr>
          <w:t>2.</w:t>
        </w:r>
        <w:r w:rsidR="003F5575">
          <w:rPr>
            <w:small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cs="Times New Roman" w:hint="eastAsia"/>
            <w:b/>
            <w:noProof/>
          </w:rPr>
          <w:t>利润表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241646" w:history="1">
        <w:r w:rsidR="003F5575" w:rsidRPr="007012B3">
          <w:rPr>
            <w:rStyle w:val="aa"/>
            <w:rFonts w:ascii="宋体" w:eastAsia="宋体" w:hAnsi="宋体"/>
            <w:b/>
            <w:noProof/>
          </w:rPr>
          <w:t>3.</w:t>
        </w:r>
        <w:r w:rsidR="003F5575">
          <w:rPr>
            <w:small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hint="eastAsia"/>
            <w:b/>
            <w:noProof/>
          </w:rPr>
          <w:t>所有者权益（产品净值）变动表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1"/>
        <w:tabs>
          <w:tab w:val="left" w:pos="630"/>
          <w:tab w:val="right" w:leader="dot" w:pos="8296"/>
        </w:tabs>
        <w:rPr>
          <w:b w:val="0"/>
          <w:bCs w:val="0"/>
          <w:caps w:val="0"/>
          <w:noProof/>
          <w:sz w:val="21"/>
          <w:szCs w:val="22"/>
        </w:rPr>
      </w:pPr>
      <w:hyperlink w:anchor="_Toc535241647" w:history="1">
        <w:r w:rsidR="003F5575" w:rsidRPr="007012B3">
          <w:rPr>
            <w:rStyle w:val="aa"/>
            <w:rFonts w:ascii="宋体" w:eastAsia="宋体" w:hAnsi="宋体" w:cs="Times New Roman" w:hint="eastAsia"/>
            <w:noProof/>
          </w:rPr>
          <w:t>六．</w:t>
        </w:r>
        <w:r w:rsidR="003F5575">
          <w:rPr>
            <w:b w:val="0"/>
            <w:bCs w:val="0"/>
            <w: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cs="Times New Roman" w:hint="eastAsia"/>
            <w:noProof/>
          </w:rPr>
          <w:t>投资组合情况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241648" w:history="1">
        <w:r w:rsidR="003F5575" w:rsidRPr="007012B3">
          <w:rPr>
            <w:rStyle w:val="aa"/>
            <w:rFonts w:ascii="宋体" w:eastAsia="宋体" w:hAnsi="宋体"/>
            <w:b/>
            <w:noProof/>
          </w:rPr>
          <w:t>1.</w:t>
        </w:r>
        <w:r w:rsidR="003F5575">
          <w:rPr>
            <w:small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hint="eastAsia"/>
            <w:b/>
            <w:noProof/>
          </w:rPr>
          <w:t>报告期末产品资产组合情况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241649" w:history="1">
        <w:r w:rsidR="003F5575" w:rsidRPr="007012B3">
          <w:rPr>
            <w:rStyle w:val="aa"/>
            <w:rFonts w:ascii="宋体" w:eastAsia="宋体" w:hAnsi="宋体"/>
            <w:b/>
            <w:noProof/>
          </w:rPr>
          <w:t>2.</w:t>
        </w:r>
        <w:r w:rsidR="003F5575">
          <w:rPr>
            <w:small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hint="eastAsia"/>
            <w:b/>
            <w:noProof/>
          </w:rPr>
          <w:t>报告期末杠杆融资情况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5575" w:rsidRDefault="0082573A">
      <w:pPr>
        <w:pStyle w:val="2"/>
        <w:tabs>
          <w:tab w:val="left" w:pos="630"/>
          <w:tab w:val="right" w:leader="dot" w:pos="8296"/>
        </w:tabs>
        <w:rPr>
          <w:smallCaps w:val="0"/>
          <w:noProof/>
          <w:sz w:val="21"/>
          <w:szCs w:val="22"/>
        </w:rPr>
      </w:pPr>
      <w:hyperlink w:anchor="_Toc535241650" w:history="1">
        <w:r w:rsidR="003F5575" w:rsidRPr="007012B3">
          <w:rPr>
            <w:rStyle w:val="aa"/>
            <w:rFonts w:ascii="宋体" w:eastAsia="宋体" w:hAnsi="宋体"/>
            <w:b/>
            <w:noProof/>
          </w:rPr>
          <w:t>3.</w:t>
        </w:r>
        <w:r w:rsidR="003F5575">
          <w:rPr>
            <w:smallCaps w:val="0"/>
            <w:noProof/>
            <w:sz w:val="21"/>
            <w:szCs w:val="22"/>
          </w:rPr>
          <w:tab/>
        </w:r>
        <w:r w:rsidR="003F5575" w:rsidRPr="007012B3">
          <w:rPr>
            <w:rStyle w:val="aa"/>
            <w:rFonts w:ascii="宋体" w:eastAsia="宋体" w:hAnsi="宋体" w:hint="eastAsia"/>
            <w:b/>
            <w:noProof/>
          </w:rPr>
          <w:t>报告期末资产持仓前十基本信息</w:t>
        </w:r>
        <w:r w:rsidR="003F557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5575">
          <w:rPr>
            <w:noProof/>
            <w:webHidden/>
          </w:rPr>
          <w:instrText xml:space="preserve"> PAGEREF _Toc535241650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557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5575" w:rsidRPr="00272D5B" w:rsidRDefault="0082573A" w:rsidP="003F5575">
      <w:pPr>
        <w:pStyle w:val="a9"/>
        <w:ind w:left="720" w:firstLineChars="0" w:firstLine="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7667BB" w:rsidRPr="007667BB" w:rsidRDefault="00D957E4" w:rsidP="003F5575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5241640"/>
      <w:r w:rsidRPr="00272D5B">
        <w:rPr>
          <w:rFonts w:ascii="宋体" w:eastAsia="宋体" w:hAnsi="宋体"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DD6476" w:rsidRPr="00272D5B" w:rsidTr="00DD6476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93C1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兴业银行“万利宝-聚利”2018年第4期封闭式净值型理财产品(北京专属)</w:t>
            </w:r>
          </w:p>
        </w:tc>
      </w:tr>
      <w:tr w:rsidR="00DD6476" w:rsidRPr="00272D5B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E40B7D" w:rsidP="00D93C1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1K1180</w:t>
            </w:r>
            <w:r w:rsidR="00D93C16"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14</w:t>
            </w:r>
          </w:p>
        </w:tc>
      </w:tr>
      <w:tr w:rsidR="00DD6476" w:rsidRPr="00272D5B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7667BB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667B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C1030918000806</w:t>
            </w:r>
          </w:p>
        </w:tc>
      </w:tr>
      <w:tr w:rsidR="00DD6476" w:rsidRPr="00272D5B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AD0A5D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封闭式</w:t>
            </w:r>
          </w:p>
        </w:tc>
      </w:tr>
      <w:tr w:rsidR="00DD6476" w:rsidRPr="00272D5B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93C1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2</w:t>
            </w: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</w:t>
            </w:r>
            <w:r w:rsidRPr="00272D5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61789</w:t>
            </w:r>
            <w:r w:rsidR="00E81E6E"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亿份</w:t>
            </w:r>
          </w:p>
        </w:tc>
      </w:tr>
      <w:tr w:rsidR="00DD6476" w:rsidRPr="00272D5B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C775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在保持理财资产的低风险的前提下，力争实现业绩比较基准的投资回报。</w:t>
            </w:r>
          </w:p>
        </w:tc>
      </w:tr>
      <w:tr w:rsidR="00DD6476" w:rsidRPr="00272D5B" w:rsidTr="00DD6476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AC6994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固定期限，低风险</w:t>
            </w:r>
            <w:r w:rsidR="00A567E9"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，低估值波动</w:t>
            </w: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的稳健投资策略</w:t>
            </w:r>
          </w:p>
        </w:tc>
      </w:tr>
      <w:tr w:rsidR="00DD6476" w:rsidRPr="00272D5B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6A5F01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当前</w:t>
            </w:r>
            <w:r w:rsidR="00DD6476"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</w:t>
            </w:r>
            <w:proofErr w:type="gramEnd"/>
            <w:r w:rsidR="00DD6476"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272D5B" w:rsidRDefault="00E81E6E" w:rsidP="00272D5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兴业银行一年期定期存款利率(</w:t>
            </w:r>
            <w:r w:rsidRPr="00272D5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1.95</w:t>
            </w: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%)+</w:t>
            </w:r>
            <w:r w:rsidRPr="00272D5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3.</w:t>
            </w:r>
            <w:r w:rsid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00</w:t>
            </w: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</w:tr>
      <w:tr w:rsidR="00545CE3" w:rsidRPr="00272D5B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272D5B" w:rsidRDefault="00545CE3" w:rsidP="009C05D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272D5B" w:rsidRDefault="00545CE3" w:rsidP="009C05D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</w:t>
            </w:r>
            <w:r w:rsidR="00C77554"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固定收益特征</w:t>
            </w:r>
          </w:p>
        </w:tc>
      </w:tr>
      <w:tr w:rsidR="00545CE3" w:rsidRPr="00272D5B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272D5B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272D5B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545CE3" w:rsidRPr="00272D5B" w:rsidTr="00DD6476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272D5B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272D5B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2D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8F79BB" w:rsidRDefault="005978D1" w:rsidP="003F5575">
      <w:pPr>
        <w:pStyle w:val="a9"/>
        <w:numPr>
          <w:ilvl w:val="0"/>
          <w:numId w:val="1"/>
        </w:numPr>
        <w:tabs>
          <w:tab w:val="left" w:pos="5565"/>
        </w:tabs>
        <w:ind w:firstLineChars="0"/>
        <w:outlineLvl w:val="0"/>
        <w:rPr>
          <w:rFonts w:ascii="宋体" w:eastAsia="宋体" w:hAnsi="宋体"/>
          <w:b/>
          <w:sz w:val="30"/>
          <w:szCs w:val="30"/>
        </w:rPr>
      </w:pPr>
      <w:bookmarkStart w:id="2" w:name="_Toc535241641"/>
      <w:r w:rsidRPr="007667BB">
        <w:rPr>
          <w:rFonts w:ascii="宋体" w:eastAsia="宋体" w:hAnsi="宋体" w:hint="eastAsia"/>
          <w:b/>
          <w:sz w:val="30"/>
          <w:szCs w:val="30"/>
        </w:rPr>
        <w:t>产品收益</w:t>
      </w:r>
      <w:r w:rsidR="007667BB" w:rsidRPr="007667BB">
        <w:rPr>
          <w:rFonts w:ascii="宋体" w:eastAsia="宋体" w:hAnsi="宋体" w:hint="eastAsia"/>
          <w:b/>
          <w:sz w:val="30"/>
          <w:szCs w:val="30"/>
        </w:rPr>
        <w:t>/净值</w:t>
      </w:r>
      <w:r w:rsidRPr="007667BB">
        <w:rPr>
          <w:rFonts w:ascii="宋体" w:eastAsia="宋体" w:hAnsi="宋体" w:hint="eastAsia"/>
          <w:b/>
          <w:sz w:val="30"/>
          <w:szCs w:val="30"/>
        </w:rPr>
        <w:t>表现</w:t>
      </w:r>
      <w:bookmarkEnd w:id="2"/>
    </w:p>
    <w:p w:rsidR="00D957E4" w:rsidRPr="007667BB" w:rsidRDefault="00921320" w:rsidP="008F79BB">
      <w:pPr>
        <w:pStyle w:val="a9"/>
        <w:tabs>
          <w:tab w:val="left" w:pos="5565"/>
        </w:tabs>
        <w:ind w:left="720" w:firstLineChars="0" w:firstLine="0"/>
        <w:rPr>
          <w:rFonts w:ascii="宋体" w:eastAsia="宋体" w:hAnsi="宋体"/>
          <w:b/>
          <w:sz w:val="30"/>
          <w:szCs w:val="30"/>
        </w:rPr>
      </w:pPr>
      <w:r w:rsidRPr="007667BB">
        <w:rPr>
          <w:rFonts w:ascii="宋体" w:eastAsia="宋体" w:hAnsi="宋体"/>
          <w:b/>
          <w:sz w:val="30"/>
          <w:szCs w:val="30"/>
        </w:rPr>
        <w:tab/>
      </w:r>
    </w:p>
    <w:p w:rsidR="000447A7" w:rsidRPr="00272D5B" w:rsidRDefault="00765D1B" w:rsidP="00AD01BE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72D5B">
        <w:rPr>
          <w:rFonts w:ascii="宋体" w:eastAsia="宋体" w:hAnsi="宋体" w:hint="eastAsia"/>
          <w:sz w:val="30"/>
          <w:szCs w:val="30"/>
        </w:rPr>
        <w:t>报告期内，本</w:t>
      </w:r>
      <w:proofErr w:type="gramStart"/>
      <w:r w:rsidRPr="00272D5B">
        <w:rPr>
          <w:rFonts w:ascii="宋体" w:eastAsia="宋体" w:hAnsi="宋体" w:hint="eastAsia"/>
          <w:sz w:val="30"/>
          <w:szCs w:val="30"/>
        </w:rPr>
        <w:t>产品</w:t>
      </w:r>
      <w:r w:rsidR="00AD01BE" w:rsidRPr="00272D5B">
        <w:rPr>
          <w:rFonts w:ascii="宋体" w:eastAsia="宋体" w:hAnsi="宋体" w:hint="eastAsia"/>
          <w:sz w:val="30"/>
          <w:szCs w:val="30"/>
        </w:rPr>
        <w:t>年化收益率</w:t>
      </w:r>
      <w:proofErr w:type="gramEnd"/>
      <w:r w:rsidR="00AD01BE" w:rsidRPr="00272D5B">
        <w:rPr>
          <w:rFonts w:ascii="宋体" w:eastAsia="宋体" w:hAnsi="宋体" w:hint="eastAsia"/>
          <w:sz w:val="30"/>
          <w:szCs w:val="30"/>
        </w:rPr>
        <w:t>为</w:t>
      </w:r>
      <w:r w:rsidR="00D93C16" w:rsidRPr="00272D5B">
        <w:rPr>
          <w:rFonts w:ascii="宋体" w:eastAsia="宋体" w:hAnsi="宋体" w:hint="eastAsia"/>
          <w:sz w:val="30"/>
          <w:szCs w:val="30"/>
        </w:rPr>
        <w:t>4.95</w:t>
      </w:r>
      <w:r w:rsidRPr="00272D5B">
        <w:rPr>
          <w:rFonts w:ascii="宋体" w:eastAsia="宋体" w:hAnsi="宋体" w:hint="eastAsia"/>
          <w:sz w:val="30"/>
          <w:szCs w:val="30"/>
        </w:rPr>
        <w:t>%，</w:t>
      </w:r>
      <w:r w:rsidR="00AD01BE" w:rsidRPr="00272D5B">
        <w:rPr>
          <w:rFonts w:ascii="宋体" w:eastAsia="宋体" w:hAnsi="宋体" w:hint="eastAsia"/>
          <w:sz w:val="30"/>
          <w:szCs w:val="30"/>
        </w:rPr>
        <w:t>达到业绩比较基准。</w:t>
      </w:r>
    </w:p>
    <w:p w:rsidR="007667BB" w:rsidRPr="00462F45" w:rsidRDefault="007667BB" w:rsidP="007667BB">
      <w:pPr>
        <w:ind w:left="180" w:firstLineChars="140" w:firstLine="420"/>
        <w:rPr>
          <w:rFonts w:ascii="宋体" w:eastAsia="宋体" w:hAnsi="宋体"/>
          <w:sz w:val="30"/>
          <w:szCs w:val="30"/>
        </w:rPr>
      </w:pPr>
      <w:r w:rsidRPr="00462F45">
        <w:rPr>
          <w:rFonts w:ascii="宋体" w:eastAsia="宋体" w:hAnsi="宋体" w:hint="eastAsia"/>
          <w:sz w:val="30"/>
          <w:szCs w:val="30"/>
        </w:rPr>
        <w:t>报告期末，产品净值</w:t>
      </w:r>
      <w:r>
        <w:rPr>
          <w:rFonts w:ascii="宋体" w:eastAsia="宋体" w:hAnsi="宋体" w:hint="eastAsia"/>
          <w:sz w:val="30"/>
          <w:szCs w:val="30"/>
        </w:rPr>
        <w:t>具体</w:t>
      </w:r>
      <w:r w:rsidRPr="00462F45">
        <w:rPr>
          <w:rFonts w:ascii="宋体" w:eastAsia="宋体" w:hAnsi="宋体" w:hint="eastAsia"/>
          <w:sz w:val="30"/>
          <w:szCs w:val="30"/>
        </w:rPr>
        <w:t>表现如下：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69"/>
        <w:gridCol w:w="1701"/>
        <w:gridCol w:w="1934"/>
      </w:tblGrid>
      <w:tr w:rsidR="007667BB" w:rsidRPr="00462F45" w:rsidTr="009C05D0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7667BB" w:rsidRPr="00462F45" w:rsidTr="009C05D0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67BB">
              <w:rPr>
                <w:rFonts w:ascii="宋体" w:eastAsia="宋体" w:hAnsi="宋体" w:cs="宋体"/>
                <w:color w:val="000000"/>
                <w:kern w:val="0"/>
                <w:sz w:val="22"/>
              </w:rPr>
              <w:t>1.01500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67BB">
              <w:rPr>
                <w:rFonts w:ascii="宋体" w:eastAsia="宋体" w:hAnsi="宋体" w:cs="宋体"/>
                <w:color w:val="000000"/>
                <w:kern w:val="0"/>
                <w:sz w:val="22"/>
              </w:rPr>
              <w:t>1.01500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7BB" w:rsidRPr="00462F45" w:rsidRDefault="007667BB" w:rsidP="009C05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67BB">
              <w:rPr>
                <w:rFonts w:ascii="宋体" w:eastAsia="宋体" w:hAnsi="宋体" w:cs="宋体"/>
                <w:color w:val="000000"/>
                <w:kern w:val="0"/>
                <w:sz w:val="22"/>
              </w:rPr>
              <w:t>265,716,637.37</w:t>
            </w:r>
          </w:p>
        </w:tc>
      </w:tr>
    </w:tbl>
    <w:p w:rsidR="007667BB" w:rsidRPr="00272D5B" w:rsidRDefault="007667BB" w:rsidP="00AD01B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8F79BB" w:rsidRPr="008F79BB" w:rsidRDefault="008F79BB" w:rsidP="003F5575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/>
          <w:b/>
          <w:sz w:val="30"/>
          <w:szCs w:val="30"/>
        </w:rPr>
      </w:pPr>
      <w:bookmarkStart w:id="3" w:name="_Toc535241642"/>
      <w:r w:rsidRPr="008F79BB">
        <w:rPr>
          <w:rFonts w:ascii="宋体" w:eastAsia="宋体" w:hAnsi="宋体" w:hint="eastAsia"/>
          <w:b/>
          <w:sz w:val="30"/>
          <w:szCs w:val="30"/>
        </w:rPr>
        <w:t>报告期内产品的投资策略和运作分析</w:t>
      </w:r>
      <w:bookmarkEnd w:id="3"/>
    </w:p>
    <w:p w:rsidR="00AD01BE" w:rsidRPr="00272D5B" w:rsidRDefault="00AD01BE" w:rsidP="00AD01BE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72D5B">
        <w:rPr>
          <w:rFonts w:ascii="宋体" w:eastAsia="宋体" w:hAnsi="宋体" w:hint="eastAsia"/>
          <w:sz w:val="30"/>
          <w:szCs w:val="30"/>
        </w:rPr>
        <w:t>本理财产品投资于</w:t>
      </w:r>
      <w:r w:rsidR="001422A9" w:rsidRPr="00272D5B">
        <w:rPr>
          <w:rFonts w:ascii="宋体" w:eastAsia="宋体" w:hAnsi="宋体" w:hint="eastAsia"/>
          <w:sz w:val="30"/>
          <w:szCs w:val="30"/>
        </w:rPr>
        <w:t>同业借款资产</w:t>
      </w:r>
      <w:r w:rsidRPr="00272D5B">
        <w:rPr>
          <w:rFonts w:ascii="宋体" w:eastAsia="宋体" w:hAnsi="宋体" w:hint="eastAsia"/>
          <w:sz w:val="30"/>
          <w:szCs w:val="30"/>
        </w:rPr>
        <w:t>，</w:t>
      </w:r>
      <w:r w:rsidR="001422A9" w:rsidRPr="00272D5B">
        <w:rPr>
          <w:rFonts w:ascii="宋体" w:eastAsia="宋体" w:hAnsi="宋体" w:hint="eastAsia"/>
          <w:sz w:val="30"/>
          <w:szCs w:val="30"/>
        </w:rPr>
        <w:t>融资人为</w:t>
      </w:r>
      <w:r w:rsidR="00D93C16" w:rsidRPr="00272D5B">
        <w:rPr>
          <w:rFonts w:ascii="宋体" w:eastAsia="宋体" w:hAnsi="宋体" w:hint="eastAsia"/>
          <w:sz w:val="30"/>
          <w:szCs w:val="30"/>
        </w:rPr>
        <w:t>北京现代汽车金融有限公司</w:t>
      </w:r>
      <w:r w:rsidRPr="00272D5B">
        <w:rPr>
          <w:rFonts w:ascii="宋体" w:eastAsia="宋体" w:hAnsi="宋体" w:hint="eastAsia"/>
          <w:sz w:val="30"/>
          <w:szCs w:val="30"/>
        </w:rPr>
        <w:t>。</w:t>
      </w:r>
      <w:r w:rsidR="001422A9" w:rsidRPr="00272D5B">
        <w:rPr>
          <w:rFonts w:ascii="宋体" w:eastAsia="宋体" w:hAnsi="宋体" w:hint="eastAsia"/>
          <w:sz w:val="30"/>
          <w:szCs w:val="30"/>
        </w:rPr>
        <w:t>同业借款是指金融机构之间开展的3年期以下银行间资金借贷，用以补足准备金和季节性资金需求</w:t>
      </w:r>
      <w:r w:rsidRPr="00272D5B">
        <w:rPr>
          <w:rFonts w:ascii="宋体" w:eastAsia="宋体" w:hAnsi="宋体" w:hint="eastAsia"/>
          <w:sz w:val="30"/>
          <w:szCs w:val="30"/>
        </w:rPr>
        <w:t>。本理财产品投资标的为发行人凭借自身信用</w:t>
      </w:r>
      <w:r w:rsidR="001422A9" w:rsidRPr="00272D5B">
        <w:rPr>
          <w:rFonts w:ascii="宋体" w:eastAsia="宋体" w:hAnsi="宋体" w:hint="eastAsia"/>
          <w:sz w:val="30"/>
          <w:szCs w:val="30"/>
        </w:rPr>
        <w:t>在我行拆借的</w:t>
      </w:r>
      <w:r w:rsidRPr="00272D5B">
        <w:rPr>
          <w:rFonts w:ascii="宋体" w:eastAsia="宋体" w:hAnsi="宋体" w:hint="eastAsia"/>
          <w:sz w:val="30"/>
          <w:szCs w:val="30"/>
        </w:rPr>
        <w:t>固定收益</w:t>
      </w:r>
      <w:r w:rsidR="001422A9" w:rsidRPr="00272D5B">
        <w:rPr>
          <w:rFonts w:ascii="宋体" w:eastAsia="宋体" w:hAnsi="宋体" w:hint="eastAsia"/>
          <w:sz w:val="30"/>
          <w:szCs w:val="30"/>
        </w:rPr>
        <w:t>同业借款</w:t>
      </w:r>
      <w:r w:rsidRPr="00272D5B">
        <w:rPr>
          <w:rFonts w:ascii="宋体" w:eastAsia="宋体" w:hAnsi="宋体" w:hint="eastAsia"/>
          <w:sz w:val="30"/>
          <w:szCs w:val="30"/>
        </w:rPr>
        <w:t>。</w:t>
      </w:r>
    </w:p>
    <w:p w:rsidR="00AC6994" w:rsidRPr="00272D5B" w:rsidRDefault="00D93C16" w:rsidP="00D93C16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272D5B">
        <w:rPr>
          <w:rFonts w:ascii="宋体" w:eastAsia="宋体" w:hAnsi="宋体" w:hint="eastAsia"/>
          <w:sz w:val="30"/>
          <w:szCs w:val="30"/>
        </w:rPr>
        <w:t>北京现代汽车金融有限公司</w:t>
      </w:r>
      <w:r w:rsidR="001422A9" w:rsidRPr="00272D5B">
        <w:rPr>
          <w:rFonts w:ascii="宋体" w:eastAsia="宋体" w:hAnsi="宋体" w:hint="eastAsia"/>
          <w:sz w:val="30"/>
          <w:szCs w:val="30"/>
        </w:rPr>
        <w:t>是经中国银监会批准设立</w:t>
      </w:r>
      <w:r w:rsidR="00365716" w:rsidRPr="00272D5B">
        <w:rPr>
          <w:rFonts w:ascii="宋体" w:eastAsia="宋体" w:hAnsi="宋体" w:hint="eastAsia"/>
          <w:sz w:val="30"/>
          <w:szCs w:val="30"/>
        </w:rPr>
        <w:t>的汽车金融公司</w:t>
      </w:r>
      <w:r w:rsidR="001422A9" w:rsidRPr="00272D5B">
        <w:rPr>
          <w:rFonts w:ascii="宋体" w:eastAsia="宋体" w:hAnsi="宋体" w:hint="eastAsia"/>
          <w:sz w:val="30"/>
          <w:szCs w:val="30"/>
        </w:rPr>
        <w:t>，</w:t>
      </w:r>
      <w:r w:rsidR="00365716" w:rsidRPr="00272D5B">
        <w:rPr>
          <w:rFonts w:ascii="宋体" w:eastAsia="宋体" w:hAnsi="宋体" w:hint="eastAsia"/>
          <w:sz w:val="30"/>
          <w:szCs w:val="30"/>
        </w:rPr>
        <w:t>于2012年9月正式对外营业，注册地在北京。北</w:t>
      </w:r>
      <w:proofErr w:type="gramStart"/>
      <w:r w:rsidR="00365716" w:rsidRPr="00272D5B">
        <w:rPr>
          <w:rFonts w:ascii="宋体" w:eastAsia="宋体" w:hAnsi="宋体" w:hint="eastAsia"/>
          <w:sz w:val="30"/>
          <w:szCs w:val="30"/>
        </w:rPr>
        <w:t>汽金融由</w:t>
      </w:r>
      <w:proofErr w:type="gramEnd"/>
      <w:r w:rsidR="00365716" w:rsidRPr="00272D5B">
        <w:rPr>
          <w:rFonts w:ascii="宋体" w:eastAsia="宋体" w:hAnsi="宋体" w:hint="eastAsia"/>
          <w:sz w:val="30"/>
          <w:szCs w:val="30"/>
        </w:rPr>
        <w:t>北京汽车投资有限公司、现代金融株式会社、北京现代汽车有限公司和现代自动车株式会社四方共同出资成立。</w:t>
      </w:r>
      <w:r w:rsidR="00AC6994" w:rsidRPr="00272D5B">
        <w:rPr>
          <w:rFonts w:ascii="宋体" w:eastAsia="宋体" w:hAnsi="宋体" w:hint="eastAsia"/>
          <w:sz w:val="30"/>
          <w:szCs w:val="30"/>
        </w:rPr>
        <w:t>公司</w:t>
      </w:r>
      <w:r w:rsidR="00365716" w:rsidRPr="00272D5B">
        <w:rPr>
          <w:rFonts w:ascii="宋体" w:eastAsia="宋体" w:hAnsi="宋体" w:hint="eastAsia"/>
          <w:sz w:val="30"/>
          <w:szCs w:val="30"/>
        </w:rPr>
        <w:t>富余北京现代汽车、东风</w:t>
      </w:r>
      <w:proofErr w:type="gramStart"/>
      <w:r w:rsidR="00365716" w:rsidRPr="00272D5B">
        <w:rPr>
          <w:rFonts w:ascii="宋体" w:eastAsia="宋体" w:hAnsi="宋体" w:hint="eastAsia"/>
          <w:sz w:val="30"/>
          <w:szCs w:val="30"/>
        </w:rPr>
        <w:t>悦达起亚</w:t>
      </w:r>
      <w:proofErr w:type="gramEnd"/>
      <w:r w:rsidR="00365716" w:rsidRPr="00272D5B">
        <w:rPr>
          <w:rFonts w:ascii="宋体" w:eastAsia="宋体" w:hAnsi="宋体" w:hint="eastAsia"/>
          <w:sz w:val="30"/>
          <w:szCs w:val="30"/>
        </w:rPr>
        <w:t>汽车、北京汽车、起</w:t>
      </w:r>
      <w:proofErr w:type="gramStart"/>
      <w:r w:rsidR="00365716" w:rsidRPr="00272D5B">
        <w:rPr>
          <w:rFonts w:ascii="宋体" w:eastAsia="宋体" w:hAnsi="宋体" w:hint="eastAsia"/>
          <w:sz w:val="30"/>
          <w:szCs w:val="30"/>
        </w:rPr>
        <w:t>亚进口</w:t>
      </w:r>
      <w:proofErr w:type="gramEnd"/>
      <w:r w:rsidR="00365716" w:rsidRPr="00272D5B">
        <w:rPr>
          <w:rFonts w:ascii="宋体" w:eastAsia="宋体" w:hAnsi="宋体" w:hint="eastAsia"/>
          <w:sz w:val="30"/>
          <w:szCs w:val="30"/>
        </w:rPr>
        <w:t>汽车和四川先到汽车五大品牌，也无涉足零售金融、库存融资和二手车金融等，在国内汽车金融公司中名列前茅。</w:t>
      </w:r>
      <w:r w:rsidR="008F4ADC" w:rsidRPr="00272D5B">
        <w:rPr>
          <w:rFonts w:ascii="宋体" w:eastAsia="宋体" w:hAnsi="宋体" w:hint="eastAsia"/>
          <w:sz w:val="30"/>
          <w:szCs w:val="30"/>
        </w:rPr>
        <w:t>截至目前公司未发生任何违约情况，各项监管指标均处正常状态。</w:t>
      </w:r>
    </w:p>
    <w:p w:rsidR="00271129" w:rsidRDefault="00271129" w:rsidP="00B36784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272D5B">
        <w:rPr>
          <w:rFonts w:ascii="宋体" w:eastAsia="宋体" w:hAnsi="宋体" w:hint="eastAsia"/>
          <w:sz w:val="30"/>
          <w:szCs w:val="30"/>
        </w:rPr>
        <w:t>截止2018年9月末，公司总资产</w:t>
      </w:r>
      <w:r w:rsidR="000D66B0" w:rsidRPr="00272D5B">
        <w:rPr>
          <w:rFonts w:ascii="宋体" w:eastAsia="宋体" w:hAnsi="宋体" w:hint="eastAsia"/>
          <w:sz w:val="30"/>
          <w:szCs w:val="30"/>
        </w:rPr>
        <w:t>314.75</w:t>
      </w:r>
      <w:r w:rsidRPr="00272D5B">
        <w:rPr>
          <w:rFonts w:ascii="宋体" w:eastAsia="宋体" w:hAnsi="宋体" w:hint="eastAsia"/>
          <w:sz w:val="30"/>
          <w:szCs w:val="30"/>
        </w:rPr>
        <w:t>亿元，总负债</w:t>
      </w:r>
      <w:r w:rsidR="000D66B0" w:rsidRPr="00272D5B">
        <w:rPr>
          <w:rFonts w:ascii="宋体" w:eastAsia="宋体" w:hAnsi="宋体" w:hint="eastAsia"/>
          <w:sz w:val="30"/>
          <w:szCs w:val="30"/>
        </w:rPr>
        <w:t>254.54</w:t>
      </w:r>
      <w:r w:rsidRPr="00272D5B">
        <w:rPr>
          <w:rFonts w:ascii="宋体" w:eastAsia="宋体" w:hAnsi="宋体" w:hint="eastAsia"/>
          <w:sz w:val="30"/>
          <w:szCs w:val="30"/>
        </w:rPr>
        <w:t>亿元，股东权益合计</w:t>
      </w:r>
      <w:r w:rsidR="000D66B0" w:rsidRPr="00272D5B">
        <w:rPr>
          <w:rFonts w:ascii="宋体" w:eastAsia="宋体" w:hAnsi="宋体" w:hint="eastAsia"/>
          <w:sz w:val="30"/>
          <w:szCs w:val="30"/>
        </w:rPr>
        <w:t>60.21</w:t>
      </w:r>
      <w:r w:rsidRPr="00272D5B">
        <w:rPr>
          <w:rFonts w:ascii="宋体" w:eastAsia="宋体" w:hAnsi="宋体" w:hint="eastAsia"/>
          <w:sz w:val="30"/>
          <w:szCs w:val="30"/>
        </w:rPr>
        <w:t>亿元。营业收入</w:t>
      </w:r>
      <w:r w:rsidR="000D66B0" w:rsidRPr="00272D5B">
        <w:rPr>
          <w:rFonts w:ascii="宋体" w:eastAsia="宋体" w:hAnsi="宋体" w:hint="eastAsia"/>
          <w:sz w:val="30"/>
          <w:szCs w:val="30"/>
        </w:rPr>
        <w:t>14.35</w:t>
      </w:r>
      <w:r w:rsidRPr="00272D5B">
        <w:rPr>
          <w:rFonts w:ascii="宋体" w:eastAsia="宋体" w:hAnsi="宋体" w:hint="eastAsia"/>
          <w:sz w:val="30"/>
          <w:szCs w:val="30"/>
        </w:rPr>
        <w:t>亿元，净利润</w:t>
      </w:r>
      <w:r w:rsidR="000D66B0" w:rsidRPr="00272D5B">
        <w:rPr>
          <w:rFonts w:ascii="宋体" w:eastAsia="宋体" w:hAnsi="宋体" w:hint="eastAsia"/>
          <w:sz w:val="30"/>
          <w:szCs w:val="30"/>
        </w:rPr>
        <w:t>5.56</w:t>
      </w:r>
      <w:r w:rsidRPr="00272D5B">
        <w:rPr>
          <w:rFonts w:ascii="宋体" w:eastAsia="宋体" w:hAnsi="宋体" w:hint="eastAsia"/>
          <w:sz w:val="30"/>
          <w:szCs w:val="30"/>
        </w:rPr>
        <w:t>亿元，资产负债率</w:t>
      </w:r>
      <w:r w:rsidR="000D66B0" w:rsidRPr="00272D5B">
        <w:rPr>
          <w:rFonts w:ascii="宋体" w:eastAsia="宋体" w:hAnsi="宋体" w:hint="eastAsia"/>
          <w:sz w:val="30"/>
          <w:szCs w:val="30"/>
        </w:rPr>
        <w:t>80.87</w:t>
      </w:r>
      <w:r w:rsidRPr="00272D5B">
        <w:rPr>
          <w:rFonts w:ascii="宋体" w:eastAsia="宋体" w:hAnsi="宋体" w:hint="eastAsia"/>
          <w:sz w:val="30"/>
          <w:szCs w:val="30"/>
        </w:rPr>
        <w:t>%，净资产收益率</w:t>
      </w:r>
      <w:r w:rsidR="000D66B0" w:rsidRPr="00272D5B">
        <w:rPr>
          <w:rFonts w:ascii="宋体" w:eastAsia="宋体" w:hAnsi="宋体" w:hint="eastAsia"/>
          <w:sz w:val="30"/>
          <w:szCs w:val="30"/>
        </w:rPr>
        <w:t>10.58</w:t>
      </w:r>
      <w:r w:rsidRPr="00272D5B">
        <w:rPr>
          <w:rFonts w:ascii="宋体" w:eastAsia="宋体" w:hAnsi="宋体" w:hint="eastAsia"/>
          <w:sz w:val="30"/>
          <w:szCs w:val="30"/>
        </w:rPr>
        <w:t>%。</w:t>
      </w:r>
    </w:p>
    <w:p w:rsidR="000E6C57" w:rsidRPr="000E6C57" w:rsidRDefault="000E6C57" w:rsidP="003F5575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/>
          <w:b/>
          <w:sz w:val="30"/>
          <w:szCs w:val="30"/>
        </w:rPr>
      </w:pPr>
      <w:bookmarkStart w:id="4" w:name="_GoBack"/>
      <w:bookmarkStart w:id="5" w:name="_Toc534991189"/>
      <w:bookmarkStart w:id="6" w:name="_Toc535241643"/>
      <w:bookmarkEnd w:id="4"/>
      <w:r w:rsidRPr="000E6C57">
        <w:rPr>
          <w:rFonts w:ascii="宋体" w:eastAsia="宋体" w:hAnsi="宋体" w:hint="eastAsia"/>
          <w:b/>
          <w:sz w:val="30"/>
          <w:szCs w:val="30"/>
        </w:rPr>
        <w:lastRenderedPageBreak/>
        <w:t>2018年第4季度财务会计报告</w:t>
      </w:r>
      <w:bookmarkEnd w:id="5"/>
      <w:bookmarkEnd w:id="6"/>
    </w:p>
    <w:p w:rsidR="000E6C57" w:rsidRDefault="000E6C57" w:rsidP="000E6C57">
      <w:pPr>
        <w:pStyle w:val="a9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7" w:name="_Toc534991190"/>
      <w:bookmarkStart w:id="8" w:name="_Toc535241644"/>
      <w:r>
        <w:rPr>
          <w:rFonts w:ascii="宋体" w:eastAsia="宋体" w:hAnsi="宋体" w:cs="Times New Roman" w:hint="eastAsia"/>
          <w:b/>
          <w:sz w:val="30"/>
          <w:szCs w:val="30"/>
        </w:rPr>
        <w:t>资产负债表</w:t>
      </w:r>
      <w:bookmarkEnd w:id="7"/>
      <w:bookmarkEnd w:id="8"/>
    </w:p>
    <w:p w:rsidR="000E6C57" w:rsidRDefault="000E6C57" w:rsidP="000E6C57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095F05">
        <w:rPr>
          <w:rFonts w:ascii="宋体" w:eastAsia="宋体" w:hAnsi="宋体" w:cs="Times New Roman" w:hint="eastAsia"/>
          <w:sz w:val="22"/>
        </w:rPr>
        <w:t>会计主体：</w:t>
      </w:r>
      <w:r w:rsidRPr="000E6C57">
        <w:rPr>
          <w:rFonts w:ascii="宋体" w:eastAsia="宋体" w:hAnsi="宋体" w:cs="宋体" w:hint="eastAsia"/>
          <w:color w:val="000000"/>
          <w:kern w:val="0"/>
          <w:sz w:val="22"/>
        </w:rPr>
        <w:t>兴业银行“万利宝-聚利”2018年第4期封闭式净值型理财产品(北京专属)</w:t>
      </w:r>
    </w:p>
    <w:p w:rsidR="000E6C57" w:rsidRDefault="000E6C57" w:rsidP="000E6C57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1560" w:type="dxa"/>
        <w:jc w:val="center"/>
        <w:tblInd w:w="93" w:type="dxa"/>
        <w:tblLook w:val="04A0"/>
      </w:tblPr>
      <w:tblGrid>
        <w:gridCol w:w="1440"/>
        <w:gridCol w:w="2020"/>
        <w:gridCol w:w="1960"/>
        <w:gridCol w:w="2060"/>
        <w:gridCol w:w="2040"/>
        <w:gridCol w:w="2040"/>
      </w:tblGrid>
      <w:tr w:rsidR="00293B40" w:rsidRPr="00293B40" w:rsidTr="00293B40">
        <w:trPr>
          <w:trHeight w:val="30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254CD0" w:rsidRPr="00293B40" w:rsidTr="00293B40"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4CD0" w:rsidRPr="00293B40" w:rsidRDefault="00254CD0" w:rsidP="00293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    产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4CD0" w:rsidRDefault="00254CD0" w:rsidP="00293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254CD0" w:rsidRPr="00293B40" w:rsidRDefault="00254CD0" w:rsidP="00293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4CD0" w:rsidRDefault="00254CD0" w:rsidP="00293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254CD0" w:rsidRPr="00293B40" w:rsidRDefault="00254CD0" w:rsidP="00293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4CD0" w:rsidRPr="00293B40" w:rsidRDefault="00254CD0" w:rsidP="00293B4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4CD0" w:rsidRDefault="00254CD0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  <w:p w:rsidR="00254CD0" w:rsidRPr="00293B40" w:rsidRDefault="00254CD0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（2018年12月31日）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4CD0" w:rsidRDefault="00254CD0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  <w:p w:rsidR="00254CD0" w:rsidRPr="00293B40" w:rsidRDefault="00254CD0" w:rsidP="006D3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（2018年9月30日）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7,585,371.12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3,983,590.34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结算备付金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258,200,000.00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258,200,000.00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305,252.64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54,509.40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资产支持证券投资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8,032.64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1,434.40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同业借出投资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258,200,000.00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258,200,000.00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120,495.20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21,517.00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436,700.77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395,800.10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433,780.48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77,460.80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递延所得税资产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4B3D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</w:t>
            </w:r>
            <w:r w:rsidR="004B3D57">
              <w:rPr>
                <w:rFonts w:ascii="宋体" w:eastAsia="宋体" w:hAnsi="宋体" w:cs="宋体" w:hint="eastAsia"/>
                <w:kern w:val="0"/>
                <w:sz w:val="22"/>
              </w:rPr>
              <w:t>资本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261,789,000.00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261,789,000.00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3,999,291.41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712,929.64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293B40" w:rsidRPr="00293B40" w:rsidTr="00293B40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265,788,291.41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262,501,929.64 </w:t>
            </w:r>
          </w:p>
        </w:tc>
      </w:tr>
      <w:tr w:rsidR="00293B40" w:rsidRPr="00293B40" w:rsidTr="00293B40">
        <w:trPr>
          <w:trHeight w:val="58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266,222,071.89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262,579,390.44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266,222,071.89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262,579,390.44 </w:t>
            </w:r>
          </w:p>
        </w:tc>
      </w:tr>
      <w:tr w:rsidR="00293B40" w:rsidRPr="00293B40" w:rsidTr="00293B40">
        <w:trPr>
          <w:trHeight w:val="64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4B3D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附注：</w:t>
            </w:r>
            <w:r w:rsidR="004B3D57">
              <w:rPr>
                <w:rFonts w:ascii="宋体" w:eastAsia="宋体" w:hAnsi="宋体" w:cs="宋体" w:hint="eastAsia"/>
                <w:kern w:val="0"/>
                <w:sz w:val="22"/>
              </w:rPr>
              <w:t>产品</w:t>
            </w: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份额净值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265,788,291.41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4B3D5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4B3D57">
              <w:rPr>
                <w:rFonts w:ascii="宋体" w:eastAsia="宋体" w:hAnsi="宋体" w:cs="宋体" w:hint="eastAsia"/>
                <w:kern w:val="0"/>
                <w:sz w:val="22"/>
              </w:rPr>
              <w:t>产品</w:t>
            </w: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份额总额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 xml:space="preserve"> 261,789,000.00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3B40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B40" w:rsidRPr="00293B40" w:rsidRDefault="00293B40" w:rsidP="00293B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B3D57" w:rsidRPr="004B3D57" w:rsidRDefault="004B3D57" w:rsidP="004B3D57">
      <w:pPr>
        <w:pStyle w:val="a9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9" w:name="_Toc535241645"/>
      <w:r w:rsidRPr="004B3D57">
        <w:rPr>
          <w:rFonts w:ascii="宋体" w:eastAsia="宋体" w:hAnsi="宋体" w:cs="Times New Roman" w:hint="eastAsia"/>
          <w:b/>
          <w:sz w:val="30"/>
          <w:szCs w:val="30"/>
        </w:rPr>
        <w:t>利润表</w:t>
      </w:r>
      <w:bookmarkEnd w:id="9"/>
    </w:p>
    <w:p w:rsidR="00293B40" w:rsidRPr="004B3D57" w:rsidRDefault="00293B40" w:rsidP="004B3D57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8938CF">
        <w:rPr>
          <w:rFonts w:ascii="宋体" w:eastAsia="宋体" w:hAnsi="宋体" w:cs="Times New Roman" w:hint="eastAsia"/>
          <w:sz w:val="22"/>
        </w:rPr>
        <w:t>会计主体：</w:t>
      </w:r>
      <w:r w:rsidR="004B3D57" w:rsidRPr="000E6C57">
        <w:rPr>
          <w:rFonts w:ascii="宋体" w:eastAsia="宋体" w:hAnsi="宋体" w:cs="宋体" w:hint="eastAsia"/>
          <w:color w:val="000000"/>
          <w:kern w:val="0"/>
          <w:sz w:val="22"/>
        </w:rPr>
        <w:t>兴业银行“万利宝-聚利”2018年第4期封闭式净值型理财产品(北京专属)</w:t>
      </w:r>
    </w:p>
    <w:p w:rsidR="00293B40" w:rsidRDefault="00293B40" w:rsidP="00293B40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本报告期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2018年10月1日至</w:t>
      </w:r>
      <w:r w:rsidRPr="008938CF">
        <w:rPr>
          <w:rFonts w:ascii="宋体" w:eastAsia="宋体" w:hAnsi="宋体" w:cs="宋体" w:hint="eastAsia"/>
          <w:color w:val="000000"/>
          <w:kern w:val="0"/>
          <w:sz w:val="22"/>
        </w:rPr>
        <w:t>2018年12月31日</w:t>
      </w:r>
    </w:p>
    <w:tbl>
      <w:tblPr>
        <w:tblW w:w="9120" w:type="dxa"/>
        <w:jc w:val="center"/>
        <w:tblInd w:w="93" w:type="dxa"/>
        <w:tblLook w:val="04A0"/>
      </w:tblPr>
      <w:tblGrid>
        <w:gridCol w:w="222"/>
        <w:gridCol w:w="222"/>
        <w:gridCol w:w="4449"/>
        <w:gridCol w:w="700"/>
        <w:gridCol w:w="1920"/>
        <w:gridCol w:w="1920"/>
      </w:tblGrid>
      <w:tr w:rsidR="00746DA0" w:rsidRPr="00746DA0" w:rsidTr="00746DA0">
        <w:trPr>
          <w:trHeight w:val="300"/>
          <w:jc w:val="center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3,642,681.45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4,433,071.89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3,642,681.45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4,433,071.89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13,537.01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14,983.02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3,629,144.44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4,418,088.87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356,319.68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433,780.48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250,743.24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305,252.64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6,598.24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8,032.64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98,978.20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120,495.20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3,286,361.77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3,999,291.41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3,286,361.77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3,999,291.41 </w:t>
            </w:r>
          </w:p>
        </w:tc>
      </w:tr>
    </w:tbl>
    <w:p w:rsidR="004B3D57" w:rsidRDefault="004B3D57" w:rsidP="00293B40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</w:p>
    <w:p w:rsidR="004B3D57" w:rsidRPr="00746DA0" w:rsidRDefault="004B3D57" w:rsidP="00293B40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</w:p>
    <w:p w:rsidR="00DF2704" w:rsidRPr="004B3D57" w:rsidRDefault="004B3D57" w:rsidP="003F5575">
      <w:pPr>
        <w:pStyle w:val="a9"/>
        <w:numPr>
          <w:ilvl w:val="0"/>
          <w:numId w:val="3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0" w:name="_Toc535241646"/>
      <w:r w:rsidRPr="004B3D57">
        <w:rPr>
          <w:rFonts w:ascii="宋体" w:eastAsia="宋体" w:hAnsi="宋体" w:hint="eastAsia"/>
          <w:b/>
          <w:sz w:val="30"/>
          <w:szCs w:val="30"/>
        </w:rPr>
        <w:t>所有者权益（产品净值）变动表</w:t>
      </w:r>
      <w:bookmarkEnd w:id="10"/>
    </w:p>
    <w:p w:rsidR="004B3D57" w:rsidRPr="004B3D57" w:rsidRDefault="004B3D57" w:rsidP="004B3D57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4B3D57">
        <w:rPr>
          <w:rFonts w:ascii="宋体" w:eastAsia="宋体" w:hAnsi="宋体" w:cs="Times New Roman" w:hint="eastAsia"/>
          <w:sz w:val="22"/>
        </w:rPr>
        <w:t>会计主体：</w:t>
      </w:r>
      <w:r w:rsidRPr="004B3D57">
        <w:rPr>
          <w:rFonts w:ascii="宋体" w:eastAsia="宋体" w:hAnsi="宋体" w:cs="宋体" w:hint="eastAsia"/>
          <w:color w:val="000000"/>
          <w:kern w:val="0"/>
          <w:sz w:val="22"/>
        </w:rPr>
        <w:t>兴业银行“万利宝-聚利”2018年第4期封闭式净值型理财产品(北京专属)</w:t>
      </w:r>
    </w:p>
    <w:p w:rsidR="004B3D57" w:rsidRPr="004B3D57" w:rsidRDefault="004B3D57" w:rsidP="004B3D57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4B3D57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9840" w:type="dxa"/>
        <w:jc w:val="center"/>
        <w:tblInd w:w="93" w:type="dxa"/>
        <w:tblLook w:val="04A0"/>
      </w:tblPr>
      <w:tblGrid>
        <w:gridCol w:w="4060"/>
        <w:gridCol w:w="1960"/>
        <w:gridCol w:w="1840"/>
        <w:gridCol w:w="1980"/>
      </w:tblGrid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746DA0" w:rsidRPr="00746DA0" w:rsidTr="00746DA0">
        <w:trPr>
          <w:trHeight w:val="402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本期金额</w:t>
            </w:r>
          </w:p>
        </w:tc>
      </w:tr>
      <w:tr w:rsidR="00746DA0" w:rsidRPr="00746DA0" w:rsidTr="00746DA0">
        <w:trPr>
          <w:trHeight w:val="402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实收基金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261,789,000.00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712,929.64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262,501,929.64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3,286,361.77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3,286,361.77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三、本期基金份额交易产生的基金净值变动数（净值减少以“-”号填列）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其中：1.基金申购款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2.基金</w:t>
            </w:r>
            <w:proofErr w:type="gramStart"/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261,789,000.00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3,999,291.41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265,788,291.41 </w:t>
            </w:r>
          </w:p>
        </w:tc>
      </w:tr>
      <w:tr w:rsidR="00746DA0" w:rsidRPr="00746DA0" w:rsidTr="00746DA0">
        <w:trPr>
          <w:trHeight w:val="402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上期金额</w:t>
            </w:r>
          </w:p>
        </w:tc>
      </w:tr>
      <w:tr w:rsidR="00746DA0" w:rsidRPr="00746DA0" w:rsidTr="00746DA0">
        <w:trPr>
          <w:trHeight w:val="402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实收基金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A0" w:rsidRPr="00746DA0" w:rsidRDefault="00746DA0" w:rsidP="00746D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712,929.64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712,929.64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三、本期基金份额交易产生的基金净值变动数（净值减少以“-”号填列）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261,789,000.00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261,789,000.00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其中：1.基金申购款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261,789,000.00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261,789,000.00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2.基金</w:t>
            </w:r>
            <w:proofErr w:type="gramStart"/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746DA0" w:rsidRPr="00746DA0" w:rsidTr="00746DA0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261,789,000.00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712,929.64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0" w:rsidRPr="00746DA0" w:rsidRDefault="00746DA0" w:rsidP="00746D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262,501,929.64 </w:t>
            </w:r>
          </w:p>
        </w:tc>
      </w:tr>
    </w:tbl>
    <w:p w:rsidR="004B3D57" w:rsidRPr="004B3D57" w:rsidRDefault="004B3D57" w:rsidP="004B3D57">
      <w:pPr>
        <w:pStyle w:val="a9"/>
        <w:ind w:left="1080" w:firstLineChars="0" w:firstLine="0"/>
        <w:rPr>
          <w:rFonts w:ascii="宋体" w:eastAsia="宋体" w:hAnsi="宋体"/>
          <w:sz w:val="30"/>
          <w:szCs w:val="30"/>
        </w:rPr>
      </w:pPr>
    </w:p>
    <w:p w:rsidR="00847E5F" w:rsidRPr="00847E5F" w:rsidRDefault="00847E5F" w:rsidP="00847E5F">
      <w:pPr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1" w:name="_Toc534991193"/>
    </w:p>
    <w:p w:rsidR="00847E5F" w:rsidRPr="009C05D0" w:rsidRDefault="00847E5F" w:rsidP="009C05D0">
      <w:pPr>
        <w:pStyle w:val="a9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2" w:name="_Toc535241647"/>
      <w:r>
        <w:rPr>
          <w:rFonts w:ascii="宋体" w:eastAsia="宋体" w:hAnsi="宋体" w:cs="Times New Roman" w:hint="eastAsia"/>
          <w:b/>
          <w:sz w:val="30"/>
          <w:szCs w:val="30"/>
        </w:rPr>
        <w:t>投资组合情况</w:t>
      </w:r>
      <w:bookmarkEnd w:id="12"/>
    </w:p>
    <w:p w:rsidR="00847E5F" w:rsidRDefault="00847E5F" w:rsidP="00847E5F">
      <w:pPr>
        <w:pStyle w:val="a9"/>
        <w:numPr>
          <w:ilvl w:val="0"/>
          <w:numId w:val="5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3" w:name="_Toc534991194"/>
      <w:bookmarkStart w:id="14" w:name="_Toc535241648"/>
      <w:bookmarkEnd w:id="11"/>
      <w:r w:rsidRPr="003B74B6">
        <w:rPr>
          <w:rFonts w:ascii="宋体" w:eastAsia="宋体" w:hAnsi="宋体" w:hint="eastAsia"/>
          <w:b/>
          <w:sz w:val="30"/>
          <w:szCs w:val="30"/>
        </w:rPr>
        <w:t>报告期末产品资产组合情况</w:t>
      </w:r>
      <w:bookmarkEnd w:id="13"/>
      <w:bookmarkEnd w:id="14"/>
    </w:p>
    <w:tbl>
      <w:tblPr>
        <w:tblW w:w="3280" w:type="dxa"/>
        <w:jc w:val="center"/>
        <w:tblInd w:w="93" w:type="dxa"/>
        <w:tblLook w:val="04A0"/>
      </w:tblPr>
      <w:tblGrid>
        <w:gridCol w:w="2200"/>
        <w:gridCol w:w="1080"/>
      </w:tblGrid>
      <w:tr w:rsidR="00292CCE" w:rsidRPr="00292CCE" w:rsidTr="00292CCE">
        <w:trPr>
          <w:trHeight w:val="270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BC5B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资产类型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BC5B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占比</w:t>
            </w:r>
          </w:p>
        </w:tc>
      </w:tr>
      <w:tr w:rsidR="00292CCE" w:rsidRPr="00292CCE" w:rsidTr="00292CCE">
        <w:trPr>
          <w:trHeight w:val="27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2.82%</w:t>
            </w:r>
          </w:p>
        </w:tc>
      </w:tr>
      <w:tr w:rsidR="00292CCE" w:rsidRPr="00292CCE" w:rsidTr="00292CCE">
        <w:trPr>
          <w:trHeight w:val="27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97.18%</w:t>
            </w:r>
          </w:p>
        </w:tc>
      </w:tr>
      <w:tr w:rsidR="00292CCE" w:rsidRPr="00292CCE" w:rsidTr="00292CCE">
        <w:trPr>
          <w:trHeight w:val="27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292CCE" w:rsidRPr="00292CCE" w:rsidRDefault="00292CCE" w:rsidP="00292C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2C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:rsidR="00847E5F" w:rsidRPr="00292CCE" w:rsidRDefault="00847E5F" w:rsidP="00292CCE">
      <w:pPr>
        <w:ind w:left="720" w:firstLine="420"/>
        <w:rPr>
          <w:rFonts w:ascii="宋体" w:eastAsia="宋体" w:hAnsi="宋体" w:cs="Times New Roman"/>
          <w:sz w:val="30"/>
          <w:szCs w:val="30"/>
        </w:rPr>
      </w:pPr>
      <w:r w:rsidRPr="00292CCE">
        <w:rPr>
          <w:rFonts w:ascii="宋体" w:eastAsia="宋体" w:hAnsi="宋体" w:cs="Times New Roman" w:hint="eastAsia"/>
          <w:sz w:val="30"/>
          <w:szCs w:val="30"/>
        </w:rPr>
        <w:t>上述资产组合中，各类资产投资比例在协议约定的范围内。</w:t>
      </w:r>
    </w:p>
    <w:p w:rsidR="00847E5F" w:rsidRPr="00462F45" w:rsidRDefault="00847E5F" w:rsidP="00847E5F">
      <w:pPr>
        <w:pStyle w:val="a9"/>
        <w:numPr>
          <w:ilvl w:val="0"/>
          <w:numId w:val="5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5" w:name="_Toc534991195"/>
      <w:bookmarkStart w:id="16" w:name="_Toc535241649"/>
      <w:r w:rsidRPr="00462F45">
        <w:rPr>
          <w:rFonts w:ascii="宋体" w:eastAsia="宋体" w:hAnsi="宋体" w:hint="eastAsia"/>
          <w:b/>
          <w:sz w:val="30"/>
          <w:szCs w:val="30"/>
        </w:rPr>
        <w:t>报告期末杠杆融资情况</w:t>
      </w:r>
      <w:bookmarkEnd w:id="15"/>
      <w:bookmarkEnd w:id="16"/>
    </w:p>
    <w:p w:rsidR="00847E5F" w:rsidRPr="00462F45" w:rsidRDefault="00847E5F" w:rsidP="00847E5F">
      <w:pPr>
        <w:pStyle w:val="a9"/>
        <w:ind w:left="1080" w:firstLineChars="0" w:firstLine="0"/>
        <w:rPr>
          <w:rFonts w:ascii="宋体" w:eastAsia="宋体" w:hAnsi="宋体"/>
          <w:sz w:val="30"/>
          <w:szCs w:val="30"/>
        </w:rPr>
      </w:pPr>
      <w:r w:rsidRPr="00462F45">
        <w:rPr>
          <w:rFonts w:ascii="宋体" w:eastAsia="宋体" w:hAnsi="宋体" w:hint="eastAsia"/>
          <w:sz w:val="30"/>
          <w:szCs w:val="30"/>
        </w:rPr>
        <w:t>无。</w:t>
      </w:r>
    </w:p>
    <w:p w:rsidR="00847E5F" w:rsidRPr="00462F45" w:rsidRDefault="00847E5F" w:rsidP="00847E5F">
      <w:pPr>
        <w:pStyle w:val="a9"/>
        <w:numPr>
          <w:ilvl w:val="0"/>
          <w:numId w:val="5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7" w:name="_Toc534991196"/>
      <w:bookmarkStart w:id="18" w:name="_Toc535241650"/>
      <w:r w:rsidRPr="00462F45">
        <w:rPr>
          <w:rFonts w:ascii="宋体" w:eastAsia="宋体" w:hAnsi="宋体" w:hint="eastAsia"/>
          <w:b/>
          <w:sz w:val="30"/>
          <w:szCs w:val="30"/>
        </w:rPr>
        <w:t>报告期末资产持仓前</w:t>
      </w:r>
      <w:proofErr w:type="gramStart"/>
      <w:r w:rsidRPr="00462F45">
        <w:rPr>
          <w:rFonts w:ascii="宋体" w:eastAsia="宋体" w:hAnsi="宋体" w:hint="eastAsia"/>
          <w:b/>
          <w:sz w:val="30"/>
          <w:szCs w:val="30"/>
        </w:rPr>
        <w:t>十基本</w:t>
      </w:r>
      <w:proofErr w:type="gramEnd"/>
      <w:r w:rsidRPr="00462F45">
        <w:rPr>
          <w:rFonts w:ascii="宋体" w:eastAsia="宋体" w:hAnsi="宋体" w:hint="eastAsia"/>
          <w:b/>
          <w:sz w:val="30"/>
          <w:szCs w:val="30"/>
        </w:rPr>
        <w:t>信息</w:t>
      </w:r>
      <w:bookmarkEnd w:id="17"/>
      <w:bookmarkEnd w:id="18"/>
    </w:p>
    <w:tbl>
      <w:tblPr>
        <w:tblW w:w="6637" w:type="dxa"/>
        <w:jc w:val="center"/>
        <w:tblInd w:w="93" w:type="dxa"/>
        <w:tblLook w:val="04A0"/>
      </w:tblPr>
      <w:tblGrid>
        <w:gridCol w:w="1718"/>
        <w:gridCol w:w="2410"/>
        <w:gridCol w:w="1896"/>
        <w:gridCol w:w="1080"/>
      </w:tblGrid>
      <w:tr w:rsidR="00847E5F" w:rsidRPr="00462F45" w:rsidTr="00292CCE">
        <w:trPr>
          <w:trHeight w:val="28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5F" w:rsidRPr="00462F45" w:rsidRDefault="00847E5F" w:rsidP="009C05D0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5F" w:rsidRPr="00462F45" w:rsidRDefault="00847E5F" w:rsidP="009C05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5F" w:rsidRPr="00462F45" w:rsidRDefault="00847E5F" w:rsidP="009C05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5F" w:rsidRPr="00462F45" w:rsidRDefault="00847E5F" w:rsidP="009C05D0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847E5F" w:rsidRPr="00462F45" w:rsidTr="00292CCE">
        <w:trPr>
          <w:trHeight w:val="285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5F" w:rsidRDefault="00847E5F" w:rsidP="009C05D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:rsidR="00847E5F" w:rsidRPr="00462F45" w:rsidRDefault="00847E5F" w:rsidP="009C05D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5F" w:rsidRPr="00462F45" w:rsidRDefault="00292CCE" w:rsidP="009C05D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92CC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同业借款20180511-北京现代汽车金融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5F" w:rsidRPr="00462F45" w:rsidRDefault="00292CCE" w:rsidP="009C05D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92CCE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258,200,000.00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5F" w:rsidRDefault="00847E5F" w:rsidP="009C05D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:rsidR="00847E5F" w:rsidRPr="00462F45" w:rsidRDefault="00847E5F" w:rsidP="00292CC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97.1</w:t>
            </w:r>
            <w:r w:rsidR="00292CC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8%</w:t>
            </w:r>
          </w:p>
        </w:tc>
      </w:tr>
    </w:tbl>
    <w:p w:rsidR="00847E5F" w:rsidRPr="00462F45" w:rsidRDefault="00847E5F" w:rsidP="00847E5F">
      <w:pPr>
        <w:ind w:firstLine="570"/>
        <w:rPr>
          <w:rFonts w:ascii="宋体" w:eastAsia="宋体" w:hAnsi="宋体" w:cs="宋体"/>
          <w:sz w:val="28"/>
          <w:szCs w:val="24"/>
        </w:rPr>
      </w:pPr>
    </w:p>
    <w:p w:rsidR="00847E5F" w:rsidRPr="00580FF4" w:rsidRDefault="00847E5F" w:rsidP="00847E5F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847E5F" w:rsidRPr="00580FF4" w:rsidRDefault="00847E5F" w:rsidP="00847E5F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4B3D57" w:rsidRPr="004B3D57" w:rsidRDefault="004B3D57" w:rsidP="004B3D57">
      <w:pPr>
        <w:pStyle w:val="a9"/>
        <w:ind w:left="1080" w:firstLineChars="0" w:firstLine="0"/>
        <w:rPr>
          <w:rFonts w:ascii="宋体" w:eastAsia="宋体" w:hAnsi="宋体"/>
          <w:sz w:val="30"/>
          <w:szCs w:val="30"/>
        </w:rPr>
      </w:pPr>
    </w:p>
    <w:sectPr w:rsidR="004B3D57" w:rsidRPr="004B3D57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A5" w:rsidRDefault="00A137A5" w:rsidP="00E42B11">
      <w:r>
        <w:separator/>
      </w:r>
    </w:p>
  </w:endnote>
  <w:endnote w:type="continuationSeparator" w:id="0">
    <w:p w:rsidR="00A137A5" w:rsidRDefault="00A137A5" w:rsidP="00E4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A5" w:rsidRDefault="00A137A5" w:rsidP="00E42B11">
      <w:r>
        <w:separator/>
      </w:r>
    </w:p>
  </w:footnote>
  <w:footnote w:type="continuationSeparator" w:id="0">
    <w:p w:rsidR="00A137A5" w:rsidRDefault="00A137A5" w:rsidP="00E42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0ED"/>
    <w:multiLevelType w:val="hybridMultilevel"/>
    <w:tmpl w:val="9A449612"/>
    <w:lvl w:ilvl="0" w:tplc="5B4CE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9DF5B12"/>
    <w:multiLevelType w:val="hybridMultilevel"/>
    <w:tmpl w:val="C2FA9314"/>
    <w:lvl w:ilvl="0" w:tplc="0EAA072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96DE1"/>
    <w:multiLevelType w:val="hybridMultilevel"/>
    <w:tmpl w:val="193085E4"/>
    <w:lvl w:ilvl="0" w:tplc="49862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10767C8"/>
    <w:multiLevelType w:val="hybridMultilevel"/>
    <w:tmpl w:val="497C8204"/>
    <w:lvl w:ilvl="0" w:tplc="57C2288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CB2957"/>
    <w:multiLevelType w:val="hybridMultilevel"/>
    <w:tmpl w:val="9A449612"/>
    <w:lvl w:ilvl="0" w:tplc="5B4CE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B11"/>
    <w:rsid w:val="00026241"/>
    <w:rsid w:val="00034EB6"/>
    <w:rsid w:val="000447A7"/>
    <w:rsid w:val="00067D54"/>
    <w:rsid w:val="00076FD4"/>
    <w:rsid w:val="000775FC"/>
    <w:rsid w:val="0009558A"/>
    <w:rsid w:val="000A20E0"/>
    <w:rsid w:val="000B2D52"/>
    <w:rsid w:val="000D66B0"/>
    <w:rsid w:val="000E6C57"/>
    <w:rsid w:val="001123E8"/>
    <w:rsid w:val="00121FC0"/>
    <w:rsid w:val="001422A9"/>
    <w:rsid w:val="0016001C"/>
    <w:rsid w:val="001610B6"/>
    <w:rsid w:val="00165214"/>
    <w:rsid w:val="001769C2"/>
    <w:rsid w:val="0018246E"/>
    <w:rsid w:val="001D023B"/>
    <w:rsid w:val="001D2F7A"/>
    <w:rsid w:val="001F1BB1"/>
    <w:rsid w:val="001F1FC7"/>
    <w:rsid w:val="001F2ACD"/>
    <w:rsid w:val="001F7B76"/>
    <w:rsid w:val="0020760D"/>
    <w:rsid w:val="00213086"/>
    <w:rsid w:val="002245B7"/>
    <w:rsid w:val="00232904"/>
    <w:rsid w:val="00254CD0"/>
    <w:rsid w:val="00265805"/>
    <w:rsid w:val="00271129"/>
    <w:rsid w:val="00272D5B"/>
    <w:rsid w:val="0028693D"/>
    <w:rsid w:val="00292CCE"/>
    <w:rsid w:val="00293B40"/>
    <w:rsid w:val="002979A4"/>
    <w:rsid w:val="002A28C4"/>
    <w:rsid w:val="002B5EE3"/>
    <w:rsid w:val="002E53B1"/>
    <w:rsid w:val="002E79A4"/>
    <w:rsid w:val="003323FF"/>
    <w:rsid w:val="00347423"/>
    <w:rsid w:val="003524F8"/>
    <w:rsid w:val="00365716"/>
    <w:rsid w:val="003B3D31"/>
    <w:rsid w:val="003B7DBD"/>
    <w:rsid w:val="003C6D13"/>
    <w:rsid w:val="003D1418"/>
    <w:rsid w:val="003F5575"/>
    <w:rsid w:val="0040702C"/>
    <w:rsid w:val="0041186A"/>
    <w:rsid w:val="00416ECC"/>
    <w:rsid w:val="0042124E"/>
    <w:rsid w:val="00430AE5"/>
    <w:rsid w:val="00480C55"/>
    <w:rsid w:val="004A59D4"/>
    <w:rsid w:val="004B01BE"/>
    <w:rsid w:val="004B11FA"/>
    <w:rsid w:val="004B3D57"/>
    <w:rsid w:val="004B57EF"/>
    <w:rsid w:val="00504FE1"/>
    <w:rsid w:val="00525364"/>
    <w:rsid w:val="00527CDB"/>
    <w:rsid w:val="00535C36"/>
    <w:rsid w:val="00545CE3"/>
    <w:rsid w:val="00550BC4"/>
    <w:rsid w:val="00557F6B"/>
    <w:rsid w:val="00565E65"/>
    <w:rsid w:val="0057500F"/>
    <w:rsid w:val="005978D1"/>
    <w:rsid w:val="005B583E"/>
    <w:rsid w:val="005B7A75"/>
    <w:rsid w:val="00616CAD"/>
    <w:rsid w:val="006300D0"/>
    <w:rsid w:val="00630450"/>
    <w:rsid w:val="00632F7D"/>
    <w:rsid w:val="00633629"/>
    <w:rsid w:val="00634D0A"/>
    <w:rsid w:val="006358D5"/>
    <w:rsid w:val="006448DF"/>
    <w:rsid w:val="00660FDC"/>
    <w:rsid w:val="00682D6D"/>
    <w:rsid w:val="00692C11"/>
    <w:rsid w:val="006A0F9B"/>
    <w:rsid w:val="006A5F01"/>
    <w:rsid w:val="006B1D7F"/>
    <w:rsid w:val="006B61CA"/>
    <w:rsid w:val="006B6BC4"/>
    <w:rsid w:val="006C7B48"/>
    <w:rsid w:val="007225B3"/>
    <w:rsid w:val="0073787C"/>
    <w:rsid w:val="00746DA0"/>
    <w:rsid w:val="00765D1B"/>
    <w:rsid w:val="007667BB"/>
    <w:rsid w:val="00777D87"/>
    <w:rsid w:val="00787C85"/>
    <w:rsid w:val="007B501B"/>
    <w:rsid w:val="007B7769"/>
    <w:rsid w:val="00801412"/>
    <w:rsid w:val="0082573A"/>
    <w:rsid w:val="00833046"/>
    <w:rsid w:val="00845254"/>
    <w:rsid w:val="00847E5F"/>
    <w:rsid w:val="00883A4F"/>
    <w:rsid w:val="008B151B"/>
    <w:rsid w:val="008B5A0D"/>
    <w:rsid w:val="008B6D9D"/>
    <w:rsid w:val="008F470E"/>
    <w:rsid w:val="008F4ADC"/>
    <w:rsid w:val="008F79BB"/>
    <w:rsid w:val="00921320"/>
    <w:rsid w:val="00934839"/>
    <w:rsid w:val="00977431"/>
    <w:rsid w:val="009775C0"/>
    <w:rsid w:val="009C05D0"/>
    <w:rsid w:val="009D6CCE"/>
    <w:rsid w:val="009F14C0"/>
    <w:rsid w:val="009F3A99"/>
    <w:rsid w:val="009F585F"/>
    <w:rsid w:val="00A137A5"/>
    <w:rsid w:val="00A50646"/>
    <w:rsid w:val="00A567E9"/>
    <w:rsid w:val="00A7613E"/>
    <w:rsid w:val="00A86F3C"/>
    <w:rsid w:val="00AA3989"/>
    <w:rsid w:val="00AC0AFF"/>
    <w:rsid w:val="00AC6994"/>
    <w:rsid w:val="00AD01BE"/>
    <w:rsid w:val="00AD0A5D"/>
    <w:rsid w:val="00AD2D0C"/>
    <w:rsid w:val="00AE0DB4"/>
    <w:rsid w:val="00B335AF"/>
    <w:rsid w:val="00B352EF"/>
    <w:rsid w:val="00B36784"/>
    <w:rsid w:val="00B82B81"/>
    <w:rsid w:val="00B839B2"/>
    <w:rsid w:val="00B8437C"/>
    <w:rsid w:val="00B94046"/>
    <w:rsid w:val="00B95A73"/>
    <w:rsid w:val="00BC36F4"/>
    <w:rsid w:val="00BF55F4"/>
    <w:rsid w:val="00C074B1"/>
    <w:rsid w:val="00C14AEA"/>
    <w:rsid w:val="00C21680"/>
    <w:rsid w:val="00C37036"/>
    <w:rsid w:val="00C40A6B"/>
    <w:rsid w:val="00C50155"/>
    <w:rsid w:val="00C77554"/>
    <w:rsid w:val="00C86A89"/>
    <w:rsid w:val="00C873F1"/>
    <w:rsid w:val="00C9676B"/>
    <w:rsid w:val="00CB36F1"/>
    <w:rsid w:val="00CC04CB"/>
    <w:rsid w:val="00CD4799"/>
    <w:rsid w:val="00D04288"/>
    <w:rsid w:val="00D160E5"/>
    <w:rsid w:val="00D437B8"/>
    <w:rsid w:val="00D45F23"/>
    <w:rsid w:val="00D6033F"/>
    <w:rsid w:val="00D72610"/>
    <w:rsid w:val="00D93C16"/>
    <w:rsid w:val="00D957E4"/>
    <w:rsid w:val="00DA0767"/>
    <w:rsid w:val="00DA5319"/>
    <w:rsid w:val="00DB17F1"/>
    <w:rsid w:val="00DC347E"/>
    <w:rsid w:val="00DC3C80"/>
    <w:rsid w:val="00DC5710"/>
    <w:rsid w:val="00DD6476"/>
    <w:rsid w:val="00DE373A"/>
    <w:rsid w:val="00DE5EE5"/>
    <w:rsid w:val="00DF2704"/>
    <w:rsid w:val="00DF6B41"/>
    <w:rsid w:val="00E35A7D"/>
    <w:rsid w:val="00E40B7D"/>
    <w:rsid w:val="00E42B11"/>
    <w:rsid w:val="00E44B19"/>
    <w:rsid w:val="00E46765"/>
    <w:rsid w:val="00E71B61"/>
    <w:rsid w:val="00E73C20"/>
    <w:rsid w:val="00E81E6E"/>
    <w:rsid w:val="00E82255"/>
    <w:rsid w:val="00E9356F"/>
    <w:rsid w:val="00EA4F76"/>
    <w:rsid w:val="00ED0764"/>
    <w:rsid w:val="00ED4904"/>
    <w:rsid w:val="00ED7259"/>
    <w:rsid w:val="00EF66DE"/>
    <w:rsid w:val="00F11484"/>
    <w:rsid w:val="00F133DC"/>
    <w:rsid w:val="00F21DEB"/>
    <w:rsid w:val="00F25B10"/>
    <w:rsid w:val="00F307C3"/>
    <w:rsid w:val="00F53953"/>
    <w:rsid w:val="00F708E3"/>
    <w:rsid w:val="00F7783B"/>
    <w:rsid w:val="00F86832"/>
    <w:rsid w:val="00FB2CE7"/>
    <w:rsid w:val="00FD0B11"/>
    <w:rsid w:val="00FD57E3"/>
    <w:rsid w:val="00FE1CE8"/>
    <w:rsid w:val="00FF46DC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1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2B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2B11"/>
  </w:style>
  <w:style w:type="paragraph" w:styleId="a6">
    <w:name w:val="Balloon Text"/>
    <w:basedOn w:val="a"/>
    <w:link w:val="Char2"/>
    <w:uiPriority w:val="99"/>
    <w:semiHidden/>
    <w:unhideWhenUsed/>
    <w:rsid w:val="00ED07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0764"/>
    <w:rPr>
      <w:sz w:val="18"/>
      <w:szCs w:val="18"/>
    </w:rPr>
  </w:style>
  <w:style w:type="character" w:styleId="a7">
    <w:name w:val="annotation reference"/>
    <w:rsid w:val="00AD01BE"/>
    <w:rPr>
      <w:sz w:val="21"/>
      <w:szCs w:val="21"/>
    </w:rPr>
  </w:style>
  <w:style w:type="paragraph" w:styleId="a8">
    <w:name w:val="annotation text"/>
    <w:basedOn w:val="a"/>
    <w:link w:val="Char3"/>
    <w:rsid w:val="00AD01B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8"/>
    <w:rsid w:val="00AD01BE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272D5B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3F557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3F5575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F5575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F5575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F5575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F5575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F5575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F5575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F5575"/>
    <w:pPr>
      <w:ind w:left="1680"/>
      <w:jc w:val="left"/>
    </w:pPr>
    <w:rPr>
      <w:sz w:val="18"/>
      <w:szCs w:val="18"/>
    </w:rPr>
  </w:style>
  <w:style w:type="character" w:styleId="aa">
    <w:name w:val="Hyperlink"/>
    <w:basedOn w:val="a0"/>
    <w:uiPriority w:val="99"/>
    <w:unhideWhenUsed/>
    <w:rsid w:val="003F5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1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2B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2B11"/>
  </w:style>
  <w:style w:type="paragraph" w:styleId="a6">
    <w:name w:val="Balloon Text"/>
    <w:basedOn w:val="a"/>
    <w:link w:val="Char2"/>
    <w:uiPriority w:val="99"/>
    <w:semiHidden/>
    <w:unhideWhenUsed/>
    <w:rsid w:val="00ED07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0764"/>
    <w:rPr>
      <w:sz w:val="18"/>
      <w:szCs w:val="18"/>
    </w:rPr>
  </w:style>
  <w:style w:type="character" w:styleId="a7">
    <w:name w:val="annotation reference"/>
    <w:rsid w:val="00AD01BE"/>
    <w:rPr>
      <w:sz w:val="21"/>
      <w:szCs w:val="21"/>
    </w:rPr>
  </w:style>
  <w:style w:type="paragraph" w:styleId="a8">
    <w:name w:val="annotation text"/>
    <w:basedOn w:val="a"/>
    <w:link w:val="Char3"/>
    <w:rsid w:val="00AD01B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8"/>
    <w:rsid w:val="00AD01B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FC15-C79F-426A-8547-F32B9DF7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805</Words>
  <Characters>4591</Characters>
  <Application>Microsoft Office Word</Application>
  <DocSecurity>0</DocSecurity>
  <Lines>38</Lines>
  <Paragraphs>10</Paragraphs>
  <ScaleCrop>false</ScaleCrop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闫思聪</dc:creator>
  <cp:lastModifiedBy>李艺</cp:lastModifiedBy>
  <cp:revision>15</cp:revision>
  <cp:lastPrinted>2018-07-13T10:01:00Z</cp:lastPrinted>
  <dcterms:created xsi:type="dcterms:W3CDTF">2019-01-09T02:52:00Z</dcterms:created>
  <dcterms:modified xsi:type="dcterms:W3CDTF">2019-04-11T07:25:00Z</dcterms:modified>
</cp:coreProperties>
</file>