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A1" w:rsidRDefault="0028693D" w:rsidP="00E42B11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28693D">
        <w:rPr>
          <w:rFonts w:ascii="宋体" w:eastAsia="宋体" w:hAnsi="宋体" w:cs="Times New Roman" w:hint="eastAsia"/>
          <w:b/>
          <w:sz w:val="30"/>
          <w:szCs w:val="30"/>
        </w:rPr>
        <w:t>兴业银行“万利宝-聚利”2018年第5期封闭式净值型理财产品 (北京私行专属)</w:t>
      </w:r>
    </w:p>
    <w:p w:rsidR="00E42B11" w:rsidRDefault="00D957E4" w:rsidP="00E42B11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D957E4">
        <w:rPr>
          <w:rFonts w:ascii="宋体" w:eastAsia="宋体" w:hAnsi="宋体" w:cs="Times New Roman"/>
          <w:b/>
          <w:sz w:val="30"/>
          <w:szCs w:val="30"/>
        </w:rPr>
        <w:t>201</w:t>
      </w:r>
      <w:r w:rsidR="005205F8">
        <w:rPr>
          <w:rFonts w:ascii="宋体" w:eastAsia="宋体" w:hAnsi="宋体" w:cs="Times New Roman" w:hint="eastAsia"/>
          <w:b/>
          <w:sz w:val="30"/>
          <w:szCs w:val="30"/>
        </w:rPr>
        <w:t>9</w:t>
      </w:r>
      <w:r w:rsidRPr="00D957E4">
        <w:rPr>
          <w:rFonts w:ascii="宋体" w:eastAsia="宋体" w:hAnsi="宋体" w:cs="Times New Roman"/>
          <w:b/>
          <w:sz w:val="30"/>
          <w:szCs w:val="30"/>
        </w:rPr>
        <w:t>年第</w:t>
      </w:r>
      <w:r w:rsidR="005205F8">
        <w:rPr>
          <w:rFonts w:ascii="宋体" w:eastAsia="宋体" w:hAnsi="宋体" w:cs="Times New Roman" w:hint="eastAsia"/>
          <w:b/>
          <w:sz w:val="30"/>
          <w:szCs w:val="30"/>
        </w:rPr>
        <w:t>1</w:t>
      </w:r>
      <w:r w:rsidRPr="00D957E4">
        <w:rPr>
          <w:rFonts w:ascii="宋体" w:eastAsia="宋体" w:hAnsi="宋体" w:cs="Times New Roman"/>
          <w:b/>
          <w:sz w:val="30"/>
          <w:szCs w:val="30"/>
        </w:rPr>
        <w:t>季度报告</w:t>
      </w:r>
    </w:p>
    <w:p w:rsidR="005205F8" w:rsidRPr="00E42B11" w:rsidRDefault="005205F8" w:rsidP="005205F8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2019年3月31日</w:t>
      </w:r>
    </w:p>
    <w:p w:rsidR="00D957E4" w:rsidRDefault="005205F8" w:rsidP="00382DA2">
      <w:pPr>
        <w:pStyle w:val="a9"/>
        <w:numPr>
          <w:ilvl w:val="0"/>
          <w:numId w:val="1"/>
        </w:numPr>
        <w:ind w:firstLineChars="0"/>
        <w:outlineLvl w:val="0"/>
        <w:rPr>
          <w:b/>
          <w:sz w:val="30"/>
          <w:szCs w:val="30"/>
        </w:rPr>
      </w:pPr>
      <w:bookmarkStart w:id="0" w:name="_Toc5885142"/>
      <w:r w:rsidRPr="00674795">
        <w:rPr>
          <w:rFonts w:hint="eastAsia"/>
          <w:b/>
          <w:sz w:val="30"/>
          <w:szCs w:val="30"/>
        </w:rPr>
        <w:t>目录</w:t>
      </w:r>
      <w:bookmarkEnd w:id="0"/>
    </w:p>
    <w:p w:rsidR="00382DA2" w:rsidRDefault="007267B8">
      <w:pPr>
        <w:pStyle w:val="1"/>
        <w:tabs>
          <w:tab w:val="left" w:pos="630"/>
          <w:tab w:val="right" w:leader="dot" w:pos="8296"/>
        </w:tabs>
        <w:rPr>
          <w:noProof/>
        </w:rPr>
      </w:pPr>
      <w:r>
        <w:rPr>
          <w:b/>
          <w:sz w:val="30"/>
          <w:szCs w:val="30"/>
        </w:rPr>
        <w:fldChar w:fldCharType="begin"/>
      </w:r>
      <w:r w:rsidR="00382DA2">
        <w:rPr>
          <w:b/>
          <w:sz w:val="30"/>
          <w:szCs w:val="30"/>
        </w:rPr>
        <w:instrText xml:space="preserve"> </w:instrText>
      </w:r>
      <w:r w:rsidR="00382DA2">
        <w:rPr>
          <w:rFonts w:hint="eastAsia"/>
          <w:b/>
          <w:sz w:val="30"/>
          <w:szCs w:val="30"/>
        </w:rPr>
        <w:instrText>TOC \o "1-3" \h \z \u</w:instrText>
      </w:r>
      <w:r w:rsidR="00382DA2">
        <w:rPr>
          <w:b/>
          <w:sz w:val="30"/>
          <w:szCs w:val="30"/>
        </w:rPr>
        <w:instrText xml:space="preserve"> </w:instrText>
      </w:r>
      <w:r>
        <w:rPr>
          <w:b/>
          <w:sz w:val="30"/>
          <w:szCs w:val="30"/>
        </w:rPr>
        <w:fldChar w:fldCharType="separate"/>
      </w:r>
      <w:hyperlink w:anchor="_Toc5885142" w:history="1">
        <w:r w:rsidR="00382DA2" w:rsidRPr="001606B4">
          <w:rPr>
            <w:rStyle w:val="aa"/>
            <w:rFonts w:hint="eastAsia"/>
            <w:b/>
            <w:noProof/>
          </w:rPr>
          <w:t>一</w:t>
        </w:r>
        <w:r w:rsidR="00382DA2" w:rsidRPr="001606B4">
          <w:rPr>
            <w:rStyle w:val="aa"/>
            <w:rFonts w:hint="eastAsia"/>
            <w:b/>
            <w:noProof/>
          </w:rPr>
          <w:t>.</w:t>
        </w:r>
        <w:r w:rsidR="00382DA2">
          <w:rPr>
            <w:noProof/>
          </w:rPr>
          <w:tab/>
        </w:r>
        <w:r w:rsidR="00382DA2" w:rsidRPr="001606B4">
          <w:rPr>
            <w:rStyle w:val="aa"/>
            <w:rFonts w:hint="eastAsia"/>
            <w:b/>
            <w:noProof/>
          </w:rPr>
          <w:t>目录</w:t>
        </w:r>
        <w:r w:rsidR="00382D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DA2">
          <w:rPr>
            <w:noProof/>
            <w:webHidden/>
          </w:rPr>
          <w:instrText xml:space="preserve"> PAGEREF _Toc5885142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DA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82DA2" w:rsidRDefault="007267B8">
      <w:pPr>
        <w:pStyle w:val="1"/>
        <w:tabs>
          <w:tab w:val="left" w:pos="630"/>
          <w:tab w:val="right" w:leader="dot" w:pos="8296"/>
        </w:tabs>
        <w:rPr>
          <w:noProof/>
        </w:rPr>
      </w:pPr>
      <w:hyperlink w:anchor="_Toc5885143" w:history="1">
        <w:r w:rsidR="00382DA2" w:rsidRPr="001606B4">
          <w:rPr>
            <w:rStyle w:val="aa"/>
            <w:rFonts w:hint="eastAsia"/>
            <w:b/>
            <w:noProof/>
          </w:rPr>
          <w:t>二</w:t>
        </w:r>
        <w:r w:rsidR="00382DA2" w:rsidRPr="001606B4">
          <w:rPr>
            <w:rStyle w:val="aa"/>
            <w:rFonts w:hint="eastAsia"/>
            <w:b/>
            <w:noProof/>
          </w:rPr>
          <w:t>.</w:t>
        </w:r>
        <w:r w:rsidR="00382DA2">
          <w:rPr>
            <w:noProof/>
          </w:rPr>
          <w:tab/>
        </w:r>
        <w:r w:rsidR="00382DA2" w:rsidRPr="001606B4">
          <w:rPr>
            <w:rStyle w:val="aa"/>
            <w:rFonts w:hint="eastAsia"/>
            <w:b/>
            <w:noProof/>
          </w:rPr>
          <w:t>重要提示</w:t>
        </w:r>
        <w:r w:rsidR="00382D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DA2">
          <w:rPr>
            <w:noProof/>
            <w:webHidden/>
          </w:rPr>
          <w:instrText xml:space="preserve"> PAGEREF _Toc5885143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DA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82DA2" w:rsidRDefault="007267B8">
      <w:pPr>
        <w:pStyle w:val="1"/>
        <w:tabs>
          <w:tab w:val="left" w:pos="630"/>
          <w:tab w:val="right" w:leader="dot" w:pos="8296"/>
        </w:tabs>
        <w:rPr>
          <w:noProof/>
        </w:rPr>
      </w:pPr>
      <w:hyperlink w:anchor="_Toc5885144" w:history="1">
        <w:r w:rsidR="00382DA2" w:rsidRPr="001606B4">
          <w:rPr>
            <w:rStyle w:val="aa"/>
            <w:rFonts w:hint="eastAsia"/>
            <w:b/>
            <w:noProof/>
          </w:rPr>
          <w:t>三</w:t>
        </w:r>
        <w:r w:rsidR="00382DA2" w:rsidRPr="001606B4">
          <w:rPr>
            <w:rStyle w:val="aa"/>
            <w:rFonts w:hint="eastAsia"/>
            <w:b/>
            <w:noProof/>
          </w:rPr>
          <w:t>.</w:t>
        </w:r>
        <w:r w:rsidR="00382DA2">
          <w:rPr>
            <w:noProof/>
          </w:rPr>
          <w:tab/>
        </w:r>
        <w:r w:rsidR="00382DA2" w:rsidRPr="001606B4">
          <w:rPr>
            <w:rStyle w:val="aa"/>
            <w:rFonts w:hint="eastAsia"/>
            <w:b/>
            <w:noProof/>
          </w:rPr>
          <w:t>产品基本情况</w:t>
        </w:r>
        <w:r w:rsidR="00382D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DA2">
          <w:rPr>
            <w:noProof/>
            <w:webHidden/>
          </w:rPr>
          <w:instrText xml:space="preserve"> PAGEREF _Toc5885144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DA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82DA2" w:rsidRDefault="007267B8">
      <w:pPr>
        <w:pStyle w:val="1"/>
        <w:tabs>
          <w:tab w:val="left" w:pos="630"/>
          <w:tab w:val="right" w:leader="dot" w:pos="8296"/>
        </w:tabs>
        <w:rPr>
          <w:noProof/>
        </w:rPr>
      </w:pPr>
      <w:hyperlink w:anchor="_Toc5885145" w:history="1">
        <w:r w:rsidR="00382DA2" w:rsidRPr="001606B4">
          <w:rPr>
            <w:rStyle w:val="aa"/>
            <w:rFonts w:hint="eastAsia"/>
            <w:b/>
            <w:noProof/>
          </w:rPr>
          <w:t>四</w:t>
        </w:r>
        <w:r w:rsidR="00382DA2" w:rsidRPr="001606B4">
          <w:rPr>
            <w:rStyle w:val="aa"/>
            <w:rFonts w:hint="eastAsia"/>
            <w:b/>
            <w:noProof/>
          </w:rPr>
          <w:t>.</w:t>
        </w:r>
        <w:r w:rsidR="00382DA2">
          <w:rPr>
            <w:noProof/>
          </w:rPr>
          <w:tab/>
        </w:r>
        <w:r w:rsidR="00382DA2" w:rsidRPr="001606B4">
          <w:rPr>
            <w:rStyle w:val="aa"/>
            <w:rFonts w:hint="eastAsia"/>
            <w:b/>
            <w:noProof/>
          </w:rPr>
          <w:t>产品收益表现</w:t>
        </w:r>
        <w:r w:rsidR="00382D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DA2">
          <w:rPr>
            <w:noProof/>
            <w:webHidden/>
          </w:rPr>
          <w:instrText xml:space="preserve"> PAGEREF _Toc5885145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DA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82DA2" w:rsidRDefault="007267B8">
      <w:pPr>
        <w:pStyle w:val="1"/>
        <w:tabs>
          <w:tab w:val="left" w:pos="630"/>
          <w:tab w:val="right" w:leader="dot" w:pos="8296"/>
        </w:tabs>
        <w:rPr>
          <w:noProof/>
        </w:rPr>
      </w:pPr>
      <w:hyperlink w:anchor="_Toc5885146" w:history="1">
        <w:r w:rsidR="00382DA2" w:rsidRPr="001606B4">
          <w:rPr>
            <w:rStyle w:val="aa"/>
            <w:rFonts w:hint="eastAsia"/>
            <w:b/>
            <w:noProof/>
          </w:rPr>
          <w:t>五</w:t>
        </w:r>
        <w:r w:rsidR="00382DA2" w:rsidRPr="001606B4">
          <w:rPr>
            <w:rStyle w:val="aa"/>
            <w:rFonts w:hint="eastAsia"/>
            <w:b/>
            <w:noProof/>
          </w:rPr>
          <w:t>.</w:t>
        </w:r>
        <w:r w:rsidR="00382DA2">
          <w:rPr>
            <w:noProof/>
          </w:rPr>
          <w:tab/>
        </w:r>
        <w:r w:rsidR="00382DA2" w:rsidRPr="001606B4">
          <w:rPr>
            <w:rStyle w:val="aa"/>
            <w:rFonts w:hint="eastAsia"/>
            <w:b/>
            <w:noProof/>
          </w:rPr>
          <w:t>报告期内产品的投资策略和运作分析</w:t>
        </w:r>
        <w:r w:rsidR="00382D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DA2">
          <w:rPr>
            <w:noProof/>
            <w:webHidden/>
          </w:rPr>
          <w:instrText xml:space="preserve"> PAGEREF _Toc5885146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DA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82DA2" w:rsidRDefault="007267B8">
      <w:pPr>
        <w:pStyle w:val="1"/>
        <w:tabs>
          <w:tab w:val="left" w:pos="630"/>
          <w:tab w:val="right" w:leader="dot" w:pos="8296"/>
        </w:tabs>
        <w:rPr>
          <w:noProof/>
        </w:rPr>
      </w:pPr>
      <w:hyperlink w:anchor="_Toc5885147" w:history="1">
        <w:r w:rsidR="00382DA2" w:rsidRPr="001606B4">
          <w:rPr>
            <w:rStyle w:val="aa"/>
            <w:rFonts w:hint="eastAsia"/>
            <w:b/>
            <w:noProof/>
          </w:rPr>
          <w:t>六</w:t>
        </w:r>
        <w:r w:rsidR="00382DA2" w:rsidRPr="001606B4">
          <w:rPr>
            <w:rStyle w:val="aa"/>
            <w:rFonts w:hint="eastAsia"/>
            <w:b/>
            <w:noProof/>
          </w:rPr>
          <w:t>.</w:t>
        </w:r>
        <w:r w:rsidR="00382DA2">
          <w:rPr>
            <w:noProof/>
          </w:rPr>
          <w:tab/>
        </w:r>
        <w:r w:rsidR="00382DA2" w:rsidRPr="001606B4">
          <w:rPr>
            <w:rStyle w:val="aa"/>
            <w:b/>
            <w:noProof/>
          </w:rPr>
          <w:t>2019</w:t>
        </w:r>
        <w:r w:rsidR="00382DA2" w:rsidRPr="001606B4">
          <w:rPr>
            <w:rStyle w:val="aa"/>
            <w:rFonts w:hint="eastAsia"/>
            <w:b/>
            <w:noProof/>
          </w:rPr>
          <w:t>年第</w:t>
        </w:r>
        <w:r w:rsidR="00382DA2" w:rsidRPr="001606B4">
          <w:rPr>
            <w:rStyle w:val="aa"/>
            <w:b/>
            <w:noProof/>
          </w:rPr>
          <w:t>1</w:t>
        </w:r>
        <w:r w:rsidR="00382DA2" w:rsidRPr="001606B4">
          <w:rPr>
            <w:rStyle w:val="aa"/>
            <w:rFonts w:hint="eastAsia"/>
            <w:b/>
            <w:noProof/>
          </w:rPr>
          <w:t>季度财务会计报告</w:t>
        </w:r>
        <w:r w:rsidR="00382D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DA2">
          <w:rPr>
            <w:noProof/>
            <w:webHidden/>
          </w:rPr>
          <w:instrText xml:space="preserve"> PAGEREF _Toc5885147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DA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82DA2" w:rsidRDefault="007267B8">
      <w:pPr>
        <w:pStyle w:val="2"/>
        <w:tabs>
          <w:tab w:val="left" w:pos="840"/>
          <w:tab w:val="right" w:leader="dot" w:pos="8296"/>
        </w:tabs>
        <w:rPr>
          <w:noProof/>
        </w:rPr>
      </w:pPr>
      <w:hyperlink w:anchor="_Toc5885148" w:history="1">
        <w:r w:rsidR="00382DA2" w:rsidRPr="001606B4">
          <w:rPr>
            <w:rStyle w:val="aa"/>
            <w:b/>
            <w:noProof/>
          </w:rPr>
          <w:t>1.</w:t>
        </w:r>
        <w:r w:rsidR="00382DA2">
          <w:rPr>
            <w:noProof/>
          </w:rPr>
          <w:tab/>
        </w:r>
        <w:r w:rsidR="00382DA2" w:rsidRPr="001606B4">
          <w:rPr>
            <w:rStyle w:val="aa"/>
            <w:rFonts w:hint="eastAsia"/>
            <w:b/>
            <w:noProof/>
          </w:rPr>
          <w:t>资产负债表</w:t>
        </w:r>
        <w:r w:rsidR="00382D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DA2">
          <w:rPr>
            <w:noProof/>
            <w:webHidden/>
          </w:rPr>
          <w:instrText xml:space="preserve"> PAGEREF _Toc5885148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DA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82DA2" w:rsidRDefault="007267B8">
      <w:pPr>
        <w:pStyle w:val="2"/>
        <w:tabs>
          <w:tab w:val="left" w:pos="840"/>
          <w:tab w:val="right" w:leader="dot" w:pos="8296"/>
        </w:tabs>
        <w:rPr>
          <w:noProof/>
        </w:rPr>
      </w:pPr>
      <w:hyperlink w:anchor="_Toc5885149" w:history="1">
        <w:r w:rsidR="00382DA2" w:rsidRPr="001606B4">
          <w:rPr>
            <w:rStyle w:val="aa"/>
            <w:b/>
            <w:noProof/>
          </w:rPr>
          <w:t>2.</w:t>
        </w:r>
        <w:r w:rsidR="00382DA2">
          <w:rPr>
            <w:noProof/>
          </w:rPr>
          <w:tab/>
        </w:r>
        <w:r w:rsidR="00382DA2" w:rsidRPr="001606B4">
          <w:rPr>
            <w:rStyle w:val="aa"/>
            <w:rFonts w:hint="eastAsia"/>
            <w:b/>
            <w:noProof/>
          </w:rPr>
          <w:t>利润表</w:t>
        </w:r>
        <w:r w:rsidR="00382D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DA2">
          <w:rPr>
            <w:noProof/>
            <w:webHidden/>
          </w:rPr>
          <w:instrText xml:space="preserve"> PAGEREF _Toc5885149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DA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82DA2" w:rsidRDefault="007267B8">
      <w:pPr>
        <w:pStyle w:val="2"/>
        <w:tabs>
          <w:tab w:val="left" w:pos="840"/>
          <w:tab w:val="right" w:leader="dot" w:pos="8296"/>
        </w:tabs>
        <w:rPr>
          <w:noProof/>
        </w:rPr>
      </w:pPr>
      <w:hyperlink w:anchor="_Toc5885150" w:history="1">
        <w:r w:rsidR="00382DA2" w:rsidRPr="001606B4">
          <w:rPr>
            <w:rStyle w:val="aa"/>
            <w:b/>
            <w:noProof/>
          </w:rPr>
          <w:t>3.</w:t>
        </w:r>
        <w:r w:rsidR="00382DA2">
          <w:rPr>
            <w:noProof/>
          </w:rPr>
          <w:tab/>
        </w:r>
        <w:r w:rsidR="00382DA2" w:rsidRPr="001606B4">
          <w:rPr>
            <w:rStyle w:val="aa"/>
            <w:rFonts w:hint="eastAsia"/>
            <w:b/>
            <w:noProof/>
          </w:rPr>
          <w:t>所有者权益（产品净值）变动表</w:t>
        </w:r>
        <w:r w:rsidR="00382D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DA2">
          <w:rPr>
            <w:noProof/>
            <w:webHidden/>
          </w:rPr>
          <w:instrText xml:space="preserve"> PAGEREF _Toc5885150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DA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82DA2" w:rsidRDefault="007267B8">
      <w:pPr>
        <w:pStyle w:val="1"/>
        <w:tabs>
          <w:tab w:val="left" w:pos="630"/>
          <w:tab w:val="right" w:leader="dot" w:pos="8296"/>
        </w:tabs>
        <w:rPr>
          <w:noProof/>
        </w:rPr>
      </w:pPr>
      <w:hyperlink w:anchor="_Toc5885151" w:history="1">
        <w:r w:rsidR="00382DA2" w:rsidRPr="001606B4">
          <w:rPr>
            <w:rStyle w:val="aa"/>
            <w:rFonts w:hint="eastAsia"/>
            <w:b/>
            <w:noProof/>
          </w:rPr>
          <w:t>七</w:t>
        </w:r>
        <w:r w:rsidR="00382DA2" w:rsidRPr="001606B4">
          <w:rPr>
            <w:rStyle w:val="aa"/>
            <w:rFonts w:hint="eastAsia"/>
            <w:b/>
            <w:noProof/>
          </w:rPr>
          <w:t>.</w:t>
        </w:r>
        <w:r w:rsidR="00382DA2">
          <w:rPr>
            <w:noProof/>
          </w:rPr>
          <w:tab/>
        </w:r>
        <w:r w:rsidR="00382DA2" w:rsidRPr="001606B4">
          <w:rPr>
            <w:rStyle w:val="aa"/>
            <w:rFonts w:hint="eastAsia"/>
            <w:b/>
            <w:noProof/>
          </w:rPr>
          <w:t>投资组合情况</w:t>
        </w:r>
        <w:r w:rsidR="00382D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DA2">
          <w:rPr>
            <w:noProof/>
            <w:webHidden/>
          </w:rPr>
          <w:instrText xml:space="preserve"> PAGEREF _Toc5885151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DA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82DA2" w:rsidRDefault="007267B8">
      <w:pPr>
        <w:pStyle w:val="2"/>
        <w:tabs>
          <w:tab w:val="left" w:pos="840"/>
          <w:tab w:val="right" w:leader="dot" w:pos="8296"/>
        </w:tabs>
        <w:rPr>
          <w:noProof/>
        </w:rPr>
      </w:pPr>
      <w:hyperlink w:anchor="_Toc5885152" w:history="1">
        <w:r w:rsidR="00382DA2" w:rsidRPr="001606B4">
          <w:rPr>
            <w:rStyle w:val="aa"/>
            <w:b/>
            <w:noProof/>
          </w:rPr>
          <w:t>1.</w:t>
        </w:r>
        <w:r w:rsidR="00382DA2">
          <w:rPr>
            <w:noProof/>
          </w:rPr>
          <w:tab/>
        </w:r>
        <w:r w:rsidR="00382DA2" w:rsidRPr="001606B4">
          <w:rPr>
            <w:rStyle w:val="aa"/>
            <w:rFonts w:hint="eastAsia"/>
            <w:b/>
            <w:noProof/>
          </w:rPr>
          <w:t>报告期末产品资产组合情况</w:t>
        </w:r>
        <w:r w:rsidR="00382D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DA2">
          <w:rPr>
            <w:noProof/>
            <w:webHidden/>
          </w:rPr>
          <w:instrText xml:space="preserve"> PAGEREF _Toc5885152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DA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82DA2" w:rsidRDefault="007267B8">
      <w:pPr>
        <w:pStyle w:val="2"/>
        <w:tabs>
          <w:tab w:val="left" w:pos="840"/>
          <w:tab w:val="right" w:leader="dot" w:pos="8296"/>
        </w:tabs>
        <w:rPr>
          <w:noProof/>
        </w:rPr>
      </w:pPr>
      <w:hyperlink w:anchor="_Toc5885153" w:history="1">
        <w:r w:rsidR="00382DA2" w:rsidRPr="001606B4">
          <w:rPr>
            <w:rStyle w:val="aa"/>
            <w:b/>
            <w:noProof/>
          </w:rPr>
          <w:t>2.</w:t>
        </w:r>
        <w:r w:rsidR="00382DA2">
          <w:rPr>
            <w:noProof/>
          </w:rPr>
          <w:tab/>
        </w:r>
        <w:r w:rsidR="00382DA2" w:rsidRPr="001606B4">
          <w:rPr>
            <w:rStyle w:val="aa"/>
            <w:rFonts w:hint="eastAsia"/>
            <w:b/>
            <w:noProof/>
          </w:rPr>
          <w:t>报告期末杠杆融资情况</w:t>
        </w:r>
        <w:r w:rsidR="00382D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DA2">
          <w:rPr>
            <w:noProof/>
            <w:webHidden/>
          </w:rPr>
          <w:instrText xml:space="preserve"> PAGEREF _Toc5885153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DA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82DA2" w:rsidRDefault="007267B8">
      <w:pPr>
        <w:pStyle w:val="2"/>
        <w:tabs>
          <w:tab w:val="left" w:pos="840"/>
          <w:tab w:val="right" w:leader="dot" w:pos="8296"/>
        </w:tabs>
        <w:rPr>
          <w:noProof/>
        </w:rPr>
      </w:pPr>
      <w:hyperlink w:anchor="_Toc5885154" w:history="1">
        <w:r w:rsidR="00382DA2" w:rsidRPr="001606B4">
          <w:rPr>
            <w:rStyle w:val="aa"/>
            <w:b/>
            <w:noProof/>
          </w:rPr>
          <w:t>3.</w:t>
        </w:r>
        <w:r w:rsidR="00382DA2">
          <w:rPr>
            <w:noProof/>
          </w:rPr>
          <w:tab/>
        </w:r>
        <w:r w:rsidR="00382DA2" w:rsidRPr="001606B4">
          <w:rPr>
            <w:rStyle w:val="aa"/>
            <w:rFonts w:hint="eastAsia"/>
            <w:b/>
            <w:noProof/>
          </w:rPr>
          <w:t>报告期末资产持仓前十基本信息</w:t>
        </w:r>
        <w:r w:rsidR="00382D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82DA2">
          <w:rPr>
            <w:noProof/>
            <w:webHidden/>
          </w:rPr>
          <w:instrText xml:space="preserve"> PAGEREF _Toc5885154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82DA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82DA2" w:rsidRPr="00674795" w:rsidRDefault="007267B8" w:rsidP="00382DA2">
      <w:pPr>
        <w:pStyle w:val="a9"/>
        <w:ind w:left="510" w:firstLineChars="0" w:firstLine="0"/>
        <w:rPr>
          <w:b/>
          <w:sz w:val="30"/>
          <w:szCs w:val="30"/>
        </w:rPr>
      </w:pPr>
      <w:r>
        <w:rPr>
          <w:b/>
          <w:sz w:val="30"/>
          <w:szCs w:val="30"/>
        </w:rPr>
        <w:fldChar w:fldCharType="end"/>
      </w:r>
    </w:p>
    <w:p w:rsidR="005205F8" w:rsidRPr="00674795" w:rsidRDefault="005205F8" w:rsidP="00382DA2">
      <w:pPr>
        <w:pStyle w:val="a9"/>
        <w:numPr>
          <w:ilvl w:val="0"/>
          <w:numId w:val="1"/>
        </w:numPr>
        <w:ind w:firstLineChars="0"/>
        <w:outlineLvl w:val="0"/>
        <w:rPr>
          <w:b/>
          <w:sz w:val="30"/>
          <w:szCs w:val="30"/>
        </w:rPr>
      </w:pPr>
      <w:bookmarkStart w:id="1" w:name="_Toc5885143"/>
      <w:r w:rsidRPr="00674795">
        <w:rPr>
          <w:rFonts w:hint="eastAsia"/>
          <w:b/>
          <w:sz w:val="30"/>
          <w:szCs w:val="30"/>
        </w:rPr>
        <w:t>重要提示</w:t>
      </w:r>
      <w:bookmarkEnd w:id="1"/>
    </w:p>
    <w:p w:rsidR="005205F8" w:rsidRPr="003F1A67" w:rsidRDefault="005205F8" w:rsidP="005205F8">
      <w:pPr>
        <w:pStyle w:val="a9"/>
        <w:ind w:left="510" w:firstLineChars="0" w:firstLine="0"/>
        <w:rPr>
          <w:rFonts w:ascii="Arial" w:eastAsia="宋体" w:hAnsi="宋体" w:cs="Arial"/>
          <w:color w:val="FF0000"/>
          <w:sz w:val="30"/>
          <w:szCs w:val="30"/>
        </w:rPr>
      </w:pPr>
      <w:r w:rsidRPr="003F1A67">
        <w:rPr>
          <w:rFonts w:ascii="Arial" w:eastAsia="宋体" w:hAnsi="宋体" w:cs="Arial"/>
          <w:b/>
          <w:bCs/>
          <w:color w:val="FF0000"/>
          <w:sz w:val="30"/>
          <w:szCs w:val="30"/>
        </w:rPr>
        <w:t>1.</w:t>
      </w:r>
      <w:r w:rsidRPr="003F1A67">
        <w:rPr>
          <w:rFonts w:ascii="Arial" w:eastAsia="宋体" w:hAnsi="宋体" w:cs="Arial"/>
          <w:b/>
          <w:bCs/>
          <w:color w:val="FF0000"/>
          <w:sz w:val="30"/>
          <w:szCs w:val="30"/>
        </w:rPr>
        <w:t>温馨提醒：理财非存款，产品有风险，投资需谨慎！</w:t>
      </w:r>
    </w:p>
    <w:p w:rsidR="005205F8" w:rsidRPr="003F1A67" w:rsidRDefault="005205F8" w:rsidP="005205F8">
      <w:pPr>
        <w:pStyle w:val="a9"/>
        <w:ind w:left="510" w:firstLineChars="0" w:firstLine="0"/>
        <w:rPr>
          <w:rFonts w:ascii="Arial" w:eastAsia="宋体" w:hAnsi="宋体" w:cs="Arial"/>
          <w:sz w:val="30"/>
          <w:szCs w:val="30"/>
        </w:rPr>
      </w:pPr>
      <w:r w:rsidRPr="003F1A67">
        <w:rPr>
          <w:rFonts w:ascii="Arial" w:eastAsia="宋体" w:hAnsi="宋体" w:cs="Arial"/>
          <w:sz w:val="30"/>
          <w:szCs w:val="30"/>
        </w:rPr>
        <w:t>2.</w:t>
      </w:r>
      <w:r w:rsidRPr="003F1A67">
        <w:rPr>
          <w:rFonts w:ascii="Arial" w:eastAsia="宋体" w:hAnsi="宋体" w:cs="Arial"/>
          <w:sz w:val="30"/>
          <w:szCs w:val="30"/>
        </w:rPr>
        <w:t>理财信息可供参考，详情请咨询理财经理，或在“</w:t>
      </w:r>
      <w:r w:rsidR="0060641C">
        <w:rPr>
          <w:rFonts w:ascii="Arial" w:eastAsia="宋体" w:hAnsi="宋体" w:cs="Arial"/>
          <w:sz w:val="30"/>
          <w:szCs w:val="30"/>
        </w:rPr>
        <w:t>中国</w:t>
      </w:r>
      <w:r w:rsidR="0060641C">
        <w:rPr>
          <w:rFonts w:ascii="Arial" w:eastAsia="宋体" w:hAnsi="宋体" w:cs="Arial" w:hint="eastAsia"/>
          <w:sz w:val="30"/>
          <w:szCs w:val="30"/>
        </w:rPr>
        <w:t>理财网</w:t>
      </w:r>
      <w:r w:rsidRPr="003F1A67">
        <w:rPr>
          <w:rFonts w:ascii="Arial" w:eastAsia="宋体" w:hAnsi="宋体" w:cs="Arial"/>
          <w:sz w:val="30"/>
          <w:szCs w:val="30"/>
        </w:rPr>
        <w:t>（</w:t>
      </w:r>
      <w:r w:rsidRPr="003F1A67">
        <w:rPr>
          <w:rFonts w:ascii="Arial" w:eastAsia="宋体" w:hAnsi="宋体" w:cs="Arial"/>
          <w:sz w:val="30"/>
          <w:szCs w:val="30"/>
        </w:rPr>
        <w:t>www.chinawealth.com.cn</w:t>
      </w:r>
      <w:r w:rsidRPr="003F1A67">
        <w:rPr>
          <w:rFonts w:ascii="Arial" w:eastAsia="宋体" w:hAnsi="宋体" w:cs="Arial"/>
          <w:sz w:val="30"/>
          <w:szCs w:val="30"/>
        </w:rPr>
        <w:t>）”查询该产品相关信息</w:t>
      </w:r>
      <w:r w:rsidRPr="003F1A67">
        <w:rPr>
          <w:rFonts w:ascii="Arial" w:eastAsia="宋体" w:hAnsi="宋体" w:cs="Arial" w:hint="eastAsia"/>
          <w:sz w:val="30"/>
          <w:szCs w:val="30"/>
        </w:rPr>
        <w:t>。</w:t>
      </w:r>
    </w:p>
    <w:p w:rsidR="005205F8" w:rsidRDefault="005205F8" w:rsidP="005205F8">
      <w:pPr>
        <w:pStyle w:val="a9"/>
        <w:ind w:left="510" w:firstLineChars="0" w:firstLine="0"/>
        <w:rPr>
          <w:rFonts w:ascii="Arial" w:eastAsia="宋体" w:hAnsi="宋体" w:cs="Arial"/>
          <w:sz w:val="30"/>
          <w:szCs w:val="30"/>
        </w:rPr>
      </w:pPr>
      <w:r w:rsidRPr="003F1A67">
        <w:rPr>
          <w:rFonts w:ascii="Arial" w:eastAsia="宋体" w:hAnsi="宋体" w:cs="Arial"/>
          <w:sz w:val="30"/>
          <w:szCs w:val="30"/>
        </w:rPr>
        <w:t>3.</w:t>
      </w:r>
      <w:r w:rsidRPr="003F1A67">
        <w:rPr>
          <w:rFonts w:ascii="Arial" w:eastAsia="宋体" w:hAnsi="宋体" w:cs="Arial"/>
          <w:sz w:val="30"/>
          <w:szCs w:val="30"/>
        </w:rPr>
        <w:t>兴业银行保留对所有文字说明的最终解释权。</w:t>
      </w:r>
    </w:p>
    <w:p w:rsidR="005205F8" w:rsidRPr="005205F8" w:rsidRDefault="005205F8" w:rsidP="005205F8">
      <w:pPr>
        <w:pStyle w:val="a9"/>
        <w:ind w:left="510" w:firstLineChars="0" w:firstLine="0"/>
        <w:rPr>
          <w:sz w:val="30"/>
          <w:szCs w:val="30"/>
        </w:rPr>
      </w:pPr>
    </w:p>
    <w:p w:rsidR="005205F8" w:rsidRPr="00674795" w:rsidRDefault="005205F8" w:rsidP="00382DA2">
      <w:pPr>
        <w:pStyle w:val="a9"/>
        <w:numPr>
          <w:ilvl w:val="0"/>
          <w:numId w:val="1"/>
        </w:numPr>
        <w:ind w:firstLineChars="0"/>
        <w:outlineLvl w:val="0"/>
        <w:rPr>
          <w:b/>
          <w:sz w:val="30"/>
          <w:szCs w:val="30"/>
        </w:rPr>
      </w:pPr>
      <w:bookmarkStart w:id="2" w:name="_Toc5885144"/>
      <w:r w:rsidRPr="00674795">
        <w:rPr>
          <w:rFonts w:hint="eastAsia"/>
          <w:b/>
          <w:sz w:val="30"/>
          <w:szCs w:val="30"/>
        </w:rPr>
        <w:t>产品基本情况</w:t>
      </w:r>
      <w:bookmarkEnd w:id="2"/>
    </w:p>
    <w:tbl>
      <w:tblPr>
        <w:tblW w:w="8295" w:type="dxa"/>
        <w:tblInd w:w="93" w:type="dxa"/>
        <w:tblLook w:val="04A0"/>
      </w:tblPr>
      <w:tblGrid>
        <w:gridCol w:w="2700"/>
        <w:gridCol w:w="5595"/>
      </w:tblGrid>
      <w:tr w:rsidR="00DD6476" w:rsidRPr="00DD6476" w:rsidTr="00DD6476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E40B7D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40B7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兴业银行“万利宝-聚利”2018年第5期封闭式净值型理财产品 (北京私行专属)</w:t>
            </w:r>
          </w:p>
        </w:tc>
      </w:tr>
      <w:tr w:rsidR="00DD6476" w:rsidRPr="00DD647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E40B7D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40B7D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1K118005</w:t>
            </w:r>
          </w:p>
        </w:tc>
      </w:tr>
      <w:tr w:rsidR="00DD6476" w:rsidRPr="00DD6476" w:rsidTr="00DD6476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全国银行业理财信息登记系统登记编码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E40B7D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40B7D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C1030918C000047</w:t>
            </w:r>
          </w:p>
        </w:tc>
      </w:tr>
      <w:tr w:rsidR="00DD6476" w:rsidRPr="00DD647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产品运作方式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AD0A5D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封闭式</w:t>
            </w:r>
          </w:p>
        </w:tc>
      </w:tr>
      <w:tr w:rsidR="00DD6476" w:rsidRPr="00DD647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报告期末产品份额总额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AD0A5D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  <w:r w:rsidR="00E81E6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亿份</w:t>
            </w:r>
          </w:p>
        </w:tc>
      </w:tr>
      <w:tr w:rsidR="00DD6476" w:rsidRPr="00DD6476" w:rsidTr="00DD6476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投资目标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C7755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在保持理财资产的低风险的前提下，力争实现业绩比较基准的投资回报。</w:t>
            </w:r>
          </w:p>
        </w:tc>
      </w:tr>
      <w:tr w:rsidR="00DD6476" w:rsidRPr="00DD6476" w:rsidTr="00DD6476">
        <w:trPr>
          <w:trHeight w:val="8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DD6476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投资策略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AC6994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固定期限，低风险</w:t>
            </w:r>
            <w:r w:rsidR="00A567E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，低估值波动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的稳健投资策略</w:t>
            </w:r>
          </w:p>
        </w:tc>
      </w:tr>
      <w:tr w:rsidR="00DD6476" w:rsidRPr="00DD647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6A5F01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当前</w:t>
            </w:r>
            <w:r w:rsidR="00DD6476"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业绩</w:t>
            </w:r>
            <w:proofErr w:type="gramEnd"/>
            <w:r w:rsidR="00DD6476"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比较基准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545CE3" w:rsidRDefault="00E81E6E" w:rsidP="005205F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81E6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兴业银行一年期定期存款利率(</w:t>
            </w:r>
            <w:r w:rsidRPr="00E81E6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1.95</w:t>
            </w:r>
            <w:r w:rsidRPr="00E81E6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%)+</w:t>
            </w:r>
            <w:r w:rsidRPr="00E81E6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3.</w:t>
            </w:r>
            <w:r w:rsidR="005205F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</w:t>
            </w:r>
            <w:r w:rsidRPr="00E81E6E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5</w:t>
            </w:r>
            <w:r w:rsidRPr="00E81E6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%</w:t>
            </w:r>
          </w:p>
        </w:tc>
      </w:tr>
      <w:tr w:rsidR="00545CE3" w:rsidRPr="00DD647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E3" w:rsidRPr="00545CE3" w:rsidRDefault="00545CE3" w:rsidP="00255AE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风险收益特征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E3" w:rsidRPr="00545CE3" w:rsidRDefault="00545CE3" w:rsidP="00255AE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本产品具有低风险、</w:t>
            </w:r>
            <w:r w:rsidR="00C7755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固定收益特征</w:t>
            </w:r>
          </w:p>
        </w:tc>
      </w:tr>
      <w:tr w:rsidR="00545CE3" w:rsidRPr="00DD647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E3" w:rsidRPr="00545CE3" w:rsidRDefault="00545CE3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管理人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E3" w:rsidRPr="00545CE3" w:rsidRDefault="00545CE3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  <w:tr w:rsidR="00545CE3" w:rsidRPr="00DD6476" w:rsidTr="00DD6476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E3" w:rsidRPr="00545CE3" w:rsidRDefault="00545CE3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托管人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E3" w:rsidRPr="00545CE3" w:rsidRDefault="00545CE3" w:rsidP="00DD647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45C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</w:tbl>
    <w:p w:rsidR="00674795" w:rsidRPr="00674795" w:rsidRDefault="00674795" w:rsidP="00674795">
      <w:pPr>
        <w:pStyle w:val="a9"/>
        <w:ind w:left="510" w:firstLineChars="0" w:firstLine="0"/>
        <w:rPr>
          <w:sz w:val="30"/>
          <w:szCs w:val="30"/>
        </w:rPr>
      </w:pPr>
    </w:p>
    <w:p w:rsidR="00674795" w:rsidRPr="002A17B8" w:rsidRDefault="00674795" w:rsidP="00382DA2">
      <w:pPr>
        <w:pStyle w:val="a9"/>
        <w:numPr>
          <w:ilvl w:val="0"/>
          <w:numId w:val="1"/>
        </w:numPr>
        <w:ind w:firstLineChars="0"/>
        <w:outlineLvl w:val="0"/>
        <w:rPr>
          <w:b/>
          <w:sz w:val="30"/>
          <w:szCs w:val="30"/>
        </w:rPr>
      </w:pPr>
      <w:bookmarkStart w:id="3" w:name="_Toc5885145"/>
      <w:r w:rsidRPr="002A17B8">
        <w:rPr>
          <w:rFonts w:hint="eastAsia"/>
          <w:b/>
          <w:sz w:val="30"/>
          <w:szCs w:val="30"/>
        </w:rPr>
        <w:t>产品收益表现</w:t>
      </w:r>
      <w:bookmarkEnd w:id="3"/>
    </w:p>
    <w:p w:rsidR="000447A7" w:rsidRDefault="00765D1B" w:rsidP="00AD01BE">
      <w:pPr>
        <w:ind w:firstLineChars="200" w:firstLine="600"/>
        <w:rPr>
          <w:sz w:val="30"/>
          <w:szCs w:val="30"/>
        </w:rPr>
      </w:pPr>
      <w:r w:rsidRPr="003C6D13">
        <w:rPr>
          <w:rFonts w:hint="eastAsia"/>
          <w:sz w:val="30"/>
          <w:szCs w:val="30"/>
        </w:rPr>
        <w:t>报告期内，本</w:t>
      </w:r>
      <w:proofErr w:type="gramStart"/>
      <w:r w:rsidRPr="003C6D13">
        <w:rPr>
          <w:rFonts w:hint="eastAsia"/>
          <w:sz w:val="30"/>
          <w:szCs w:val="30"/>
        </w:rPr>
        <w:t>产品</w:t>
      </w:r>
      <w:r w:rsidR="00AD01BE">
        <w:rPr>
          <w:rFonts w:hint="eastAsia"/>
          <w:sz w:val="30"/>
          <w:szCs w:val="30"/>
        </w:rPr>
        <w:t>年化收益率</w:t>
      </w:r>
      <w:proofErr w:type="gramEnd"/>
      <w:r w:rsidR="00AD01BE">
        <w:rPr>
          <w:rFonts w:hint="eastAsia"/>
          <w:sz w:val="30"/>
          <w:szCs w:val="30"/>
        </w:rPr>
        <w:t>为</w:t>
      </w:r>
      <w:r w:rsidR="00AD01BE">
        <w:rPr>
          <w:rFonts w:hint="eastAsia"/>
          <w:sz w:val="30"/>
          <w:szCs w:val="30"/>
        </w:rPr>
        <w:t>5.</w:t>
      </w:r>
      <w:r w:rsidR="00E40B7D">
        <w:rPr>
          <w:rFonts w:hint="eastAsia"/>
          <w:sz w:val="30"/>
          <w:szCs w:val="30"/>
        </w:rPr>
        <w:t>1</w:t>
      </w:r>
      <w:r w:rsidRPr="003C6D13">
        <w:rPr>
          <w:rFonts w:hint="eastAsia"/>
          <w:sz w:val="30"/>
          <w:szCs w:val="30"/>
        </w:rPr>
        <w:t>%</w:t>
      </w:r>
      <w:r w:rsidRPr="003C6D13">
        <w:rPr>
          <w:rFonts w:hint="eastAsia"/>
          <w:sz w:val="30"/>
          <w:szCs w:val="30"/>
        </w:rPr>
        <w:t>，</w:t>
      </w:r>
      <w:r w:rsidR="00AD01BE">
        <w:rPr>
          <w:rFonts w:hint="eastAsia"/>
          <w:sz w:val="30"/>
          <w:szCs w:val="30"/>
        </w:rPr>
        <w:t>达到业绩比较基准。</w:t>
      </w:r>
    </w:p>
    <w:p w:rsidR="00674795" w:rsidRPr="00462F45" w:rsidRDefault="00674795" w:rsidP="00674795">
      <w:pPr>
        <w:ind w:left="180" w:firstLine="420"/>
        <w:rPr>
          <w:rFonts w:ascii="宋体" w:eastAsia="宋体" w:hAnsi="宋体"/>
          <w:sz w:val="30"/>
          <w:szCs w:val="30"/>
        </w:rPr>
      </w:pPr>
      <w:r w:rsidRPr="00462F45">
        <w:rPr>
          <w:rFonts w:ascii="宋体" w:eastAsia="宋体" w:hAnsi="宋体" w:hint="eastAsia"/>
          <w:sz w:val="30"/>
          <w:szCs w:val="30"/>
        </w:rPr>
        <w:t>报告期末，产品净值</w:t>
      </w:r>
      <w:r>
        <w:rPr>
          <w:rFonts w:ascii="宋体" w:eastAsia="宋体" w:hAnsi="宋体" w:hint="eastAsia"/>
          <w:sz w:val="30"/>
          <w:szCs w:val="30"/>
        </w:rPr>
        <w:t>具体</w:t>
      </w:r>
      <w:r w:rsidRPr="00462F45">
        <w:rPr>
          <w:rFonts w:ascii="宋体" w:eastAsia="宋体" w:hAnsi="宋体" w:hint="eastAsia"/>
          <w:sz w:val="30"/>
          <w:szCs w:val="30"/>
        </w:rPr>
        <w:t>表现如下：</w:t>
      </w:r>
    </w:p>
    <w:tbl>
      <w:tblPr>
        <w:tblW w:w="6620" w:type="dxa"/>
        <w:jc w:val="center"/>
        <w:tblInd w:w="93" w:type="dxa"/>
        <w:tblLook w:val="04A0"/>
      </w:tblPr>
      <w:tblGrid>
        <w:gridCol w:w="1316"/>
        <w:gridCol w:w="1669"/>
        <w:gridCol w:w="1701"/>
        <w:gridCol w:w="1934"/>
      </w:tblGrid>
      <w:tr w:rsidR="00674795" w:rsidRPr="00462F45" w:rsidTr="00AE318E">
        <w:trPr>
          <w:trHeight w:val="555"/>
          <w:jc w:val="center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795" w:rsidRPr="00462F45" w:rsidRDefault="00674795" w:rsidP="00AE318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估值日期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795" w:rsidRPr="00462F45" w:rsidRDefault="00674795" w:rsidP="00AE318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产品份额净值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795" w:rsidRPr="00462F45" w:rsidRDefault="00674795" w:rsidP="00AE318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产品累计净值</w:t>
            </w:r>
          </w:p>
        </w:tc>
        <w:tc>
          <w:tcPr>
            <w:tcW w:w="1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795" w:rsidRPr="00462F45" w:rsidRDefault="00674795" w:rsidP="00AE318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产品资产净值</w:t>
            </w:r>
          </w:p>
        </w:tc>
      </w:tr>
      <w:tr w:rsidR="00674795" w:rsidRPr="00462F45" w:rsidTr="00AE318E">
        <w:trPr>
          <w:trHeight w:val="285"/>
          <w:jc w:val="center"/>
        </w:trPr>
        <w:tc>
          <w:tcPr>
            <w:tcW w:w="13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795" w:rsidRPr="00462F45" w:rsidRDefault="00674795" w:rsidP="0067479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62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 w:rsidRPr="00462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462F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795" w:rsidRPr="00462F45" w:rsidRDefault="00674795" w:rsidP="00AE318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795">
              <w:rPr>
                <w:rFonts w:ascii="宋体" w:eastAsia="宋体" w:hAnsi="宋体" w:cs="宋体"/>
                <w:color w:val="000000"/>
                <w:kern w:val="0"/>
                <w:sz w:val="22"/>
              </w:rPr>
              <w:t>1.026640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795" w:rsidRPr="00462F45" w:rsidRDefault="00674795" w:rsidP="00AE318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795">
              <w:rPr>
                <w:rFonts w:ascii="宋体" w:eastAsia="宋体" w:hAnsi="宋体" w:cs="宋体"/>
                <w:color w:val="000000"/>
                <w:kern w:val="0"/>
                <w:sz w:val="22"/>
              </w:rPr>
              <w:t>1.026640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795" w:rsidRPr="00462F45" w:rsidRDefault="00674795" w:rsidP="00AE318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4795">
              <w:rPr>
                <w:rFonts w:ascii="宋体" w:eastAsia="宋体" w:hAnsi="宋体" w:cs="宋体"/>
                <w:color w:val="000000"/>
                <w:kern w:val="0"/>
                <w:sz w:val="22"/>
              </w:rPr>
              <w:t>102,664,342.79</w:t>
            </w:r>
          </w:p>
        </w:tc>
      </w:tr>
    </w:tbl>
    <w:p w:rsidR="00AD01BE" w:rsidRPr="005B583E" w:rsidRDefault="00AD01BE" w:rsidP="00AD01BE">
      <w:pPr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5978D1" w:rsidRPr="00674795" w:rsidRDefault="001F2ACD" w:rsidP="00382DA2">
      <w:pPr>
        <w:pStyle w:val="a9"/>
        <w:numPr>
          <w:ilvl w:val="0"/>
          <w:numId w:val="1"/>
        </w:numPr>
        <w:ind w:firstLineChars="0"/>
        <w:outlineLvl w:val="0"/>
        <w:rPr>
          <w:b/>
          <w:sz w:val="30"/>
          <w:szCs w:val="30"/>
        </w:rPr>
      </w:pPr>
      <w:bookmarkStart w:id="4" w:name="_Toc5885146"/>
      <w:r w:rsidRPr="00674795">
        <w:rPr>
          <w:rFonts w:hint="eastAsia"/>
          <w:b/>
          <w:sz w:val="30"/>
          <w:szCs w:val="30"/>
        </w:rPr>
        <w:t>报告期内产品的投资策略和运作分析</w:t>
      </w:r>
      <w:bookmarkEnd w:id="4"/>
    </w:p>
    <w:p w:rsidR="00AD01BE" w:rsidRDefault="00AD01BE" w:rsidP="00AD01BE">
      <w:pPr>
        <w:ind w:firstLineChars="200" w:firstLine="600"/>
        <w:rPr>
          <w:sz w:val="30"/>
          <w:szCs w:val="30"/>
        </w:rPr>
      </w:pPr>
      <w:r w:rsidRPr="00AD01BE">
        <w:rPr>
          <w:rFonts w:hint="eastAsia"/>
          <w:sz w:val="30"/>
          <w:szCs w:val="30"/>
        </w:rPr>
        <w:t>本理财产品投资于</w:t>
      </w:r>
      <w:r w:rsidR="001422A9">
        <w:rPr>
          <w:rFonts w:hint="eastAsia"/>
          <w:sz w:val="30"/>
          <w:szCs w:val="30"/>
        </w:rPr>
        <w:t>同业借款资产</w:t>
      </w:r>
      <w:r w:rsidRPr="00AD01BE">
        <w:rPr>
          <w:rFonts w:hint="eastAsia"/>
          <w:sz w:val="30"/>
          <w:szCs w:val="30"/>
        </w:rPr>
        <w:t>，</w:t>
      </w:r>
      <w:r w:rsidR="001422A9">
        <w:rPr>
          <w:rFonts w:hint="eastAsia"/>
          <w:sz w:val="30"/>
          <w:szCs w:val="30"/>
        </w:rPr>
        <w:t>融资人为哈银金融租赁有限责任公司</w:t>
      </w:r>
      <w:r w:rsidRPr="00AD01BE">
        <w:rPr>
          <w:rFonts w:hint="eastAsia"/>
          <w:sz w:val="30"/>
          <w:szCs w:val="30"/>
        </w:rPr>
        <w:t>。</w:t>
      </w:r>
      <w:r w:rsidR="001422A9">
        <w:rPr>
          <w:rFonts w:hint="eastAsia"/>
          <w:sz w:val="30"/>
          <w:szCs w:val="30"/>
        </w:rPr>
        <w:t>同业借款是指金融机构之间开展的</w:t>
      </w:r>
      <w:r w:rsidR="001422A9">
        <w:rPr>
          <w:rFonts w:hint="eastAsia"/>
          <w:sz w:val="30"/>
          <w:szCs w:val="30"/>
        </w:rPr>
        <w:t>3</w:t>
      </w:r>
      <w:r w:rsidR="001422A9">
        <w:rPr>
          <w:rFonts w:hint="eastAsia"/>
          <w:sz w:val="30"/>
          <w:szCs w:val="30"/>
        </w:rPr>
        <w:t>年期以下银行间资金借贷，用以补足准备金和季节性资金需求</w:t>
      </w:r>
      <w:r w:rsidRPr="00AD01BE">
        <w:rPr>
          <w:rFonts w:hint="eastAsia"/>
          <w:sz w:val="30"/>
          <w:szCs w:val="30"/>
        </w:rPr>
        <w:t>。本理财产品投资标的为发行人凭借自身信用</w:t>
      </w:r>
      <w:r w:rsidR="001422A9">
        <w:rPr>
          <w:rFonts w:hint="eastAsia"/>
          <w:sz w:val="30"/>
          <w:szCs w:val="30"/>
        </w:rPr>
        <w:t>在我行拆借的</w:t>
      </w:r>
      <w:r w:rsidRPr="00AD01BE">
        <w:rPr>
          <w:rFonts w:hint="eastAsia"/>
          <w:sz w:val="30"/>
          <w:szCs w:val="30"/>
        </w:rPr>
        <w:t>固定收益</w:t>
      </w:r>
      <w:r w:rsidR="001422A9">
        <w:rPr>
          <w:rFonts w:hint="eastAsia"/>
          <w:sz w:val="30"/>
          <w:szCs w:val="30"/>
        </w:rPr>
        <w:t>同业借款</w:t>
      </w:r>
      <w:r w:rsidRPr="00AD01BE">
        <w:rPr>
          <w:rFonts w:hint="eastAsia"/>
          <w:sz w:val="30"/>
          <w:szCs w:val="30"/>
        </w:rPr>
        <w:t>。</w:t>
      </w:r>
    </w:p>
    <w:p w:rsidR="00AC6994" w:rsidRPr="00AC6994" w:rsidRDefault="001422A9" w:rsidP="008F4ADC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哈银金融租赁有限责任公司是经中国银监会批准设立，由哈尔滨</w:t>
      </w:r>
      <w:r w:rsidR="00213086">
        <w:rPr>
          <w:rFonts w:hint="eastAsia"/>
          <w:sz w:val="30"/>
          <w:szCs w:val="30"/>
        </w:rPr>
        <w:t>银行作为控股股东发起成立的金融机构，注册地位于黑龙江省哈尔滨市，是东北地区成立的首家</w:t>
      </w:r>
      <w:r>
        <w:rPr>
          <w:rFonts w:hint="eastAsia"/>
          <w:sz w:val="30"/>
          <w:szCs w:val="30"/>
        </w:rPr>
        <w:t>银行系金融租赁公司，注册资本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亿元。</w:t>
      </w:r>
      <w:r w:rsidR="00AC6994" w:rsidRPr="00AC6994">
        <w:rPr>
          <w:rFonts w:hint="eastAsia"/>
          <w:sz w:val="30"/>
          <w:szCs w:val="30"/>
        </w:rPr>
        <w:t>公司</w:t>
      </w:r>
      <w:r w:rsidR="00213086">
        <w:rPr>
          <w:rFonts w:hint="eastAsia"/>
          <w:sz w:val="30"/>
          <w:szCs w:val="30"/>
        </w:rPr>
        <w:t>秉持“弄字当头、聚焦农机、立足龙江、面向全国”的战略定位，服务三农，大力发展农机租赁业务，同时积极拓展现代物流、高新技术、新能源等行业领域的融资租赁业</w:t>
      </w:r>
      <w:r w:rsidR="00213086">
        <w:rPr>
          <w:rFonts w:hint="eastAsia"/>
          <w:sz w:val="30"/>
          <w:szCs w:val="30"/>
        </w:rPr>
        <w:lastRenderedPageBreak/>
        <w:t>务。</w:t>
      </w:r>
      <w:r w:rsidR="008F4ADC">
        <w:rPr>
          <w:rFonts w:hint="eastAsia"/>
          <w:sz w:val="30"/>
          <w:szCs w:val="30"/>
        </w:rPr>
        <w:t>截至目前公司未发生任何违约情况，各项监管指标均处正常状态。</w:t>
      </w:r>
    </w:p>
    <w:p w:rsidR="00DF2704" w:rsidRDefault="002A7E51" w:rsidP="002A7E51">
      <w:pPr>
        <w:ind w:firstLineChars="200" w:firstLine="600"/>
        <w:rPr>
          <w:sz w:val="30"/>
          <w:szCs w:val="30"/>
        </w:rPr>
      </w:pPr>
      <w:r w:rsidRPr="002A7E51">
        <w:rPr>
          <w:rFonts w:hint="eastAsia"/>
          <w:sz w:val="30"/>
          <w:szCs w:val="30"/>
        </w:rPr>
        <w:t>截至</w:t>
      </w:r>
      <w:r w:rsidRPr="002A7E51">
        <w:rPr>
          <w:rFonts w:hint="eastAsia"/>
          <w:sz w:val="30"/>
          <w:szCs w:val="30"/>
        </w:rPr>
        <w:t>2018</w:t>
      </w:r>
      <w:r w:rsidRPr="002A7E51">
        <w:rPr>
          <w:rFonts w:hint="eastAsia"/>
          <w:sz w:val="30"/>
          <w:szCs w:val="30"/>
        </w:rPr>
        <w:t>年末，</w:t>
      </w:r>
      <w:proofErr w:type="gramStart"/>
      <w:r w:rsidRPr="002A7E51">
        <w:rPr>
          <w:rFonts w:hint="eastAsia"/>
          <w:sz w:val="30"/>
          <w:szCs w:val="30"/>
        </w:rPr>
        <w:t>哈银金租总</w:t>
      </w:r>
      <w:proofErr w:type="gramEnd"/>
      <w:r w:rsidRPr="002A7E51">
        <w:rPr>
          <w:rFonts w:hint="eastAsia"/>
          <w:sz w:val="30"/>
          <w:szCs w:val="30"/>
        </w:rPr>
        <w:t>资产</w:t>
      </w:r>
      <w:r w:rsidRPr="002A7E51">
        <w:rPr>
          <w:rFonts w:hint="eastAsia"/>
          <w:sz w:val="30"/>
          <w:szCs w:val="30"/>
        </w:rPr>
        <w:t>233.75</w:t>
      </w:r>
      <w:r w:rsidRPr="002A7E51">
        <w:rPr>
          <w:rFonts w:hint="eastAsia"/>
          <w:sz w:val="30"/>
          <w:szCs w:val="30"/>
        </w:rPr>
        <w:t>亿元，总负债</w:t>
      </w:r>
      <w:r w:rsidRPr="002A7E51">
        <w:rPr>
          <w:rFonts w:hint="eastAsia"/>
          <w:sz w:val="30"/>
          <w:szCs w:val="30"/>
        </w:rPr>
        <w:t>206.91</w:t>
      </w:r>
      <w:r w:rsidRPr="002A7E51">
        <w:rPr>
          <w:rFonts w:hint="eastAsia"/>
          <w:sz w:val="30"/>
          <w:szCs w:val="30"/>
        </w:rPr>
        <w:t>亿元，所有者权益</w:t>
      </w:r>
      <w:r w:rsidRPr="002A7E51">
        <w:rPr>
          <w:rFonts w:hint="eastAsia"/>
          <w:sz w:val="30"/>
          <w:szCs w:val="30"/>
        </w:rPr>
        <w:t>26.84</w:t>
      </w:r>
      <w:r w:rsidRPr="002A7E51">
        <w:rPr>
          <w:rFonts w:hint="eastAsia"/>
          <w:sz w:val="30"/>
          <w:szCs w:val="30"/>
        </w:rPr>
        <w:t>亿元，</w:t>
      </w:r>
      <w:r w:rsidRPr="002A7E51">
        <w:rPr>
          <w:rFonts w:hint="eastAsia"/>
          <w:sz w:val="30"/>
          <w:szCs w:val="30"/>
        </w:rPr>
        <w:t>18</w:t>
      </w:r>
      <w:r w:rsidRPr="002A7E51">
        <w:rPr>
          <w:rFonts w:hint="eastAsia"/>
          <w:sz w:val="30"/>
          <w:szCs w:val="30"/>
        </w:rPr>
        <w:t>年实现营业收入</w:t>
      </w:r>
      <w:r w:rsidRPr="002A7E51">
        <w:rPr>
          <w:rFonts w:hint="eastAsia"/>
          <w:sz w:val="30"/>
          <w:szCs w:val="30"/>
        </w:rPr>
        <w:t>6.06</w:t>
      </w:r>
      <w:r w:rsidRPr="002A7E51">
        <w:rPr>
          <w:rFonts w:hint="eastAsia"/>
          <w:sz w:val="30"/>
          <w:szCs w:val="30"/>
        </w:rPr>
        <w:t>亿元、净利润</w:t>
      </w:r>
      <w:r w:rsidRPr="002A7E51">
        <w:rPr>
          <w:rFonts w:hint="eastAsia"/>
          <w:sz w:val="30"/>
          <w:szCs w:val="30"/>
        </w:rPr>
        <w:t>1.78</w:t>
      </w:r>
      <w:r w:rsidRPr="002A7E51">
        <w:rPr>
          <w:rFonts w:hint="eastAsia"/>
          <w:sz w:val="30"/>
          <w:szCs w:val="30"/>
        </w:rPr>
        <w:t>亿元，资产负债率</w:t>
      </w:r>
      <w:r w:rsidRPr="002A7E51">
        <w:rPr>
          <w:rFonts w:hint="eastAsia"/>
          <w:sz w:val="30"/>
          <w:szCs w:val="30"/>
        </w:rPr>
        <w:t>88.52%</w:t>
      </w:r>
      <w:r w:rsidRPr="002A7E51">
        <w:rPr>
          <w:rFonts w:hint="eastAsia"/>
          <w:sz w:val="30"/>
          <w:szCs w:val="30"/>
        </w:rPr>
        <w:t>，净资产收益率</w:t>
      </w:r>
      <w:r w:rsidRPr="002A7E51">
        <w:rPr>
          <w:rFonts w:hint="eastAsia"/>
          <w:sz w:val="30"/>
          <w:szCs w:val="30"/>
        </w:rPr>
        <w:t>6.63%</w:t>
      </w:r>
      <w:r w:rsidRPr="002A7E51">
        <w:rPr>
          <w:rFonts w:hint="eastAsia"/>
          <w:sz w:val="30"/>
          <w:szCs w:val="30"/>
        </w:rPr>
        <w:t>。</w:t>
      </w:r>
      <w:bookmarkStart w:id="5" w:name="_GoBack"/>
      <w:bookmarkEnd w:id="5"/>
    </w:p>
    <w:p w:rsidR="00674795" w:rsidRDefault="00674795" w:rsidP="00674795">
      <w:pPr>
        <w:rPr>
          <w:sz w:val="30"/>
          <w:szCs w:val="30"/>
        </w:rPr>
      </w:pPr>
    </w:p>
    <w:p w:rsidR="00674795" w:rsidRPr="00674795" w:rsidRDefault="00674795" w:rsidP="00382DA2">
      <w:pPr>
        <w:pStyle w:val="a9"/>
        <w:numPr>
          <w:ilvl w:val="0"/>
          <w:numId w:val="1"/>
        </w:numPr>
        <w:ind w:firstLineChars="0"/>
        <w:outlineLvl w:val="0"/>
        <w:rPr>
          <w:b/>
          <w:sz w:val="30"/>
          <w:szCs w:val="30"/>
        </w:rPr>
      </w:pPr>
      <w:bookmarkStart w:id="6" w:name="_Toc5885147"/>
      <w:r w:rsidRPr="00674795">
        <w:rPr>
          <w:rFonts w:hint="eastAsia"/>
          <w:b/>
          <w:sz w:val="30"/>
          <w:szCs w:val="30"/>
        </w:rPr>
        <w:t>2019</w:t>
      </w:r>
      <w:r w:rsidRPr="00674795">
        <w:rPr>
          <w:rFonts w:hint="eastAsia"/>
          <w:b/>
          <w:sz w:val="30"/>
          <w:szCs w:val="30"/>
        </w:rPr>
        <w:t>年第</w:t>
      </w:r>
      <w:r w:rsidRPr="00674795">
        <w:rPr>
          <w:rFonts w:hint="eastAsia"/>
          <w:b/>
          <w:sz w:val="30"/>
          <w:szCs w:val="30"/>
        </w:rPr>
        <w:t>1</w:t>
      </w:r>
      <w:r w:rsidRPr="00674795">
        <w:rPr>
          <w:rFonts w:hint="eastAsia"/>
          <w:b/>
          <w:sz w:val="30"/>
          <w:szCs w:val="30"/>
        </w:rPr>
        <w:t>季度财务会计报告</w:t>
      </w:r>
      <w:bookmarkEnd w:id="6"/>
    </w:p>
    <w:p w:rsidR="00674795" w:rsidRPr="00674795" w:rsidRDefault="00674795" w:rsidP="00674795">
      <w:pPr>
        <w:pStyle w:val="a9"/>
        <w:numPr>
          <w:ilvl w:val="0"/>
          <w:numId w:val="3"/>
        </w:numPr>
        <w:ind w:firstLineChars="0"/>
        <w:outlineLvl w:val="1"/>
        <w:rPr>
          <w:b/>
          <w:sz w:val="30"/>
          <w:szCs w:val="30"/>
        </w:rPr>
      </w:pPr>
      <w:bookmarkStart w:id="7" w:name="_Toc534991166"/>
      <w:bookmarkStart w:id="8" w:name="_Toc535245297"/>
      <w:bookmarkStart w:id="9" w:name="_Toc5885148"/>
      <w:r w:rsidRPr="00A1013B">
        <w:rPr>
          <w:rFonts w:hint="eastAsia"/>
          <w:b/>
          <w:sz w:val="30"/>
          <w:szCs w:val="30"/>
        </w:rPr>
        <w:t>资产负债表</w:t>
      </w:r>
      <w:bookmarkEnd w:id="7"/>
      <w:bookmarkEnd w:id="8"/>
      <w:bookmarkEnd w:id="9"/>
    </w:p>
    <w:p w:rsidR="00674795" w:rsidRPr="00A1013B" w:rsidRDefault="00674795" w:rsidP="00674795">
      <w:pPr>
        <w:ind w:left="720"/>
        <w:rPr>
          <w:rFonts w:ascii="宋体" w:eastAsia="宋体" w:hAnsi="宋体" w:cs="宋体"/>
          <w:color w:val="000000"/>
          <w:kern w:val="0"/>
          <w:sz w:val="22"/>
        </w:rPr>
      </w:pPr>
      <w:r w:rsidRPr="00A1013B">
        <w:rPr>
          <w:rFonts w:ascii="宋体" w:eastAsia="宋体" w:hAnsi="宋体" w:cs="Times New Roman" w:hint="eastAsia"/>
          <w:sz w:val="22"/>
        </w:rPr>
        <w:t>会计主体：</w:t>
      </w:r>
      <w:r w:rsidRPr="006D7F28">
        <w:rPr>
          <w:rFonts w:ascii="宋体" w:eastAsia="宋体" w:hAnsi="宋体" w:cs="Times New Roman" w:hint="eastAsia"/>
          <w:sz w:val="22"/>
        </w:rPr>
        <w:t>兴业银行“万利宝-聚利”2018年第5期封闭式净值型理财产品 (北京私行专属)</w:t>
      </w:r>
    </w:p>
    <w:p w:rsidR="00674795" w:rsidRPr="00A1013B" w:rsidRDefault="00674795" w:rsidP="00674795">
      <w:pPr>
        <w:ind w:left="300" w:firstLine="420"/>
        <w:rPr>
          <w:rFonts w:ascii="宋体" w:eastAsia="宋体" w:hAnsi="宋体" w:cs="宋体"/>
          <w:color w:val="000000"/>
          <w:kern w:val="0"/>
          <w:sz w:val="22"/>
        </w:rPr>
      </w:pPr>
      <w:r w:rsidRPr="00A1013B">
        <w:rPr>
          <w:rFonts w:ascii="宋体" w:eastAsia="宋体" w:hAnsi="宋体" w:cs="宋体" w:hint="eastAsia"/>
          <w:color w:val="000000"/>
          <w:kern w:val="0"/>
          <w:sz w:val="22"/>
        </w:rPr>
        <w:t>报告截止日：201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9</w:t>
      </w:r>
      <w:r w:rsidRPr="00A1013B">
        <w:rPr>
          <w:rFonts w:ascii="宋体" w:eastAsia="宋体" w:hAnsi="宋体" w:cs="宋体" w:hint="eastAsia"/>
          <w:color w:val="000000"/>
          <w:kern w:val="0"/>
          <w:sz w:val="22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3</w:t>
      </w:r>
      <w:r w:rsidRPr="00A1013B">
        <w:rPr>
          <w:rFonts w:ascii="宋体" w:eastAsia="宋体" w:hAnsi="宋体" w:cs="宋体" w:hint="eastAsia"/>
          <w:color w:val="000000"/>
          <w:kern w:val="0"/>
          <w:sz w:val="22"/>
        </w:rPr>
        <w:t>月31日</w:t>
      </w:r>
    </w:p>
    <w:tbl>
      <w:tblPr>
        <w:tblW w:w="9180" w:type="dxa"/>
        <w:jc w:val="center"/>
        <w:tblInd w:w="95" w:type="dxa"/>
        <w:tblLook w:val="04A0"/>
      </w:tblPr>
      <w:tblGrid>
        <w:gridCol w:w="1117"/>
        <w:gridCol w:w="1607"/>
        <w:gridCol w:w="1607"/>
        <w:gridCol w:w="1545"/>
        <w:gridCol w:w="1652"/>
        <w:gridCol w:w="1652"/>
      </w:tblGrid>
      <w:tr w:rsidR="0030158E" w:rsidRPr="0030158E" w:rsidTr="0030158E">
        <w:trPr>
          <w:trHeight w:val="285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报表名称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资产负债表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报表类型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日报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报表日期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2019-03-31</w:t>
            </w:r>
          </w:p>
        </w:tc>
      </w:tr>
      <w:tr w:rsidR="0030158E" w:rsidRPr="0030158E" w:rsidTr="0030158E">
        <w:trPr>
          <w:trHeight w:val="510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机构名称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理财产品代码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1K118005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理财产品名称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万利宝</w:t>
            </w:r>
            <w:proofErr w:type="gramStart"/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聚利业绩</w:t>
            </w:r>
            <w:proofErr w:type="gramEnd"/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基准</w:t>
            </w: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5.1%</w:t>
            </w: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北京</w:t>
            </w: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名单制销售</w:t>
            </w:r>
          </w:p>
        </w:tc>
      </w:tr>
      <w:tr w:rsidR="0030158E" w:rsidRPr="0030158E" w:rsidTr="0030158E">
        <w:trPr>
          <w:trHeight w:val="28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币种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0158E" w:rsidRPr="0030158E" w:rsidTr="0030158E">
        <w:trPr>
          <w:trHeight w:val="5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资产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期末余额（2019年3月31日）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期初余额（2018年12月31日）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负债和所有者权益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期末余额（2019年3月31日）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期初余额（2018年12月31日）</w:t>
            </w:r>
          </w:p>
        </w:tc>
      </w:tr>
      <w:tr w:rsidR="0030158E" w:rsidRPr="0030158E" w:rsidTr="0030158E">
        <w:trPr>
          <w:trHeight w:val="28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资产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负债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0158E" w:rsidRPr="0030158E" w:rsidTr="0030158E">
        <w:trPr>
          <w:trHeight w:val="2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银行存款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2,844,979.02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1,428,194.44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拆入资金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存出保证金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交易性金融负债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拆出资金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100,000,000.00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100,000,000.00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衍生金融负债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交易性金融资产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卖出回购金融资产款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衍生金融资产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应付管理人报酬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268,273.92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142,520.52 </w:t>
            </w:r>
          </w:p>
        </w:tc>
      </w:tr>
      <w:tr w:rsidR="0030158E" w:rsidRPr="0030158E" w:rsidTr="0030158E">
        <w:trPr>
          <w:trHeight w:val="2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买入返售金融资产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应付托管费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5,260.80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2,794.80 </w:t>
            </w:r>
          </w:p>
        </w:tc>
      </w:tr>
      <w:tr w:rsidR="0030158E" w:rsidRPr="0030158E" w:rsidTr="0030158E">
        <w:trPr>
          <w:trHeight w:val="2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可供出售金融资产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应付销售服务费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52,602.24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27,944.94 </w:t>
            </w:r>
          </w:p>
        </w:tc>
      </w:tr>
      <w:tr w:rsidR="0030158E" w:rsidRPr="0030158E" w:rsidTr="0030158E">
        <w:trPr>
          <w:trHeight w:val="2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应收款项类投资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应交税费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持有到期投资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应付利息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应收利息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173,682.02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173,162.47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应付利润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应收股利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其他负债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其他资产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应付</w:t>
            </w:r>
            <w:proofErr w:type="gramStart"/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赎回款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8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负债合计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326,136.96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173,260.26 </w:t>
            </w:r>
          </w:p>
        </w:tc>
      </w:tr>
      <w:tr w:rsidR="0030158E" w:rsidRPr="0030158E" w:rsidTr="0030158E">
        <w:trPr>
          <w:trHeight w:val="28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所有者权益：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30158E" w:rsidRPr="0030158E" w:rsidTr="0030158E">
        <w:trPr>
          <w:trHeight w:val="2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实收资金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100,000,000.00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100,000,000.00 </w:t>
            </w:r>
          </w:p>
        </w:tc>
      </w:tr>
      <w:tr w:rsidR="0030158E" w:rsidRPr="0030158E" w:rsidTr="0030158E">
        <w:trPr>
          <w:trHeight w:val="2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资本公积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未分配利润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2,692,524.08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1,428,096.65 </w:t>
            </w:r>
          </w:p>
        </w:tc>
      </w:tr>
      <w:tr w:rsidR="0030158E" w:rsidRPr="0030158E" w:rsidTr="0030158E">
        <w:trPr>
          <w:trHeight w:val="2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>损益平准金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8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所有者权益合计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102,692,524.08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101,428,096.65 </w:t>
            </w:r>
          </w:p>
        </w:tc>
      </w:tr>
      <w:tr w:rsidR="0030158E" w:rsidRPr="0030158E" w:rsidTr="0030158E">
        <w:trPr>
          <w:trHeight w:val="555"/>
          <w:jc w:val="center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资产总计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103,018,661.04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101,601,356.91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30158E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负债和所有者权益总计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103,018,661.04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101,601,356.91 </w:t>
            </w:r>
          </w:p>
        </w:tc>
      </w:tr>
    </w:tbl>
    <w:p w:rsidR="0030158E" w:rsidRPr="0030158E" w:rsidRDefault="0030158E" w:rsidP="0030158E">
      <w:pPr>
        <w:pStyle w:val="a9"/>
        <w:numPr>
          <w:ilvl w:val="0"/>
          <w:numId w:val="3"/>
        </w:numPr>
        <w:ind w:firstLineChars="0"/>
        <w:outlineLvl w:val="1"/>
        <w:rPr>
          <w:b/>
          <w:sz w:val="30"/>
          <w:szCs w:val="30"/>
        </w:rPr>
      </w:pPr>
      <w:bookmarkStart w:id="10" w:name="_Toc535245298"/>
      <w:bookmarkStart w:id="11" w:name="_Toc5885149"/>
      <w:r w:rsidRPr="0030158E">
        <w:rPr>
          <w:rFonts w:hint="eastAsia"/>
          <w:b/>
          <w:sz w:val="30"/>
          <w:szCs w:val="30"/>
        </w:rPr>
        <w:t>利润表</w:t>
      </w:r>
      <w:bookmarkEnd w:id="10"/>
      <w:bookmarkEnd w:id="11"/>
    </w:p>
    <w:p w:rsidR="0030158E" w:rsidRPr="00D00608" w:rsidRDefault="0030158E" w:rsidP="0030158E">
      <w:pPr>
        <w:ind w:left="720"/>
        <w:rPr>
          <w:rFonts w:ascii="宋体" w:eastAsia="宋体" w:hAnsi="宋体" w:cs="宋体"/>
          <w:color w:val="000000"/>
          <w:kern w:val="0"/>
          <w:sz w:val="22"/>
        </w:rPr>
      </w:pPr>
      <w:r w:rsidRPr="00D00608">
        <w:rPr>
          <w:rFonts w:ascii="宋体" w:eastAsia="宋体" w:hAnsi="宋体" w:cs="Times New Roman" w:hint="eastAsia"/>
          <w:sz w:val="22"/>
        </w:rPr>
        <w:t>会计主体：兴业银行“万利宝-聚利”2018年第5期封闭式净值型理财产品 (北京私行专属)</w:t>
      </w:r>
    </w:p>
    <w:p w:rsidR="0030158E" w:rsidRDefault="0030158E" w:rsidP="0030158E">
      <w:pPr>
        <w:ind w:left="300" w:firstLine="420"/>
        <w:rPr>
          <w:rFonts w:ascii="宋体" w:eastAsia="宋体" w:hAnsi="宋体" w:cs="宋体"/>
          <w:color w:val="000000"/>
          <w:kern w:val="0"/>
          <w:sz w:val="22"/>
        </w:rPr>
      </w:pPr>
      <w:r w:rsidRPr="00D00608">
        <w:rPr>
          <w:rFonts w:ascii="宋体" w:eastAsia="宋体" w:hAnsi="宋体" w:cs="宋体" w:hint="eastAsia"/>
          <w:color w:val="000000"/>
          <w:kern w:val="0"/>
          <w:sz w:val="22"/>
        </w:rPr>
        <w:t>本报告期：201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9</w:t>
      </w:r>
      <w:r w:rsidRPr="00D00608">
        <w:rPr>
          <w:rFonts w:ascii="宋体" w:eastAsia="宋体" w:hAnsi="宋体" w:cs="宋体" w:hint="eastAsia"/>
          <w:color w:val="000000"/>
          <w:kern w:val="0"/>
          <w:sz w:val="22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1</w:t>
      </w:r>
      <w:r w:rsidRPr="00D00608">
        <w:rPr>
          <w:rFonts w:ascii="宋体" w:eastAsia="宋体" w:hAnsi="宋体" w:cs="宋体" w:hint="eastAsia"/>
          <w:color w:val="000000"/>
          <w:kern w:val="0"/>
          <w:sz w:val="22"/>
        </w:rPr>
        <w:t>月1日至201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9</w:t>
      </w:r>
      <w:r w:rsidRPr="00D00608">
        <w:rPr>
          <w:rFonts w:ascii="宋体" w:eastAsia="宋体" w:hAnsi="宋体" w:cs="宋体" w:hint="eastAsia"/>
          <w:color w:val="000000"/>
          <w:kern w:val="0"/>
          <w:sz w:val="22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3</w:t>
      </w:r>
      <w:r w:rsidRPr="00D00608">
        <w:rPr>
          <w:rFonts w:ascii="宋体" w:eastAsia="宋体" w:hAnsi="宋体" w:cs="宋体" w:hint="eastAsia"/>
          <w:color w:val="000000"/>
          <w:kern w:val="0"/>
          <w:sz w:val="22"/>
        </w:rPr>
        <w:t>月31日</w:t>
      </w:r>
    </w:p>
    <w:tbl>
      <w:tblPr>
        <w:tblW w:w="6580" w:type="dxa"/>
        <w:jc w:val="center"/>
        <w:tblInd w:w="95" w:type="dxa"/>
        <w:tblLook w:val="04A0"/>
      </w:tblPr>
      <w:tblGrid>
        <w:gridCol w:w="4120"/>
        <w:gridCol w:w="2460"/>
      </w:tblGrid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8E" w:rsidRPr="0030158E" w:rsidRDefault="0030158E" w:rsidP="003015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15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8E" w:rsidRPr="0030158E" w:rsidRDefault="0030158E" w:rsidP="0030158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0158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本期金额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一、收入</w:t>
            </w: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1,417,304.00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1.</w:t>
            </w: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利息收入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1,417,304.00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其中：存款利息收入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4,804.00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存出保证金利息收入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债券利息收入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拆出资金利息收入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1,412,500.00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买入返售金融资产收入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其他利息收入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2.</w:t>
            </w:r>
            <w:r w:rsidRPr="003015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投资收益（损失以</w:t>
            </w: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“-”</w:t>
            </w:r>
            <w:r w:rsidRPr="003015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填列）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其中：贵金属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交易性金融资产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衍生工具收益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可供出售金融资产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交易性金融负债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应收款项类投资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持有到期投资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其他投资收益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3.</w:t>
            </w:r>
            <w:r w:rsidRPr="003015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公允价值变动收益（损失以</w:t>
            </w: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“-”</w:t>
            </w:r>
            <w:r w:rsidRPr="003015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号填列）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4.</w:t>
            </w: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汇兑损益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5.</w:t>
            </w:r>
            <w:r w:rsidRPr="003015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其他收入（损失以</w:t>
            </w: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“-”</w:t>
            </w:r>
            <w:r w:rsidRPr="003015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号填列）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二、费用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152,876.70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1</w:t>
            </w:r>
            <w:r w:rsidRPr="003015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．管理人报酬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125,753.40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2</w:t>
            </w: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．托管费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2,466.00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3</w:t>
            </w: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．销售服务费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24,657.30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lastRenderedPageBreak/>
              <w:t>4</w:t>
            </w:r>
            <w:r w:rsidRPr="003015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．利息支出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其中：卖出回购金融资产支出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拆入资金利息支出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其他利息支出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5</w:t>
            </w: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．其他费用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</w:pPr>
            <w:r w:rsidRPr="0030158E">
              <w:rPr>
                <w:rFonts w:ascii="Verdana" w:eastAsia="宋体" w:hAnsi="Verdana" w:cs="宋体"/>
                <w:b/>
                <w:bCs/>
                <w:kern w:val="0"/>
                <w:sz w:val="18"/>
                <w:szCs w:val="18"/>
              </w:rPr>
              <w:t>6.</w:t>
            </w:r>
            <w:r w:rsidRPr="0030158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资产损失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30158E" w:rsidRPr="0030158E" w:rsidTr="0030158E">
        <w:trPr>
          <w:trHeight w:val="270"/>
          <w:jc w:val="center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noWrap/>
            <w:hideMark/>
          </w:tcPr>
          <w:p w:rsidR="0030158E" w:rsidRPr="0030158E" w:rsidRDefault="0030158E" w:rsidP="0030158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30158E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三、利润总额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58E" w:rsidRPr="0030158E" w:rsidRDefault="0030158E" w:rsidP="0030158E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0158E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1,264,427.30 </w:t>
            </w:r>
          </w:p>
        </w:tc>
      </w:tr>
    </w:tbl>
    <w:p w:rsidR="00674795" w:rsidRPr="0030158E" w:rsidRDefault="00674795" w:rsidP="00674795">
      <w:pPr>
        <w:rPr>
          <w:sz w:val="30"/>
          <w:szCs w:val="30"/>
        </w:rPr>
      </w:pPr>
    </w:p>
    <w:p w:rsidR="00D76D60" w:rsidRPr="00D76D60" w:rsidRDefault="00D76D60" w:rsidP="00D76D60">
      <w:pPr>
        <w:pStyle w:val="a9"/>
        <w:numPr>
          <w:ilvl w:val="0"/>
          <w:numId w:val="3"/>
        </w:numPr>
        <w:ind w:firstLineChars="0"/>
        <w:outlineLvl w:val="1"/>
        <w:rPr>
          <w:b/>
          <w:sz w:val="30"/>
          <w:szCs w:val="30"/>
        </w:rPr>
      </w:pPr>
      <w:bookmarkStart w:id="12" w:name="_Toc535245299"/>
      <w:bookmarkStart w:id="13" w:name="_Toc5885150"/>
      <w:r w:rsidRPr="00D76D60">
        <w:rPr>
          <w:rFonts w:hint="eastAsia"/>
          <w:b/>
          <w:sz w:val="30"/>
          <w:szCs w:val="30"/>
        </w:rPr>
        <w:t>所有者权益（产品净值）变动表</w:t>
      </w:r>
      <w:bookmarkEnd w:id="12"/>
      <w:bookmarkEnd w:id="13"/>
    </w:p>
    <w:p w:rsidR="00D76D60" w:rsidRPr="00D76D60" w:rsidRDefault="00D76D60" w:rsidP="00D76D60">
      <w:pPr>
        <w:pStyle w:val="a9"/>
        <w:ind w:left="87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D76D60">
        <w:rPr>
          <w:rFonts w:ascii="宋体" w:eastAsia="宋体" w:hAnsi="宋体" w:cs="Times New Roman" w:hint="eastAsia"/>
          <w:sz w:val="22"/>
        </w:rPr>
        <w:t>会计主体：兴业银行“万利宝-聚利”2018年第5期封闭式净值型理财产品 (北京私行专属)</w:t>
      </w:r>
    </w:p>
    <w:p w:rsidR="00D76D60" w:rsidRPr="00D76D60" w:rsidRDefault="00D76D60" w:rsidP="00D76D60">
      <w:pPr>
        <w:pStyle w:val="a9"/>
        <w:ind w:left="870" w:firstLineChars="0" w:firstLine="0"/>
        <w:rPr>
          <w:rFonts w:ascii="宋体" w:eastAsia="宋体" w:hAnsi="宋体" w:cs="宋体"/>
          <w:color w:val="000000"/>
          <w:kern w:val="0"/>
          <w:sz w:val="22"/>
        </w:rPr>
      </w:pPr>
      <w:r w:rsidRPr="00D76D60">
        <w:rPr>
          <w:rFonts w:ascii="宋体" w:eastAsia="宋体" w:hAnsi="宋体" w:cs="宋体" w:hint="eastAsia"/>
          <w:color w:val="000000"/>
          <w:kern w:val="0"/>
          <w:sz w:val="22"/>
        </w:rPr>
        <w:t>本报告期：2019年1月1日至2019年3月31日</w:t>
      </w:r>
    </w:p>
    <w:tbl>
      <w:tblPr>
        <w:tblW w:w="9160" w:type="dxa"/>
        <w:jc w:val="center"/>
        <w:tblInd w:w="95" w:type="dxa"/>
        <w:tblLook w:val="04A0"/>
      </w:tblPr>
      <w:tblGrid>
        <w:gridCol w:w="3280"/>
        <w:gridCol w:w="2040"/>
        <w:gridCol w:w="1800"/>
        <w:gridCol w:w="2040"/>
      </w:tblGrid>
      <w:tr w:rsidR="00D76D60" w:rsidRPr="00D76D60" w:rsidTr="00D76D60">
        <w:trPr>
          <w:trHeight w:val="24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60" w:rsidRPr="00D76D60" w:rsidRDefault="00D76D60" w:rsidP="00D76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编制单位：兴业银行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60" w:rsidRPr="00D76D60" w:rsidRDefault="00D76D60" w:rsidP="00D76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60" w:rsidRPr="00D76D60" w:rsidRDefault="00D76D60" w:rsidP="00D76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D60" w:rsidRPr="00D76D60" w:rsidRDefault="00D76D60" w:rsidP="00D76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D76D60" w:rsidRPr="00D76D60" w:rsidTr="00D76D60">
        <w:trPr>
          <w:trHeight w:val="240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本期金额</w:t>
            </w:r>
          </w:p>
        </w:tc>
      </w:tr>
      <w:tr w:rsidR="00D76D60" w:rsidRPr="00D76D60" w:rsidTr="00D76D60">
        <w:trPr>
          <w:trHeight w:val="24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实收基金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未分配利润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所有者权益合计</w:t>
            </w:r>
          </w:p>
        </w:tc>
      </w:tr>
      <w:tr w:rsidR="00D76D60" w:rsidRPr="00D76D60" w:rsidTr="00D76D60">
        <w:trPr>
          <w:trHeight w:val="24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一、期初所有者权益（基金净值）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100,000,000.00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1,428,096.65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101,428,096.65 </w:t>
            </w:r>
          </w:p>
        </w:tc>
      </w:tr>
      <w:tr w:rsidR="00D76D60" w:rsidRPr="00D76D60" w:rsidTr="00D76D60">
        <w:trPr>
          <w:trHeight w:val="48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二、本期经营活动产生的基金净值变动数（本期净利润）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1,264,427.43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1,264,427.43 </w:t>
            </w:r>
          </w:p>
        </w:tc>
      </w:tr>
      <w:tr w:rsidR="00D76D60" w:rsidRPr="00D76D60" w:rsidTr="00D76D60">
        <w:trPr>
          <w:trHeight w:val="48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三、本期基金份额交易产生的基金净值变动数（减少以“-”号填列）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D76D60" w:rsidRPr="00D76D60" w:rsidTr="00D76D60">
        <w:trPr>
          <w:trHeight w:val="48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其中：</w:t>
            </w: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1.基金申购款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D76D60" w:rsidRPr="00D76D60" w:rsidTr="00D76D60">
        <w:trPr>
          <w:trHeight w:val="72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ind w:firstLineChars="300" w:firstLine="6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2.基金</w:t>
            </w:r>
            <w:proofErr w:type="gramStart"/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赎回款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D76D60" w:rsidRPr="00D76D60" w:rsidTr="00D76D60">
        <w:trPr>
          <w:trHeight w:val="48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四、本期向基金份额持有人分配利润产生的基金净值变动数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D76D60" w:rsidRPr="00D76D60" w:rsidTr="00D76D60">
        <w:trPr>
          <w:trHeight w:val="24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五、期末所有者权益（基金净值）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100,000,000.00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2,692,524.08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102,692,524.08 </w:t>
            </w:r>
          </w:p>
        </w:tc>
      </w:tr>
      <w:tr w:rsidR="00D76D60" w:rsidRPr="00D76D60" w:rsidTr="00D76D60">
        <w:trPr>
          <w:trHeight w:val="24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上期金额</w:t>
            </w:r>
          </w:p>
        </w:tc>
      </w:tr>
      <w:tr w:rsidR="00D76D60" w:rsidRPr="00D76D60" w:rsidTr="00D76D60">
        <w:trPr>
          <w:trHeight w:val="24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实收基金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未分配利润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所有者权益合计</w:t>
            </w:r>
          </w:p>
        </w:tc>
      </w:tr>
      <w:tr w:rsidR="00D76D60" w:rsidRPr="00D76D60" w:rsidTr="00D76D60">
        <w:trPr>
          <w:trHeight w:val="24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一、期初所有者权益（基金净值）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100,000,000.00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139,958.10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100,139,958.10 </w:t>
            </w:r>
          </w:p>
        </w:tc>
      </w:tr>
      <w:tr w:rsidR="00D76D60" w:rsidRPr="00D76D60" w:rsidTr="00D76D60">
        <w:trPr>
          <w:trHeight w:val="48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二、本期经营活动产生的基金净值变动数（本期净利润）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1,288,138.55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1,288,138.55 </w:t>
            </w:r>
          </w:p>
        </w:tc>
      </w:tr>
      <w:tr w:rsidR="00D76D60" w:rsidRPr="00D76D60" w:rsidTr="00D76D60">
        <w:trPr>
          <w:trHeight w:val="48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三、本期基金份额交易产生的基金净值变动数（减少以“-”号填列）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D76D60" w:rsidRPr="00D76D60" w:rsidTr="00D76D60">
        <w:trPr>
          <w:trHeight w:val="48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其中：</w:t>
            </w: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1.基金申购款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D76D60" w:rsidRPr="00D76D60" w:rsidTr="00D76D60">
        <w:trPr>
          <w:trHeight w:val="72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ind w:firstLineChars="300" w:firstLine="6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2.基金</w:t>
            </w:r>
            <w:proofErr w:type="gramStart"/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赎回款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D76D60" w:rsidRPr="00D76D60" w:rsidTr="00D76D60">
        <w:trPr>
          <w:trHeight w:val="48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四、本期向基金份额持有人分配利润产生的基金净值变动数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D76D60" w:rsidRPr="00D76D60" w:rsidTr="00D76D60">
        <w:trPr>
          <w:trHeight w:val="24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五、期末所有者权益（基金净值）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100,000,000.00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1,428,096.65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60" w:rsidRPr="00D76D60" w:rsidRDefault="00D76D60" w:rsidP="00D76D6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76D6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101,428,096.65 </w:t>
            </w:r>
          </w:p>
        </w:tc>
      </w:tr>
    </w:tbl>
    <w:p w:rsidR="00DF2704" w:rsidRDefault="00DF2704" w:rsidP="00B36784">
      <w:pPr>
        <w:ind w:firstLineChars="200" w:firstLine="600"/>
        <w:rPr>
          <w:sz w:val="30"/>
          <w:szCs w:val="30"/>
        </w:rPr>
      </w:pPr>
    </w:p>
    <w:p w:rsidR="00D76D60" w:rsidRPr="00D76D60" w:rsidRDefault="00D76D60" w:rsidP="00382DA2">
      <w:pPr>
        <w:pStyle w:val="a9"/>
        <w:numPr>
          <w:ilvl w:val="0"/>
          <w:numId w:val="1"/>
        </w:numPr>
        <w:ind w:firstLineChars="0"/>
        <w:outlineLvl w:val="0"/>
        <w:rPr>
          <w:b/>
          <w:sz w:val="30"/>
          <w:szCs w:val="30"/>
        </w:rPr>
      </w:pPr>
      <w:bookmarkStart w:id="14" w:name="_Toc534991169"/>
      <w:bookmarkStart w:id="15" w:name="_Toc535245300"/>
      <w:bookmarkStart w:id="16" w:name="_Toc5885151"/>
      <w:r w:rsidRPr="00FB78DF">
        <w:rPr>
          <w:rFonts w:hint="eastAsia"/>
          <w:b/>
          <w:sz w:val="30"/>
          <w:szCs w:val="30"/>
        </w:rPr>
        <w:t>投资组合情况</w:t>
      </w:r>
      <w:bookmarkEnd w:id="14"/>
      <w:bookmarkEnd w:id="15"/>
      <w:bookmarkEnd w:id="16"/>
    </w:p>
    <w:p w:rsidR="00D76D60" w:rsidRPr="00D76D60" w:rsidRDefault="00D76D60" w:rsidP="00D76D60">
      <w:pPr>
        <w:pStyle w:val="a9"/>
        <w:numPr>
          <w:ilvl w:val="0"/>
          <w:numId w:val="5"/>
        </w:numPr>
        <w:ind w:firstLineChars="0"/>
        <w:outlineLvl w:val="1"/>
        <w:rPr>
          <w:b/>
          <w:sz w:val="30"/>
          <w:szCs w:val="30"/>
        </w:rPr>
      </w:pPr>
      <w:bookmarkStart w:id="17" w:name="_Toc534991170"/>
      <w:bookmarkStart w:id="18" w:name="_Toc535245301"/>
      <w:bookmarkStart w:id="19" w:name="_Toc5885152"/>
      <w:r w:rsidRPr="00BD08B8">
        <w:rPr>
          <w:rFonts w:hint="eastAsia"/>
          <w:b/>
          <w:sz w:val="30"/>
          <w:szCs w:val="30"/>
        </w:rPr>
        <w:t>报告期末产品资产组合情况</w:t>
      </w:r>
      <w:bookmarkEnd w:id="17"/>
      <w:bookmarkEnd w:id="18"/>
      <w:bookmarkEnd w:id="19"/>
    </w:p>
    <w:tbl>
      <w:tblPr>
        <w:tblW w:w="3280" w:type="dxa"/>
        <w:jc w:val="center"/>
        <w:tblInd w:w="93" w:type="dxa"/>
        <w:tblLook w:val="04A0"/>
      </w:tblPr>
      <w:tblGrid>
        <w:gridCol w:w="2200"/>
        <w:gridCol w:w="1080"/>
      </w:tblGrid>
      <w:tr w:rsidR="00D76D60" w:rsidRPr="007A4792" w:rsidTr="00AE318E">
        <w:trPr>
          <w:trHeight w:val="270"/>
          <w:jc w:val="center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7BC5B"/>
            <w:vAlign w:val="center"/>
            <w:hideMark/>
          </w:tcPr>
          <w:p w:rsidR="00D76D60" w:rsidRPr="007A4792" w:rsidRDefault="00D76D60" w:rsidP="00AE318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4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资产类型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BC5B"/>
            <w:vAlign w:val="center"/>
            <w:hideMark/>
          </w:tcPr>
          <w:p w:rsidR="00D76D60" w:rsidRPr="007A4792" w:rsidRDefault="00D76D60" w:rsidP="00AE318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4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占比</w:t>
            </w:r>
          </w:p>
        </w:tc>
      </w:tr>
      <w:tr w:rsidR="00D76D60" w:rsidRPr="007A4792" w:rsidTr="00AE318E">
        <w:trPr>
          <w:trHeight w:val="270"/>
          <w:jc w:val="center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D76D60" w:rsidRPr="007A4792" w:rsidRDefault="00D76D60" w:rsidP="00AE31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47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D76D60" w:rsidRPr="007A4792" w:rsidRDefault="00614CA3" w:rsidP="00AE31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CA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2.77%</w:t>
            </w:r>
          </w:p>
        </w:tc>
      </w:tr>
      <w:tr w:rsidR="00D76D60" w:rsidRPr="007A4792" w:rsidTr="00AE318E">
        <w:trPr>
          <w:trHeight w:val="270"/>
          <w:jc w:val="center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D76D60" w:rsidRPr="007A4792" w:rsidRDefault="00D76D60" w:rsidP="00AE31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47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货币市场工具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D76D60" w:rsidRPr="007A4792" w:rsidRDefault="00614CA3" w:rsidP="00AE31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CA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97.23%</w:t>
            </w:r>
          </w:p>
        </w:tc>
      </w:tr>
      <w:tr w:rsidR="00D76D60" w:rsidRPr="007A4792" w:rsidTr="00AE318E">
        <w:trPr>
          <w:trHeight w:val="270"/>
          <w:jc w:val="center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D76D60" w:rsidRPr="007A4792" w:rsidRDefault="00D76D60" w:rsidP="00AE318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4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9FF"/>
            <w:vAlign w:val="center"/>
            <w:hideMark/>
          </w:tcPr>
          <w:p w:rsidR="00D76D60" w:rsidRPr="007A4792" w:rsidRDefault="00D76D60" w:rsidP="00AE318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479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 w:rsidR="00D76D60" w:rsidRPr="00DA20C8" w:rsidRDefault="00D76D60" w:rsidP="00382DA2">
      <w:pPr>
        <w:rPr>
          <w:b/>
          <w:sz w:val="30"/>
          <w:szCs w:val="30"/>
        </w:rPr>
      </w:pPr>
    </w:p>
    <w:p w:rsidR="00D76D60" w:rsidRPr="002912EC" w:rsidRDefault="00D76D60" w:rsidP="00D76D60">
      <w:pPr>
        <w:pStyle w:val="a9"/>
        <w:numPr>
          <w:ilvl w:val="0"/>
          <w:numId w:val="5"/>
        </w:numPr>
        <w:ind w:firstLineChars="0"/>
        <w:outlineLvl w:val="1"/>
        <w:rPr>
          <w:b/>
          <w:sz w:val="30"/>
          <w:szCs w:val="30"/>
        </w:rPr>
      </w:pPr>
      <w:bookmarkStart w:id="20" w:name="_Toc534991171"/>
      <w:bookmarkStart w:id="21" w:name="_Toc535245302"/>
      <w:bookmarkStart w:id="22" w:name="_Toc5885153"/>
      <w:r w:rsidRPr="002912EC">
        <w:rPr>
          <w:rFonts w:hint="eastAsia"/>
          <w:b/>
          <w:sz w:val="30"/>
          <w:szCs w:val="30"/>
        </w:rPr>
        <w:t>报告期末杠杆融资情况</w:t>
      </w:r>
      <w:bookmarkEnd w:id="20"/>
      <w:bookmarkEnd w:id="21"/>
      <w:bookmarkEnd w:id="22"/>
    </w:p>
    <w:p w:rsidR="00D76D60" w:rsidRDefault="00D76D60" w:rsidP="00D76D60">
      <w:pPr>
        <w:pStyle w:val="a9"/>
        <w:ind w:left="108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无。</w:t>
      </w:r>
    </w:p>
    <w:p w:rsidR="00D76D60" w:rsidRPr="002912EC" w:rsidRDefault="00D76D60" w:rsidP="00D76D60">
      <w:pPr>
        <w:pStyle w:val="a9"/>
        <w:numPr>
          <w:ilvl w:val="0"/>
          <w:numId w:val="5"/>
        </w:numPr>
        <w:ind w:firstLineChars="0"/>
        <w:outlineLvl w:val="1"/>
        <w:rPr>
          <w:b/>
          <w:sz w:val="30"/>
          <w:szCs w:val="30"/>
        </w:rPr>
      </w:pPr>
      <w:bookmarkStart w:id="23" w:name="_Toc534991172"/>
      <w:bookmarkStart w:id="24" w:name="_Toc535245303"/>
      <w:bookmarkStart w:id="25" w:name="_Toc5885154"/>
      <w:r w:rsidRPr="002912EC">
        <w:rPr>
          <w:rFonts w:hint="eastAsia"/>
          <w:b/>
          <w:sz w:val="30"/>
          <w:szCs w:val="30"/>
        </w:rPr>
        <w:t>报告期末资产持仓前</w:t>
      </w:r>
      <w:proofErr w:type="gramStart"/>
      <w:r w:rsidRPr="002912EC">
        <w:rPr>
          <w:rFonts w:hint="eastAsia"/>
          <w:b/>
          <w:sz w:val="30"/>
          <w:szCs w:val="30"/>
        </w:rPr>
        <w:t>十基本</w:t>
      </w:r>
      <w:proofErr w:type="gramEnd"/>
      <w:r w:rsidRPr="002912EC">
        <w:rPr>
          <w:rFonts w:hint="eastAsia"/>
          <w:b/>
          <w:sz w:val="30"/>
          <w:szCs w:val="30"/>
        </w:rPr>
        <w:t>信息</w:t>
      </w:r>
      <w:bookmarkEnd w:id="23"/>
      <w:bookmarkEnd w:id="24"/>
      <w:bookmarkEnd w:id="25"/>
    </w:p>
    <w:tbl>
      <w:tblPr>
        <w:tblW w:w="7099" w:type="dxa"/>
        <w:jc w:val="center"/>
        <w:tblInd w:w="93" w:type="dxa"/>
        <w:tblLook w:val="04A0"/>
      </w:tblPr>
      <w:tblGrid>
        <w:gridCol w:w="1718"/>
        <w:gridCol w:w="2405"/>
        <w:gridCol w:w="1896"/>
        <w:gridCol w:w="1080"/>
      </w:tblGrid>
      <w:tr w:rsidR="00D76D60" w:rsidRPr="00462F45" w:rsidTr="00614CA3">
        <w:trPr>
          <w:trHeight w:val="28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60" w:rsidRPr="00462F45" w:rsidRDefault="00D76D60" w:rsidP="00AE318E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62F4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资产类型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60" w:rsidRPr="00462F45" w:rsidRDefault="00D76D60" w:rsidP="00AE318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462F4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60" w:rsidRPr="00462F45" w:rsidRDefault="00D76D60" w:rsidP="00AE318E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462F45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 xml:space="preserve"> 资产面额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D60" w:rsidRPr="00462F45" w:rsidRDefault="00D76D60" w:rsidP="00AE318E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462F45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占比</w:t>
            </w:r>
          </w:p>
        </w:tc>
      </w:tr>
      <w:tr w:rsidR="00614CA3" w:rsidRPr="00462F45" w:rsidTr="00614CA3">
        <w:trPr>
          <w:trHeight w:val="285"/>
          <w:jc w:val="center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A3" w:rsidRPr="00462F45" w:rsidRDefault="00614CA3" w:rsidP="00AE31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货币市场工具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A3" w:rsidRPr="00462F45" w:rsidRDefault="00614CA3" w:rsidP="00AE31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12079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同业借款20180518-</w:t>
            </w:r>
            <w:proofErr w:type="gramStart"/>
            <w:r w:rsidRPr="0012079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哈银金租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CA3" w:rsidRPr="00462F45" w:rsidRDefault="00614CA3" w:rsidP="00AE318E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12079C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100,000,000.00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CA3" w:rsidRPr="007A4792" w:rsidRDefault="00614CA3" w:rsidP="00AE31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14CA3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97.23%</w:t>
            </w:r>
          </w:p>
        </w:tc>
      </w:tr>
    </w:tbl>
    <w:p w:rsidR="00D76D60" w:rsidRDefault="00D76D60" w:rsidP="00D76D60">
      <w:pPr>
        <w:jc w:val="right"/>
        <w:rPr>
          <w:rFonts w:asciiTheme="minorEastAsia" w:hAnsiTheme="minorEastAsia"/>
          <w:sz w:val="30"/>
          <w:szCs w:val="30"/>
        </w:rPr>
      </w:pPr>
    </w:p>
    <w:p w:rsidR="00D76D60" w:rsidRPr="00580FF4" w:rsidRDefault="00D76D60" w:rsidP="00D76D60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兴业银行股份有限公司</w:t>
      </w:r>
    </w:p>
    <w:p w:rsidR="00D76D60" w:rsidRPr="00580FF4" w:rsidRDefault="00D76D60" w:rsidP="00D76D60">
      <w:pPr>
        <w:jc w:val="right"/>
        <w:rPr>
          <w:rFonts w:asciiTheme="minorEastAsia" w:hAnsiTheme="minorEastAsia"/>
          <w:sz w:val="30"/>
          <w:szCs w:val="30"/>
        </w:rPr>
      </w:pPr>
      <w:r w:rsidRPr="00580FF4">
        <w:rPr>
          <w:rFonts w:asciiTheme="minorEastAsia" w:hAnsiTheme="minorEastAsia" w:hint="eastAsia"/>
          <w:sz w:val="30"/>
          <w:szCs w:val="30"/>
        </w:rPr>
        <w:t>201</w:t>
      </w:r>
      <w:r>
        <w:rPr>
          <w:rFonts w:asciiTheme="minorEastAsia" w:hAnsiTheme="minorEastAsia" w:hint="eastAsia"/>
          <w:sz w:val="30"/>
          <w:szCs w:val="30"/>
        </w:rPr>
        <w:t>9</w:t>
      </w:r>
      <w:r w:rsidRPr="00580FF4">
        <w:rPr>
          <w:rFonts w:asciiTheme="minorEastAsia" w:hAnsiTheme="minorEastAsia" w:hint="eastAsia"/>
          <w:sz w:val="30"/>
          <w:szCs w:val="30"/>
        </w:rPr>
        <w:t>年</w:t>
      </w:r>
      <w:r>
        <w:rPr>
          <w:rFonts w:asciiTheme="minorEastAsia" w:hAnsiTheme="minorEastAsia" w:hint="eastAsia"/>
          <w:sz w:val="30"/>
          <w:szCs w:val="30"/>
        </w:rPr>
        <w:t>4</w:t>
      </w:r>
      <w:r w:rsidRPr="00580FF4">
        <w:rPr>
          <w:rFonts w:asciiTheme="minorEastAsia" w:hAnsiTheme="minorEastAsia" w:hint="eastAsia"/>
          <w:sz w:val="30"/>
          <w:szCs w:val="30"/>
        </w:rPr>
        <w:t>月</w:t>
      </w:r>
      <w:r>
        <w:rPr>
          <w:rFonts w:asciiTheme="minorEastAsia" w:hAnsiTheme="minorEastAsia" w:hint="eastAsia"/>
          <w:sz w:val="30"/>
          <w:szCs w:val="30"/>
        </w:rPr>
        <w:t>10</w:t>
      </w:r>
      <w:r w:rsidRPr="00580FF4">
        <w:rPr>
          <w:rFonts w:asciiTheme="minorEastAsia" w:hAnsiTheme="minorEastAsia" w:hint="eastAsia"/>
          <w:sz w:val="30"/>
          <w:szCs w:val="30"/>
        </w:rPr>
        <w:t>日</w:t>
      </w:r>
    </w:p>
    <w:p w:rsidR="00D76D60" w:rsidRPr="00D76D60" w:rsidRDefault="00D76D60" w:rsidP="00B36784">
      <w:pPr>
        <w:ind w:firstLineChars="200" w:firstLine="600"/>
        <w:rPr>
          <w:sz w:val="30"/>
          <w:szCs w:val="30"/>
        </w:rPr>
      </w:pPr>
    </w:p>
    <w:sectPr w:rsidR="00D76D60" w:rsidRPr="00D76D60" w:rsidSect="00E4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F01" w:rsidRDefault="00B76F01" w:rsidP="00E42B11">
      <w:r>
        <w:separator/>
      </w:r>
    </w:p>
  </w:endnote>
  <w:endnote w:type="continuationSeparator" w:id="0">
    <w:p w:rsidR="00B76F01" w:rsidRDefault="00B76F01" w:rsidP="00E4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F01" w:rsidRDefault="00B76F01" w:rsidP="00E42B11">
      <w:r>
        <w:separator/>
      </w:r>
    </w:p>
  </w:footnote>
  <w:footnote w:type="continuationSeparator" w:id="0">
    <w:p w:rsidR="00B76F01" w:rsidRDefault="00B76F01" w:rsidP="00E42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15EB"/>
    <w:multiLevelType w:val="hybridMultilevel"/>
    <w:tmpl w:val="A6B02B1A"/>
    <w:lvl w:ilvl="0" w:tplc="C974FE1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2A4B33A4"/>
    <w:multiLevelType w:val="hybridMultilevel"/>
    <w:tmpl w:val="C064654C"/>
    <w:lvl w:ilvl="0" w:tplc="9F6EC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4C75B11"/>
    <w:multiLevelType w:val="hybridMultilevel"/>
    <w:tmpl w:val="8A5C5274"/>
    <w:lvl w:ilvl="0" w:tplc="017ADF6A">
      <w:start w:val="1"/>
      <w:numFmt w:val="japaneseCounting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C71519"/>
    <w:multiLevelType w:val="hybridMultilevel"/>
    <w:tmpl w:val="C0B0981E"/>
    <w:lvl w:ilvl="0" w:tplc="C5CCC77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E55B9F"/>
    <w:multiLevelType w:val="hybridMultilevel"/>
    <w:tmpl w:val="A1803FF0"/>
    <w:lvl w:ilvl="0" w:tplc="9ED03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B11"/>
    <w:rsid w:val="00026241"/>
    <w:rsid w:val="00034EB6"/>
    <w:rsid w:val="000447A7"/>
    <w:rsid w:val="00067D54"/>
    <w:rsid w:val="00076FD4"/>
    <w:rsid w:val="000775FC"/>
    <w:rsid w:val="0009558A"/>
    <w:rsid w:val="000A20E0"/>
    <w:rsid w:val="000B2D52"/>
    <w:rsid w:val="001123E8"/>
    <w:rsid w:val="00115EA1"/>
    <w:rsid w:val="001422A9"/>
    <w:rsid w:val="0016001C"/>
    <w:rsid w:val="001610B6"/>
    <w:rsid w:val="00165214"/>
    <w:rsid w:val="001769C2"/>
    <w:rsid w:val="0018246E"/>
    <w:rsid w:val="001D2F7A"/>
    <w:rsid w:val="001E38AC"/>
    <w:rsid w:val="001F1BB1"/>
    <w:rsid w:val="001F1FC7"/>
    <w:rsid w:val="001F2ACD"/>
    <w:rsid w:val="001F7B76"/>
    <w:rsid w:val="0020760D"/>
    <w:rsid w:val="00213086"/>
    <w:rsid w:val="002245B7"/>
    <w:rsid w:val="00265805"/>
    <w:rsid w:val="00271129"/>
    <w:rsid w:val="0028693D"/>
    <w:rsid w:val="002979A4"/>
    <w:rsid w:val="002A17B8"/>
    <w:rsid w:val="002A28C4"/>
    <w:rsid w:val="002A7E51"/>
    <w:rsid w:val="002B5EE3"/>
    <w:rsid w:val="002E53B1"/>
    <w:rsid w:val="002E79A4"/>
    <w:rsid w:val="0030158E"/>
    <w:rsid w:val="003323FF"/>
    <w:rsid w:val="00347423"/>
    <w:rsid w:val="003524F8"/>
    <w:rsid w:val="00382DA2"/>
    <w:rsid w:val="003B3D31"/>
    <w:rsid w:val="003B7DBD"/>
    <w:rsid w:val="003C6D13"/>
    <w:rsid w:val="003D1418"/>
    <w:rsid w:val="003F0450"/>
    <w:rsid w:val="0040702C"/>
    <w:rsid w:val="0041186A"/>
    <w:rsid w:val="00416ECC"/>
    <w:rsid w:val="00430AE5"/>
    <w:rsid w:val="00480C55"/>
    <w:rsid w:val="004A59D4"/>
    <w:rsid w:val="004B01BE"/>
    <w:rsid w:val="004B11FA"/>
    <w:rsid w:val="004B57EF"/>
    <w:rsid w:val="00504FE1"/>
    <w:rsid w:val="005205F8"/>
    <w:rsid w:val="00525364"/>
    <w:rsid w:val="00527CDB"/>
    <w:rsid w:val="00535C36"/>
    <w:rsid w:val="00545CE3"/>
    <w:rsid w:val="00550BC4"/>
    <w:rsid w:val="00557F6B"/>
    <w:rsid w:val="00565E65"/>
    <w:rsid w:val="005978D1"/>
    <w:rsid w:val="005B583E"/>
    <w:rsid w:val="005B7A75"/>
    <w:rsid w:val="0060641C"/>
    <w:rsid w:val="00614CA3"/>
    <w:rsid w:val="00616CAD"/>
    <w:rsid w:val="006300D0"/>
    <w:rsid w:val="00630450"/>
    <w:rsid w:val="00632F7D"/>
    <w:rsid w:val="00634D0A"/>
    <w:rsid w:val="006358D5"/>
    <w:rsid w:val="006448DF"/>
    <w:rsid w:val="00660FDC"/>
    <w:rsid w:val="00674795"/>
    <w:rsid w:val="00682D6D"/>
    <w:rsid w:val="00692C11"/>
    <w:rsid w:val="006A0F9B"/>
    <w:rsid w:val="006A5F01"/>
    <w:rsid w:val="006B1D7F"/>
    <w:rsid w:val="006B61CA"/>
    <w:rsid w:val="006C7B48"/>
    <w:rsid w:val="00705DEC"/>
    <w:rsid w:val="007225B3"/>
    <w:rsid w:val="007267B8"/>
    <w:rsid w:val="0073787C"/>
    <w:rsid w:val="00747C80"/>
    <w:rsid w:val="00765D1B"/>
    <w:rsid w:val="007753BC"/>
    <w:rsid w:val="00777D87"/>
    <w:rsid w:val="00787C85"/>
    <w:rsid w:val="007B501B"/>
    <w:rsid w:val="007B7769"/>
    <w:rsid w:val="007F0D56"/>
    <w:rsid w:val="00801412"/>
    <w:rsid w:val="00833046"/>
    <w:rsid w:val="00845254"/>
    <w:rsid w:val="00883A4F"/>
    <w:rsid w:val="008B151B"/>
    <w:rsid w:val="008B5A0D"/>
    <w:rsid w:val="008B6D9D"/>
    <w:rsid w:val="008F470E"/>
    <w:rsid w:val="008F4ADC"/>
    <w:rsid w:val="00900D26"/>
    <w:rsid w:val="00921320"/>
    <w:rsid w:val="00934839"/>
    <w:rsid w:val="00977431"/>
    <w:rsid w:val="009775C0"/>
    <w:rsid w:val="009D6CCE"/>
    <w:rsid w:val="009F14C0"/>
    <w:rsid w:val="009F3A99"/>
    <w:rsid w:val="009F585F"/>
    <w:rsid w:val="00A50646"/>
    <w:rsid w:val="00A567E9"/>
    <w:rsid w:val="00A7613E"/>
    <w:rsid w:val="00A86F3C"/>
    <w:rsid w:val="00AA3989"/>
    <w:rsid w:val="00AC0AFF"/>
    <w:rsid w:val="00AC6994"/>
    <w:rsid w:val="00AD01BE"/>
    <w:rsid w:val="00AD0A5D"/>
    <w:rsid w:val="00AD2D0C"/>
    <w:rsid w:val="00AE0DB4"/>
    <w:rsid w:val="00B335AF"/>
    <w:rsid w:val="00B352EF"/>
    <w:rsid w:val="00B36784"/>
    <w:rsid w:val="00B44357"/>
    <w:rsid w:val="00B76F01"/>
    <w:rsid w:val="00B82B81"/>
    <w:rsid w:val="00B839B2"/>
    <w:rsid w:val="00B8437C"/>
    <w:rsid w:val="00B94046"/>
    <w:rsid w:val="00B95A73"/>
    <w:rsid w:val="00BC36F4"/>
    <w:rsid w:val="00BC6E3D"/>
    <w:rsid w:val="00BF55F4"/>
    <w:rsid w:val="00C14AEA"/>
    <w:rsid w:val="00C21680"/>
    <w:rsid w:val="00C37036"/>
    <w:rsid w:val="00C40A6B"/>
    <w:rsid w:val="00C50155"/>
    <w:rsid w:val="00C77554"/>
    <w:rsid w:val="00C86A89"/>
    <w:rsid w:val="00C873F1"/>
    <w:rsid w:val="00C9676B"/>
    <w:rsid w:val="00CB36F1"/>
    <w:rsid w:val="00CC04CB"/>
    <w:rsid w:val="00CD4799"/>
    <w:rsid w:val="00D04288"/>
    <w:rsid w:val="00D160E5"/>
    <w:rsid w:val="00D437B8"/>
    <w:rsid w:val="00D45F23"/>
    <w:rsid w:val="00D6033F"/>
    <w:rsid w:val="00D6424C"/>
    <w:rsid w:val="00D72610"/>
    <w:rsid w:val="00D76D60"/>
    <w:rsid w:val="00D957E4"/>
    <w:rsid w:val="00DA0767"/>
    <w:rsid w:val="00DA5319"/>
    <w:rsid w:val="00DB17F1"/>
    <w:rsid w:val="00DC347E"/>
    <w:rsid w:val="00DC3C80"/>
    <w:rsid w:val="00DC5710"/>
    <w:rsid w:val="00DD6476"/>
    <w:rsid w:val="00DE5EE5"/>
    <w:rsid w:val="00DF2704"/>
    <w:rsid w:val="00DF6B41"/>
    <w:rsid w:val="00E35A7D"/>
    <w:rsid w:val="00E40B7D"/>
    <w:rsid w:val="00E42B11"/>
    <w:rsid w:val="00E44B19"/>
    <w:rsid w:val="00E46765"/>
    <w:rsid w:val="00E71B61"/>
    <w:rsid w:val="00E73C20"/>
    <w:rsid w:val="00E81E6E"/>
    <w:rsid w:val="00E82255"/>
    <w:rsid w:val="00E9356F"/>
    <w:rsid w:val="00EA4F76"/>
    <w:rsid w:val="00ED0764"/>
    <w:rsid w:val="00ED4904"/>
    <w:rsid w:val="00ED7259"/>
    <w:rsid w:val="00EF66DE"/>
    <w:rsid w:val="00F133DC"/>
    <w:rsid w:val="00F21DEB"/>
    <w:rsid w:val="00F25B10"/>
    <w:rsid w:val="00F307C3"/>
    <w:rsid w:val="00F7783B"/>
    <w:rsid w:val="00F86832"/>
    <w:rsid w:val="00FB2CE7"/>
    <w:rsid w:val="00FD0B11"/>
    <w:rsid w:val="00FD57E3"/>
    <w:rsid w:val="00FE1CE8"/>
    <w:rsid w:val="00FF46DC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B1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42B1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42B11"/>
  </w:style>
  <w:style w:type="paragraph" w:styleId="a6">
    <w:name w:val="Balloon Text"/>
    <w:basedOn w:val="a"/>
    <w:link w:val="Char2"/>
    <w:uiPriority w:val="99"/>
    <w:semiHidden/>
    <w:unhideWhenUsed/>
    <w:rsid w:val="00ED076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D0764"/>
    <w:rPr>
      <w:sz w:val="18"/>
      <w:szCs w:val="18"/>
    </w:rPr>
  </w:style>
  <w:style w:type="character" w:styleId="a7">
    <w:name w:val="annotation reference"/>
    <w:rsid w:val="00AD01BE"/>
    <w:rPr>
      <w:sz w:val="21"/>
      <w:szCs w:val="21"/>
    </w:rPr>
  </w:style>
  <w:style w:type="paragraph" w:styleId="a8">
    <w:name w:val="annotation text"/>
    <w:basedOn w:val="a"/>
    <w:link w:val="Char3"/>
    <w:rsid w:val="00AD01B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0"/>
    <w:link w:val="a8"/>
    <w:rsid w:val="00AD01BE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5205F8"/>
    <w:pPr>
      <w:ind w:firstLineChars="200" w:firstLine="420"/>
    </w:pPr>
  </w:style>
  <w:style w:type="paragraph" w:styleId="1">
    <w:name w:val="toc 1"/>
    <w:basedOn w:val="a"/>
    <w:next w:val="a"/>
    <w:autoRedefine/>
    <w:uiPriority w:val="39"/>
    <w:unhideWhenUsed/>
    <w:rsid w:val="00382DA2"/>
  </w:style>
  <w:style w:type="paragraph" w:styleId="2">
    <w:name w:val="toc 2"/>
    <w:basedOn w:val="a"/>
    <w:next w:val="a"/>
    <w:autoRedefine/>
    <w:uiPriority w:val="39"/>
    <w:unhideWhenUsed/>
    <w:rsid w:val="00382DA2"/>
    <w:pPr>
      <w:ind w:leftChars="200" w:left="420"/>
    </w:pPr>
  </w:style>
  <w:style w:type="character" w:styleId="aa">
    <w:name w:val="Hyperlink"/>
    <w:basedOn w:val="a0"/>
    <w:uiPriority w:val="99"/>
    <w:unhideWhenUsed/>
    <w:rsid w:val="00382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B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B1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42B1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42B11"/>
  </w:style>
  <w:style w:type="paragraph" w:styleId="a6">
    <w:name w:val="Balloon Text"/>
    <w:basedOn w:val="a"/>
    <w:link w:val="Char2"/>
    <w:uiPriority w:val="99"/>
    <w:semiHidden/>
    <w:unhideWhenUsed/>
    <w:rsid w:val="00ED076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D0764"/>
    <w:rPr>
      <w:sz w:val="18"/>
      <w:szCs w:val="18"/>
    </w:rPr>
  </w:style>
  <w:style w:type="character" w:styleId="a7">
    <w:name w:val="annotation reference"/>
    <w:rsid w:val="00AD01BE"/>
    <w:rPr>
      <w:sz w:val="21"/>
      <w:szCs w:val="21"/>
    </w:rPr>
  </w:style>
  <w:style w:type="paragraph" w:styleId="a8">
    <w:name w:val="annotation text"/>
    <w:basedOn w:val="a"/>
    <w:link w:val="Char3"/>
    <w:rsid w:val="00AD01B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0"/>
    <w:link w:val="a8"/>
    <w:rsid w:val="00AD01B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4562-7C99-4E75-8801-99F6E0F4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720</Words>
  <Characters>4108</Characters>
  <Application>Microsoft Office Word</Application>
  <DocSecurity>0</DocSecurity>
  <Lines>34</Lines>
  <Paragraphs>9</Paragraphs>
  <ScaleCrop>false</ScaleCrop>
  <Company>Microsoft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闫思聪</dc:creator>
  <cp:lastModifiedBy>李艺</cp:lastModifiedBy>
  <cp:revision>12</cp:revision>
  <cp:lastPrinted>2018-07-13T10:01:00Z</cp:lastPrinted>
  <dcterms:created xsi:type="dcterms:W3CDTF">2019-04-08T07:15:00Z</dcterms:created>
  <dcterms:modified xsi:type="dcterms:W3CDTF">2019-04-17T03:15:00Z</dcterms:modified>
</cp:coreProperties>
</file>