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F2" w:rsidRPr="003A3C35" w:rsidRDefault="00F6481E" w:rsidP="00FA4773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3A3C35">
        <w:rPr>
          <w:rFonts w:ascii="Arial" w:eastAsia="宋体" w:hAnsi="宋体" w:cs="Arial"/>
          <w:b/>
          <w:sz w:val="30"/>
          <w:szCs w:val="30"/>
        </w:rPr>
        <w:t>兴业银行</w:t>
      </w:r>
      <w:r w:rsidRPr="003A3C35">
        <w:rPr>
          <w:rFonts w:ascii="Arial" w:eastAsia="宋体" w:hAnsi="Arial" w:cs="Arial"/>
          <w:b/>
          <w:sz w:val="30"/>
          <w:szCs w:val="30"/>
        </w:rPr>
        <w:t>“</w:t>
      </w:r>
      <w:r w:rsidRPr="003A3C35">
        <w:rPr>
          <w:rFonts w:ascii="Arial" w:eastAsia="宋体" w:hAnsi="宋体" w:cs="Arial"/>
          <w:b/>
          <w:sz w:val="30"/>
          <w:szCs w:val="30"/>
        </w:rPr>
        <w:t>万利宝</w:t>
      </w:r>
      <w:r w:rsidRPr="003A3C35">
        <w:rPr>
          <w:rFonts w:ascii="Arial" w:eastAsia="宋体" w:hAnsi="Arial" w:cs="Arial"/>
          <w:b/>
          <w:sz w:val="30"/>
          <w:szCs w:val="30"/>
        </w:rPr>
        <w:t>-</w:t>
      </w:r>
      <w:r w:rsidRPr="003A3C35">
        <w:rPr>
          <w:rFonts w:ascii="Arial" w:eastAsia="宋体" w:hAnsi="宋体" w:cs="Arial"/>
          <w:b/>
          <w:sz w:val="30"/>
          <w:szCs w:val="30"/>
        </w:rPr>
        <w:t>聚利</w:t>
      </w:r>
      <w:r w:rsidRPr="003A3C35">
        <w:rPr>
          <w:rFonts w:ascii="Arial" w:eastAsia="宋体" w:hAnsi="Arial" w:cs="Arial"/>
          <w:b/>
          <w:sz w:val="30"/>
          <w:szCs w:val="30"/>
        </w:rPr>
        <w:t>”2018</w:t>
      </w:r>
      <w:r w:rsidRPr="003A3C35">
        <w:rPr>
          <w:rFonts w:ascii="Arial" w:eastAsia="宋体" w:hAnsi="宋体" w:cs="Arial"/>
          <w:b/>
          <w:sz w:val="30"/>
          <w:szCs w:val="30"/>
        </w:rPr>
        <w:t>年第</w:t>
      </w:r>
      <w:r w:rsidR="006B1E4B" w:rsidRPr="003A3C35">
        <w:rPr>
          <w:rFonts w:ascii="Arial" w:eastAsia="宋体" w:hAnsi="Arial" w:cs="Arial"/>
          <w:b/>
          <w:sz w:val="30"/>
          <w:szCs w:val="30"/>
        </w:rPr>
        <w:t>7</w:t>
      </w:r>
      <w:r w:rsidRPr="003A3C35">
        <w:rPr>
          <w:rFonts w:ascii="Arial" w:eastAsia="宋体" w:hAnsi="宋体" w:cs="Arial"/>
          <w:b/>
          <w:sz w:val="30"/>
          <w:szCs w:val="30"/>
        </w:rPr>
        <w:t>期封闭式净值型理财产品（</w:t>
      </w:r>
      <w:r w:rsidR="006B1E4B" w:rsidRPr="003A3C35">
        <w:rPr>
          <w:rFonts w:ascii="Arial" w:eastAsia="宋体" w:hAnsi="Arial" w:cs="Arial"/>
          <w:b/>
          <w:sz w:val="30"/>
          <w:szCs w:val="30"/>
        </w:rPr>
        <w:t>5</w:t>
      </w:r>
      <w:r w:rsidRPr="003A3C35">
        <w:rPr>
          <w:rFonts w:ascii="Arial" w:eastAsia="宋体" w:hAnsi="Arial" w:cs="Arial"/>
          <w:b/>
          <w:sz w:val="30"/>
          <w:szCs w:val="30"/>
        </w:rPr>
        <w:t>M</w:t>
      </w:r>
      <w:r w:rsidRPr="003A3C35">
        <w:rPr>
          <w:rFonts w:ascii="Arial" w:eastAsia="宋体" w:hAnsi="宋体" w:cs="Arial"/>
          <w:b/>
          <w:sz w:val="30"/>
          <w:szCs w:val="30"/>
        </w:rPr>
        <w:t>）</w:t>
      </w:r>
      <w:r w:rsidR="002500F2" w:rsidRPr="003A3C35">
        <w:rPr>
          <w:rFonts w:ascii="Arial" w:eastAsia="宋体" w:hAnsi="Arial" w:cs="Arial"/>
          <w:b/>
          <w:sz w:val="30"/>
          <w:szCs w:val="30"/>
        </w:rPr>
        <w:t>201</w:t>
      </w:r>
      <w:r w:rsidR="00F964D9" w:rsidRPr="003A3C35">
        <w:rPr>
          <w:rFonts w:ascii="Arial" w:eastAsia="宋体" w:hAnsi="Arial" w:cs="Arial"/>
          <w:b/>
          <w:sz w:val="30"/>
          <w:szCs w:val="30"/>
        </w:rPr>
        <w:t>9</w:t>
      </w:r>
      <w:r w:rsidR="002500F2" w:rsidRPr="003A3C35">
        <w:rPr>
          <w:rFonts w:ascii="Arial" w:eastAsia="宋体" w:hAnsi="宋体" w:cs="Arial"/>
          <w:b/>
          <w:sz w:val="30"/>
          <w:szCs w:val="30"/>
        </w:rPr>
        <w:t>年第</w:t>
      </w:r>
      <w:r w:rsidR="00F964D9" w:rsidRPr="003A3C35">
        <w:rPr>
          <w:rFonts w:ascii="Arial" w:eastAsia="宋体" w:hAnsi="Arial" w:cs="Arial"/>
          <w:b/>
          <w:sz w:val="30"/>
          <w:szCs w:val="30"/>
        </w:rPr>
        <w:t>1</w:t>
      </w:r>
      <w:r w:rsidR="002500F2" w:rsidRPr="003A3C35">
        <w:rPr>
          <w:rFonts w:ascii="Arial" w:eastAsia="宋体" w:hAnsi="宋体" w:cs="Arial"/>
          <w:b/>
          <w:sz w:val="30"/>
          <w:szCs w:val="30"/>
        </w:rPr>
        <w:t>季度报告</w:t>
      </w:r>
    </w:p>
    <w:p w:rsidR="00A7154F" w:rsidRPr="003A3C35" w:rsidRDefault="00A7154F" w:rsidP="00A7154F">
      <w:pPr>
        <w:widowControl/>
        <w:ind w:left="2520" w:firstLine="420"/>
        <w:jc w:val="left"/>
        <w:rPr>
          <w:rFonts w:ascii="Arial" w:eastAsia="宋体" w:hAnsi="Arial" w:cs="Arial"/>
          <w:b/>
          <w:sz w:val="32"/>
          <w:szCs w:val="32"/>
        </w:rPr>
      </w:pPr>
      <w:r w:rsidRPr="003A3C35">
        <w:rPr>
          <w:rFonts w:ascii="Arial" w:eastAsia="宋体" w:hAnsi="Arial" w:cs="Arial"/>
          <w:b/>
          <w:sz w:val="32"/>
          <w:szCs w:val="32"/>
        </w:rPr>
        <w:t>2019</w:t>
      </w:r>
      <w:r w:rsidRPr="003A3C35">
        <w:rPr>
          <w:rFonts w:ascii="Arial" w:eastAsia="宋体" w:hAnsi="宋体" w:cs="Arial"/>
          <w:b/>
          <w:sz w:val="32"/>
          <w:szCs w:val="32"/>
        </w:rPr>
        <w:t>年</w:t>
      </w:r>
      <w:r w:rsidRPr="003A3C35">
        <w:rPr>
          <w:rFonts w:ascii="Arial" w:eastAsia="宋体" w:hAnsi="Arial" w:cs="Arial"/>
          <w:b/>
          <w:sz w:val="32"/>
          <w:szCs w:val="32"/>
        </w:rPr>
        <w:t>3</w:t>
      </w:r>
      <w:r w:rsidRPr="003A3C35">
        <w:rPr>
          <w:rFonts w:ascii="Arial" w:eastAsia="宋体" w:hAnsi="宋体" w:cs="Arial"/>
          <w:b/>
          <w:sz w:val="32"/>
          <w:szCs w:val="32"/>
        </w:rPr>
        <w:t>月</w:t>
      </w:r>
      <w:r w:rsidRPr="003A3C35">
        <w:rPr>
          <w:rFonts w:ascii="Arial" w:eastAsia="宋体" w:hAnsi="Arial" w:cs="Arial"/>
          <w:b/>
          <w:sz w:val="32"/>
          <w:szCs w:val="32"/>
        </w:rPr>
        <w:t>31</w:t>
      </w:r>
      <w:r w:rsidRPr="003A3C35">
        <w:rPr>
          <w:rFonts w:ascii="Arial" w:eastAsia="宋体" w:hAnsi="宋体" w:cs="Arial"/>
          <w:b/>
          <w:sz w:val="32"/>
          <w:szCs w:val="32"/>
        </w:rPr>
        <w:t>日</w:t>
      </w:r>
    </w:p>
    <w:p w:rsidR="00246096" w:rsidRPr="003A3C35" w:rsidRDefault="00A7154F" w:rsidP="00246096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0" w:name="_Toc5785557"/>
      <w:bookmarkStart w:id="1" w:name="_Toc5787232"/>
      <w:bookmarkStart w:id="2" w:name="_Toc6405652"/>
      <w:r w:rsidRPr="003A3C35">
        <w:rPr>
          <w:rFonts w:ascii="Arial" w:cs="Arial"/>
        </w:rPr>
        <w:t>目录</w:t>
      </w:r>
      <w:bookmarkEnd w:id="0"/>
      <w:bookmarkEnd w:id="1"/>
      <w:bookmarkEnd w:id="2"/>
    </w:p>
    <w:p w:rsidR="003A3C35" w:rsidRDefault="00A405BB">
      <w:pPr>
        <w:pStyle w:val="11"/>
        <w:tabs>
          <w:tab w:val="left" w:pos="630"/>
          <w:tab w:val="right" w:leader="dot" w:pos="8296"/>
        </w:tabs>
        <w:rPr>
          <w:noProof/>
        </w:rPr>
      </w:pPr>
      <w:r w:rsidRPr="003A3C35">
        <w:rPr>
          <w:rFonts w:ascii="Arial" w:hAnsi="Arial" w:cs="Arial"/>
          <w:b/>
        </w:rPr>
        <w:fldChar w:fldCharType="begin"/>
      </w:r>
      <w:r w:rsidR="00246096" w:rsidRPr="003A3C35">
        <w:rPr>
          <w:rFonts w:ascii="Arial" w:hAnsi="Arial" w:cs="Arial"/>
          <w:b/>
        </w:rPr>
        <w:instrText xml:space="preserve"> TOC \h \z \t "</w:instrText>
      </w:r>
      <w:r w:rsidR="00246096" w:rsidRPr="003A3C35">
        <w:rPr>
          <w:rFonts w:ascii="Arial" w:cs="Arial"/>
          <w:b/>
        </w:rPr>
        <w:instrText>样式</w:instrText>
      </w:r>
      <w:r w:rsidR="00246096" w:rsidRPr="003A3C35">
        <w:rPr>
          <w:rFonts w:ascii="Arial" w:hAnsi="Arial" w:cs="Arial"/>
          <w:b/>
        </w:rPr>
        <w:instrText>1,1,</w:instrText>
      </w:r>
      <w:r w:rsidR="00246096" w:rsidRPr="003A3C35">
        <w:rPr>
          <w:rFonts w:ascii="Arial" w:cs="Arial"/>
          <w:b/>
        </w:rPr>
        <w:instrText>样式</w:instrText>
      </w:r>
      <w:r w:rsidR="00246096" w:rsidRPr="003A3C35">
        <w:rPr>
          <w:rFonts w:ascii="Arial" w:hAnsi="Arial" w:cs="Arial"/>
          <w:b/>
        </w:rPr>
        <w:instrText xml:space="preserve">2,2" </w:instrText>
      </w:r>
      <w:r w:rsidRPr="003A3C35">
        <w:rPr>
          <w:rFonts w:ascii="Arial" w:hAnsi="Arial" w:cs="Arial"/>
          <w:b/>
        </w:rPr>
        <w:fldChar w:fldCharType="separate"/>
      </w:r>
      <w:hyperlink w:anchor="_Toc6405652" w:history="1">
        <w:r w:rsidR="003A3C35" w:rsidRPr="00471AFD">
          <w:rPr>
            <w:rStyle w:val="a8"/>
            <w:rFonts w:ascii="Arial" w:hAnsi="Arial" w:cs="Arial" w:hint="eastAsia"/>
            <w:noProof/>
          </w:rPr>
          <w:t>一</w:t>
        </w:r>
        <w:r w:rsidR="003A3C35" w:rsidRPr="00471AFD">
          <w:rPr>
            <w:rStyle w:val="a8"/>
            <w:rFonts w:ascii="Arial" w:hAnsi="Arial" w:cs="Arial" w:hint="eastAsia"/>
            <w:noProof/>
          </w:rPr>
          <w:t>.</w:t>
        </w:r>
        <w:r w:rsidR="003A3C35">
          <w:rPr>
            <w:noProof/>
          </w:rPr>
          <w:tab/>
        </w:r>
        <w:r w:rsidR="003A3C35" w:rsidRPr="00471AFD">
          <w:rPr>
            <w:rStyle w:val="a8"/>
            <w:rFonts w:ascii="Arial" w:cs="Arial" w:hint="eastAsia"/>
            <w:noProof/>
          </w:rPr>
          <w:t>目录</w:t>
        </w:r>
        <w:r w:rsidR="003A3C35">
          <w:rPr>
            <w:noProof/>
            <w:webHidden/>
          </w:rPr>
          <w:tab/>
        </w:r>
        <w:r w:rsidR="003A3C35">
          <w:rPr>
            <w:noProof/>
            <w:webHidden/>
          </w:rPr>
          <w:fldChar w:fldCharType="begin"/>
        </w:r>
        <w:r w:rsidR="003A3C35">
          <w:rPr>
            <w:noProof/>
            <w:webHidden/>
          </w:rPr>
          <w:instrText xml:space="preserve"> PAGEREF _Toc6405652 \h </w:instrText>
        </w:r>
        <w:r w:rsidR="003A3C35">
          <w:rPr>
            <w:noProof/>
            <w:webHidden/>
          </w:rPr>
        </w:r>
        <w:r w:rsidR="003A3C35">
          <w:rPr>
            <w:noProof/>
            <w:webHidden/>
          </w:rPr>
          <w:fldChar w:fldCharType="separate"/>
        </w:r>
        <w:r w:rsidR="003A3C35">
          <w:rPr>
            <w:noProof/>
            <w:webHidden/>
          </w:rPr>
          <w:t>1</w:t>
        </w:r>
        <w:r w:rsidR="003A3C35">
          <w:rPr>
            <w:noProof/>
            <w:webHidden/>
          </w:rPr>
          <w:fldChar w:fldCharType="end"/>
        </w:r>
      </w:hyperlink>
    </w:p>
    <w:p w:rsidR="003A3C35" w:rsidRDefault="003A3C35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5653" w:history="1">
        <w:r w:rsidRPr="00471AFD">
          <w:rPr>
            <w:rStyle w:val="a8"/>
            <w:rFonts w:ascii="Arial" w:hAnsi="Arial" w:cs="Arial" w:hint="eastAsia"/>
            <w:noProof/>
          </w:rPr>
          <w:t>二</w:t>
        </w:r>
        <w:r w:rsidRPr="00471AFD">
          <w:rPr>
            <w:rStyle w:val="a8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471AFD">
          <w:rPr>
            <w:rStyle w:val="a8"/>
            <w:rFonts w:ascii="Arial" w:cs="Arial" w:hint="eastAsia"/>
            <w:noProof/>
          </w:rPr>
          <w:t>重要提示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5654" w:history="1">
        <w:r w:rsidRPr="00471AFD">
          <w:rPr>
            <w:rStyle w:val="a8"/>
            <w:rFonts w:ascii="Arial" w:hAnsi="Arial" w:cs="Arial" w:hint="eastAsia"/>
            <w:noProof/>
          </w:rPr>
          <w:t>三</w:t>
        </w:r>
        <w:r w:rsidRPr="00471AFD">
          <w:rPr>
            <w:rStyle w:val="a8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471AFD">
          <w:rPr>
            <w:rStyle w:val="a8"/>
            <w:rFonts w:ascii="Arial" w:cs="Arial" w:hint="eastAsia"/>
            <w:noProof/>
          </w:rPr>
          <w:t>产品基本情况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5655" w:history="1">
        <w:r w:rsidRPr="00471AFD">
          <w:rPr>
            <w:rStyle w:val="a8"/>
            <w:rFonts w:ascii="Arial" w:hAnsi="Arial" w:cs="Arial" w:hint="eastAsia"/>
            <w:noProof/>
          </w:rPr>
          <w:t>四</w:t>
        </w:r>
        <w:r w:rsidRPr="00471AFD">
          <w:rPr>
            <w:rStyle w:val="a8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471AFD">
          <w:rPr>
            <w:rStyle w:val="a8"/>
            <w:rFonts w:ascii="Arial" w:cs="Arial" w:hint="eastAsia"/>
            <w:noProof/>
          </w:rPr>
          <w:t>产品收益表现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5656" w:history="1">
        <w:r w:rsidRPr="00471AFD">
          <w:rPr>
            <w:rStyle w:val="a8"/>
            <w:rFonts w:ascii="Arial" w:hAnsi="Arial" w:cs="Arial" w:hint="eastAsia"/>
            <w:noProof/>
          </w:rPr>
          <w:t>五</w:t>
        </w:r>
        <w:r w:rsidRPr="00471AFD">
          <w:rPr>
            <w:rStyle w:val="a8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471AFD">
          <w:rPr>
            <w:rStyle w:val="a8"/>
            <w:rFonts w:ascii="Arial" w:cs="Arial" w:hint="eastAsia"/>
            <w:noProof/>
          </w:rPr>
          <w:t>报告期内产品的投资策略和运作分析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5657" w:history="1">
        <w:r w:rsidRPr="00471AFD">
          <w:rPr>
            <w:rStyle w:val="a8"/>
            <w:rFonts w:ascii="Arial" w:hAnsi="Arial" w:cs="Arial" w:hint="eastAsia"/>
            <w:noProof/>
          </w:rPr>
          <w:t>六</w:t>
        </w:r>
        <w:r w:rsidRPr="00471AFD">
          <w:rPr>
            <w:rStyle w:val="a8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471AFD">
          <w:rPr>
            <w:rStyle w:val="a8"/>
            <w:rFonts w:ascii="Arial" w:hAnsi="Arial" w:cs="Arial"/>
            <w:noProof/>
          </w:rPr>
          <w:t>2019</w:t>
        </w:r>
        <w:r w:rsidRPr="00471AFD">
          <w:rPr>
            <w:rStyle w:val="a8"/>
            <w:rFonts w:ascii="Arial" w:cs="Arial" w:hint="eastAsia"/>
            <w:noProof/>
          </w:rPr>
          <w:t>年第</w:t>
        </w:r>
        <w:r w:rsidRPr="00471AFD">
          <w:rPr>
            <w:rStyle w:val="a8"/>
            <w:rFonts w:ascii="Arial" w:hAnsi="Arial" w:cs="Arial"/>
            <w:noProof/>
          </w:rPr>
          <w:t>1</w:t>
        </w:r>
        <w:r w:rsidRPr="00471AFD">
          <w:rPr>
            <w:rStyle w:val="a8"/>
            <w:rFonts w:ascii="Arial" w:cs="Arial" w:hint="eastAsia"/>
            <w:noProof/>
          </w:rPr>
          <w:t>季度财务会计报告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21"/>
        <w:tabs>
          <w:tab w:val="right" w:leader="dot" w:pos="8296"/>
        </w:tabs>
        <w:rPr>
          <w:noProof/>
        </w:rPr>
      </w:pPr>
      <w:hyperlink w:anchor="_Toc6405658" w:history="1">
        <w:r w:rsidRPr="00471AFD">
          <w:rPr>
            <w:rStyle w:val="a8"/>
            <w:rFonts w:ascii="Arial" w:hAnsi="Arial" w:cs="Arial"/>
            <w:noProof/>
          </w:rPr>
          <w:t xml:space="preserve">1. </w:t>
        </w:r>
        <w:r w:rsidRPr="00471AFD">
          <w:rPr>
            <w:rStyle w:val="a8"/>
            <w:rFonts w:ascii="Arial" w:cs="Arial" w:hint="eastAsia"/>
            <w:noProof/>
          </w:rPr>
          <w:t>资产负债表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21"/>
        <w:tabs>
          <w:tab w:val="right" w:leader="dot" w:pos="8296"/>
        </w:tabs>
        <w:rPr>
          <w:noProof/>
        </w:rPr>
      </w:pPr>
      <w:hyperlink w:anchor="_Toc6405659" w:history="1">
        <w:r w:rsidRPr="00471AFD">
          <w:rPr>
            <w:rStyle w:val="a8"/>
            <w:rFonts w:ascii="Arial" w:hAnsi="Arial" w:cs="Arial"/>
            <w:noProof/>
          </w:rPr>
          <w:t xml:space="preserve">2. </w:t>
        </w:r>
        <w:r w:rsidRPr="00471AFD">
          <w:rPr>
            <w:rStyle w:val="a8"/>
            <w:rFonts w:ascii="Arial" w:cs="Arial" w:hint="eastAsia"/>
            <w:noProof/>
          </w:rPr>
          <w:t>利润表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21"/>
        <w:tabs>
          <w:tab w:val="right" w:leader="dot" w:pos="8296"/>
        </w:tabs>
        <w:rPr>
          <w:noProof/>
        </w:rPr>
      </w:pPr>
      <w:hyperlink w:anchor="_Toc6405660" w:history="1">
        <w:r w:rsidRPr="00471AFD">
          <w:rPr>
            <w:rStyle w:val="a8"/>
            <w:rFonts w:ascii="Arial" w:hAnsi="Arial" w:cs="Arial"/>
            <w:noProof/>
          </w:rPr>
          <w:t xml:space="preserve">3. </w:t>
        </w:r>
        <w:r w:rsidRPr="00471AFD">
          <w:rPr>
            <w:rStyle w:val="a8"/>
            <w:rFonts w:ascii="Arial" w:hAnsi="Arial" w:cs="Arial" w:hint="eastAsia"/>
            <w:noProof/>
          </w:rPr>
          <w:t>所有者权益（产品净值）变动表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11"/>
        <w:tabs>
          <w:tab w:val="left" w:pos="630"/>
          <w:tab w:val="right" w:leader="dot" w:pos="8296"/>
        </w:tabs>
        <w:rPr>
          <w:noProof/>
        </w:rPr>
      </w:pPr>
      <w:hyperlink w:anchor="_Toc6405661" w:history="1">
        <w:r w:rsidRPr="00471AFD">
          <w:rPr>
            <w:rStyle w:val="a8"/>
            <w:rFonts w:ascii="Arial" w:hAnsi="Arial" w:cs="Arial" w:hint="eastAsia"/>
            <w:noProof/>
          </w:rPr>
          <w:t>七</w:t>
        </w:r>
        <w:r w:rsidRPr="00471AFD">
          <w:rPr>
            <w:rStyle w:val="a8"/>
            <w:rFonts w:ascii="Arial" w:hAnsi="Arial" w:cs="Arial" w:hint="eastAsia"/>
            <w:noProof/>
          </w:rPr>
          <w:t>.</w:t>
        </w:r>
        <w:r>
          <w:rPr>
            <w:noProof/>
          </w:rPr>
          <w:tab/>
        </w:r>
        <w:r w:rsidRPr="00471AFD">
          <w:rPr>
            <w:rStyle w:val="a8"/>
            <w:rFonts w:ascii="Arial" w:hAnsi="Arial" w:cs="Arial" w:hint="eastAsia"/>
            <w:noProof/>
          </w:rPr>
          <w:t>投资组合情况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21"/>
        <w:tabs>
          <w:tab w:val="left" w:pos="840"/>
          <w:tab w:val="right" w:leader="dot" w:pos="8296"/>
        </w:tabs>
        <w:rPr>
          <w:noProof/>
        </w:rPr>
      </w:pPr>
      <w:hyperlink w:anchor="_Toc6405662" w:history="1">
        <w:r w:rsidRPr="00471AFD">
          <w:rPr>
            <w:rStyle w:val="a8"/>
            <w:rFonts w:ascii="Arial" w:hAnsi="Arial" w:cs="Arial"/>
            <w:noProof/>
          </w:rPr>
          <w:t>1.</w:t>
        </w:r>
        <w:r>
          <w:rPr>
            <w:noProof/>
          </w:rPr>
          <w:tab/>
        </w:r>
        <w:r w:rsidRPr="00471AFD">
          <w:rPr>
            <w:rStyle w:val="a8"/>
            <w:rFonts w:ascii="Arial" w:hAnsi="Arial" w:cs="Arial" w:hint="eastAsia"/>
            <w:noProof/>
          </w:rPr>
          <w:t>报告期末产品资产组合情况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21"/>
        <w:tabs>
          <w:tab w:val="left" w:pos="840"/>
          <w:tab w:val="right" w:leader="dot" w:pos="8296"/>
        </w:tabs>
        <w:rPr>
          <w:noProof/>
        </w:rPr>
      </w:pPr>
      <w:hyperlink w:anchor="_Toc6405663" w:history="1">
        <w:r w:rsidRPr="00471AFD">
          <w:rPr>
            <w:rStyle w:val="a8"/>
            <w:rFonts w:ascii="Arial" w:hAnsi="Arial" w:cs="Arial"/>
            <w:noProof/>
          </w:rPr>
          <w:t>2.</w:t>
        </w:r>
        <w:r>
          <w:rPr>
            <w:noProof/>
          </w:rPr>
          <w:tab/>
        </w:r>
        <w:r w:rsidRPr="00471AFD">
          <w:rPr>
            <w:rStyle w:val="a8"/>
            <w:rFonts w:ascii="Arial" w:hAnsi="Arial" w:cs="Arial" w:hint="eastAsia"/>
            <w:noProof/>
          </w:rPr>
          <w:t>报告期末杠杆融资情况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3C35" w:rsidRDefault="003A3C35">
      <w:pPr>
        <w:pStyle w:val="21"/>
        <w:tabs>
          <w:tab w:val="left" w:pos="840"/>
          <w:tab w:val="right" w:leader="dot" w:pos="8296"/>
        </w:tabs>
        <w:rPr>
          <w:noProof/>
        </w:rPr>
      </w:pPr>
      <w:hyperlink w:anchor="_Toc6405664" w:history="1">
        <w:r w:rsidRPr="00471AFD">
          <w:rPr>
            <w:rStyle w:val="a8"/>
            <w:rFonts w:ascii="Arial" w:hAnsi="Arial" w:cs="Arial"/>
            <w:noProof/>
          </w:rPr>
          <w:t>3.</w:t>
        </w:r>
        <w:r>
          <w:rPr>
            <w:noProof/>
          </w:rPr>
          <w:tab/>
        </w:r>
        <w:r w:rsidRPr="00471AFD">
          <w:rPr>
            <w:rStyle w:val="a8"/>
            <w:rFonts w:ascii="Arial" w:hAnsi="Arial" w:cs="Arial" w:hint="eastAsia"/>
            <w:noProof/>
          </w:rPr>
          <w:t>报告期末资产持仓前十基本信息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7154F" w:rsidRPr="003A3C35" w:rsidRDefault="00A405BB" w:rsidP="00246096">
      <w:pPr>
        <w:pStyle w:val="10"/>
        <w:rPr>
          <w:rFonts w:ascii="Arial" w:hAnsi="Arial" w:cs="Arial"/>
        </w:rPr>
      </w:pPr>
      <w:r w:rsidRPr="003A3C35">
        <w:rPr>
          <w:rFonts w:ascii="Arial" w:hAnsi="Arial" w:cs="Arial"/>
        </w:rPr>
        <w:fldChar w:fldCharType="end"/>
      </w:r>
      <w:r w:rsidR="00A7154F" w:rsidRPr="003A3C35">
        <w:rPr>
          <w:rFonts w:ascii="Arial" w:hAnsi="Arial" w:cs="Arial"/>
        </w:rPr>
        <w:br w:type="page"/>
      </w:r>
    </w:p>
    <w:p w:rsidR="002500F2" w:rsidRPr="003A3C35" w:rsidRDefault="00A45AF6" w:rsidP="00A45AF6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3" w:name="_Toc6405653"/>
      <w:r w:rsidRPr="003A3C35">
        <w:rPr>
          <w:rFonts w:ascii="Arial" w:cs="Arial"/>
        </w:rPr>
        <w:lastRenderedPageBreak/>
        <w:t>重要提示</w:t>
      </w:r>
      <w:bookmarkEnd w:id="3"/>
    </w:p>
    <w:p w:rsidR="00A45AF6" w:rsidRPr="003A3C35" w:rsidRDefault="00A45AF6" w:rsidP="00A45AF6">
      <w:pPr>
        <w:pStyle w:val="a9"/>
        <w:ind w:left="465" w:firstLineChars="0" w:firstLine="0"/>
        <w:rPr>
          <w:rFonts w:ascii="Arial" w:eastAsia="宋体" w:hAnsi="Arial" w:cs="Arial"/>
          <w:color w:val="FF0000"/>
          <w:sz w:val="30"/>
          <w:szCs w:val="30"/>
        </w:rPr>
      </w:pPr>
      <w:r w:rsidRPr="003A3C35">
        <w:rPr>
          <w:rFonts w:ascii="Arial" w:eastAsia="宋体" w:hAnsi="Arial" w:cs="Arial"/>
          <w:b/>
          <w:bCs/>
          <w:color w:val="FF0000"/>
          <w:sz w:val="30"/>
          <w:szCs w:val="30"/>
        </w:rPr>
        <w:t>1.</w:t>
      </w:r>
      <w:r w:rsidRPr="003A3C35">
        <w:rPr>
          <w:rFonts w:ascii="Arial" w:eastAsia="宋体" w:hAnsi="Arial" w:cs="Arial"/>
          <w:b/>
          <w:bCs/>
          <w:color w:val="FF0000"/>
          <w:sz w:val="30"/>
          <w:szCs w:val="30"/>
        </w:rPr>
        <w:t>温馨提醒：理财非存款，产品有风险，投资需谨慎！</w:t>
      </w:r>
    </w:p>
    <w:p w:rsidR="00A45AF6" w:rsidRPr="003A3C35" w:rsidRDefault="00A45AF6" w:rsidP="00A45AF6">
      <w:pPr>
        <w:pStyle w:val="a9"/>
        <w:ind w:left="465" w:firstLineChars="0" w:firstLine="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Arial" w:cs="Arial"/>
          <w:sz w:val="30"/>
          <w:szCs w:val="30"/>
        </w:rPr>
        <w:t>2.</w:t>
      </w:r>
      <w:r w:rsidRPr="003A3C35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3A3C35">
        <w:rPr>
          <w:rFonts w:ascii="Arial" w:eastAsia="宋体" w:hAnsi="Arial" w:cs="Arial"/>
          <w:sz w:val="30"/>
          <w:szCs w:val="30"/>
        </w:rPr>
        <w:t>“</w:t>
      </w:r>
      <w:r w:rsidRPr="003A3C35">
        <w:rPr>
          <w:rFonts w:ascii="Arial" w:eastAsia="宋体" w:hAnsi="Arial" w:cs="Arial"/>
          <w:sz w:val="30"/>
          <w:szCs w:val="30"/>
        </w:rPr>
        <w:t>中国理财网（</w:t>
      </w:r>
      <w:r w:rsidRPr="003A3C35">
        <w:rPr>
          <w:rFonts w:ascii="Arial" w:eastAsia="宋体" w:hAnsi="Arial" w:cs="Arial"/>
          <w:sz w:val="30"/>
          <w:szCs w:val="30"/>
        </w:rPr>
        <w:t>www.chinawealth.com.cn</w:t>
      </w:r>
      <w:r w:rsidRPr="003A3C35">
        <w:rPr>
          <w:rFonts w:ascii="Arial" w:eastAsia="宋体" w:hAnsi="Arial" w:cs="Arial"/>
          <w:sz w:val="30"/>
          <w:szCs w:val="30"/>
        </w:rPr>
        <w:t>）</w:t>
      </w:r>
      <w:r w:rsidRPr="003A3C35">
        <w:rPr>
          <w:rFonts w:ascii="Arial" w:eastAsia="宋体" w:hAnsi="Arial" w:cs="Arial"/>
          <w:sz w:val="30"/>
          <w:szCs w:val="30"/>
        </w:rPr>
        <w:t>”</w:t>
      </w:r>
      <w:r w:rsidRPr="003A3C35">
        <w:rPr>
          <w:rFonts w:ascii="Arial" w:eastAsia="宋体" w:hAnsi="Arial" w:cs="Arial"/>
          <w:sz w:val="30"/>
          <w:szCs w:val="30"/>
        </w:rPr>
        <w:t>查询该产品相关信息。</w:t>
      </w:r>
    </w:p>
    <w:p w:rsidR="00A45AF6" w:rsidRPr="003A3C35" w:rsidRDefault="00A45AF6" w:rsidP="00A45AF6">
      <w:pPr>
        <w:pStyle w:val="a9"/>
        <w:ind w:left="465" w:firstLineChars="0" w:firstLine="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Arial" w:cs="Arial"/>
          <w:sz w:val="30"/>
          <w:szCs w:val="30"/>
        </w:rPr>
        <w:t>3.</w:t>
      </w:r>
      <w:r w:rsidRPr="003A3C35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A45AF6" w:rsidRPr="003A3C35" w:rsidRDefault="00A45AF6" w:rsidP="00A45AF6">
      <w:pPr>
        <w:pStyle w:val="10"/>
        <w:ind w:left="465"/>
        <w:rPr>
          <w:rFonts w:ascii="Arial" w:hAnsi="Arial" w:cs="Arial"/>
        </w:rPr>
      </w:pPr>
    </w:p>
    <w:p w:rsidR="00A45AF6" w:rsidRPr="003A3C35" w:rsidRDefault="00A45AF6" w:rsidP="00A45AF6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4" w:name="_Toc6405654"/>
      <w:r w:rsidRPr="003A3C35">
        <w:rPr>
          <w:rFonts w:ascii="Arial" w:cs="Arial"/>
        </w:rPr>
        <w:t>产品基本情况</w:t>
      </w:r>
      <w:bookmarkEnd w:id="4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93130C" w:rsidRPr="003A3C35" w:rsidTr="00C7462E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2500F2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F6481E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兴业银行</w:t>
            </w: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“</w:t>
            </w: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万利宝</w:t>
            </w: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-</w:t>
            </w: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聚利</w:t>
            </w: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”2018</w:t>
            </w: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年第</w:t>
            </w:r>
            <w:r w:rsidR="006B1E4B" w:rsidRPr="003A3C35">
              <w:rPr>
                <w:rFonts w:ascii="Arial" w:eastAsia="宋体" w:hAnsi="Arial" w:cs="Arial"/>
                <w:b/>
                <w:kern w:val="0"/>
                <w:sz w:val="22"/>
              </w:rPr>
              <w:t>7</w:t>
            </w: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期封闭式净值型理财产品（</w:t>
            </w:r>
            <w:r w:rsidR="006B1E4B" w:rsidRPr="003A3C35">
              <w:rPr>
                <w:rFonts w:ascii="Arial" w:eastAsia="宋体" w:hAnsi="Arial" w:cs="Arial"/>
                <w:b/>
                <w:kern w:val="0"/>
                <w:sz w:val="22"/>
              </w:rPr>
              <w:t>5</w:t>
            </w: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M</w:t>
            </w: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）</w:t>
            </w:r>
          </w:p>
        </w:tc>
      </w:tr>
      <w:tr w:rsidR="0093130C" w:rsidRPr="003A3C35" w:rsidTr="006B1E4B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2500F2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0F2" w:rsidRPr="003A3C35" w:rsidRDefault="006B1E4B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9K118007</w:t>
            </w:r>
          </w:p>
        </w:tc>
      </w:tr>
      <w:tr w:rsidR="0093130C" w:rsidRPr="003A3C35" w:rsidTr="00C7462E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2500F2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00F2" w:rsidRPr="003A3C35" w:rsidRDefault="00A7154F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C1030918000773</w:t>
            </w:r>
          </w:p>
        </w:tc>
      </w:tr>
      <w:tr w:rsidR="0093130C" w:rsidRPr="003A3C35" w:rsidTr="00C7462E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2500F2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2500F2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封闭式净值型</w:t>
            </w:r>
          </w:p>
        </w:tc>
      </w:tr>
      <w:tr w:rsidR="0093130C" w:rsidRPr="003A3C35" w:rsidTr="00C7462E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2500F2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0F2" w:rsidRPr="003A3C35" w:rsidRDefault="006B1E4B" w:rsidP="00C7462E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3.02</w:t>
            </w:r>
            <w:r w:rsidR="00F6481E" w:rsidRPr="003A3C35">
              <w:rPr>
                <w:rFonts w:ascii="Arial" w:eastAsia="宋体" w:hAnsi="宋体" w:cs="Arial"/>
                <w:b/>
                <w:kern w:val="0"/>
                <w:sz w:val="22"/>
              </w:rPr>
              <w:t>亿</w:t>
            </w:r>
            <w:r w:rsidR="002500F2" w:rsidRPr="003A3C35">
              <w:rPr>
                <w:rFonts w:ascii="Arial" w:eastAsia="宋体" w:hAnsi="宋体" w:cs="Arial"/>
                <w:b/>
                <w:kern w:val="0"/>
                <w:sz w:val="22"/>
              </w:rPr>
              <w:t>份</w:t>
            </w:r>
            <w:r w:rsidR="002500F2" w:rsidRPr="003A3C35">
              <w:rPr>
                <w:rFonts w:ascii="Arial" w:eastAsia="宋体" w:hAnsi="Arial" w:cs="Arial"/>
                <w:b/>
                <w:kern w:val="0"/>
                <w:sz w:val="22"/>
              </w:rPr>
              <w:t xml:space="preserve"> </w:t>
            </w:r>
          </w:p>
        </w:tc>
      </w:tr>
      <w:tr w:rsidR="0093130C" w:rsidRPr="003A3C35" w:rsidTr="00FA4773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93130C" w:rsidRPr="003A3C35" w:rsidTr="00FA4773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固定期限，低风险，低估值波动的稳健投资策略</w:t>
            </w:r>
          </w:p>
        </w:tc>
      </w:tr>
      <w:tr w:rsidR="0093130C" w:rsidRPr="003A3C35" w:rsidTr="00FA4773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773" w:rsidRPr="003A3C35" w:rsidRDefault="00A7154F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固定比较基准</w:t>
            </w:r>
            <w:r w:rsidRPr="003A3C35">
              <w:rPr>
                <w:rFonts w:ascii="Arial" w:eastAsia="宋体" w:hAnsi="Arial" w:cs="Arial"/>
                <w:b/>
                <w:kern w:val="0"/>
                <w:sz w:val="22"/>
              </w:rPr>
              <w:t>4.60%</w:t>
            </w:r>
          </w:p>
        </w:tc>
      </w:tr>
      <w:tr w:rsidR="0093130C" w:rsidRPr="003A3C35" w:rsidTr="00FA4773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本产品具有低风险、固定收益特征</w:t>
            </w:r>
          </w:p>
        </w:tc>
      </w:tr>
      <w:tr w:rsidR="0093130C" w:rsidRPr="003A3C35" w:rsidTr="00FA4773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兴业银行股份有限公司</w:t>
            </w:r>
          </w:p>
        </w:tc>
      </w:tr>
      <w:tr w:rsidR="0093130C" w:rsidRPr="003A3C35" w:rsidTr="00FA4773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4773" w:rsidRPr="003A3C35" w:rsidRDefault="00FA4773" w:rsidP="00FA4773">
            <w:pPr>
              <w:widowControl/>
              <w:jc w:val="left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kern w:val="0"/>
                <w:sz w:val="22"/>
              </w:rPr>
              <w:t>兴业银行股份有限公司</w:t>
            </w:r>
          </w:p>
        </w:tc>
      </w:tr>
    </w:tbl>
    <w:p w:rsidR="00FA4773" w:rsidRPr="003A3C35" w:rsidRDefault="00FA4773" w:rsidP="00F20BB0">
      <w:pPr>
        <w:rPr>
          <w:rFonts w:ascii="Arial" w:hAnsi="Arial" w:cs="Arial"/>
          <w:sz w:val="30"/>
          <w:szCs w:val="30"/>
        </w:rPr>
      </w:pPr>
    </w:p>
    <w:p w:rsidR="00FA4773" w:rsidRPr="003A3C35" w:rsidRDefault="00FA4773" w:rsidP="003F378E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5" w:name="_Toc6405655"/>
      <w:r w:rsidRPr="003A3C35">
        <w:rPr>
          <w:rFonts w:ascii="Arial" w:cs="Arial"/>
        </w:rPr>
        <w:t>产品收益表现</w:t>
      </w:r>
      <w:bookmarkEnd w:id="5"/>
      <w:r w:rsidRPr="003A3C35">
        <w:rPr>
          <w:rFonts w:ascii="Arial" w:hAnsi="Arial" w:cs="Arial"/>
        </w:rPr>
        <w:tab/>
      </w:r>
    </w:p>
    <w:p w:rsidR="00FA4773" w:rsidRPr="003A3C35" w:rsidRDefault="00FA4773" w:rsidP="00FA4773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报告期内，本</w:t>
      </w:r>
      <w:proofErr w:type="gramStart"/>
      <w:r w:rsidRPr="003A3C35">
        <w:rPr>
          <w:rFonts w:ascii="Arial" w:eastAsia="宋体" w:hAnsi="Calibri" w:cs="Arial"/>
          <w:sz w:val="30"/>
          <w:szCs w:val="30"/>
        </w:rPr>
        <w:t>产品年化收益率</w:t>
      </w:r>
      <w:proofErr w:type="gramEnd"/>
      <w:r w:rsidRPr="003A3C35">
        <w:rPr>
          <w:rFonts w:ascii="Arial" w:eastAsia="宋体" w:hAnsi="Calibri" w:cs="Arial"/>
          <w:sz w:val="30"/>
          <w:szCs w:val="30"/>
        </w:rPr>
        <w:t>为</w:t>
      </w:r>
      <w:r w:rsidR="00F964D9" w:rsidRPr="003A3C35">
        <w:rPr>
          <w:rFonts w:ascii="Arial" w:eastAsia="宋体" w:hAnsi="Arial" w:cs="Arial"/>
          <w:sz w:val="30"/>
          <w:szCs w:val="30"/>
        </w:rPr>
        <w:t>4.</w:t>
      </w:r>
      <w:r w:rsidR="005D52EF" w:rsidRPr="003A3C35">
        <w:rPr>
          <w:rFonts w:ascii="Arial" w:eastAsia="宋体" w:hAnsi="Arial" w:cs="Arial"/>
          <w:sz w:val="30"/>
          <w:szCs w:val="30"/>
        </w:rPr>
        <w:t>6735</w:t>
      </w:r>
      <w:r w:rsidRPr="003A3C35">
        <w:rPr>
          <w:rFonts w:ascii="Arial" w:eastAsia="宋体" w:hAnsi="Arial" w:cs="Arial"/>
          <w:sz w:val="30"/>
          <w:szCs w:val="30"/>
        </w:rPr>
        <w:t>%</w:t>
      </w:r>
      <w:r w:rsidRPr="003A3C35">
        <w:rPr>
          <w:rFonts w:ascii="Arial" w:eastAsia="宋体" w:hAnsi="Calibri" w:cs="Arial"/>
          <w:sz w:val="30"/>
          <w:szCs w:val="30"/>
        </w:rPr>
        <w:t>，达到业绩比较基准。</w:t>
      </w:r>
    </w:p>
    <w:p w:rsidR="00A7154F" w:rsidRPr="003A3C35" w:rsidRDefault="00A7154F" w:rsidP="00A7154F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报告期末，产品净值具体表现如下：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A7154F" w:rsidRPr="003A3C35" w:rsidTr="00A31243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54F" w:rsidRPr="003A3C35" w:rsidRDefault="00A7154F" w:rsidP="00A3124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54F" w:rsidRPr="003A3C35" w:rsidRDefault="00A7154F" w:rsidP="00A3124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54F" w:rsidRPr="003A3C35" w:rsidRDefault="00A7154F" w:rsidP="00A3124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54F" w:rsidRPr="003A3C35" w:rsidRDefault="00A7154F" w:rsidP="00A31243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A7154F" w:rsidRPr="003A3C35" w:rsidTr="00A31243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54F" w:rsidRPr="003A3C35" w:rsidRDefault="00A7154F" w:rsidP="00A31243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C35">
              <w:rPr>
                <w:rFonts w:ascii="Arial" w:hAnsi="Arial" w:cs="Arial"/>
                <w:sz w:val="24"/>
                <w:szCs w:val="24"/>
              </w:rPr>
              <w:t>2019/3/29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154F" w:rsidRPr="003A3C35" w:rsidRDefault="00A7154F" w:rsidP="00A312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C35">
              <w:rPr>
                <w:rFonts w:ascii="Arial" w:hAnsi="Arial" w:cs="Arial"/>
                <w:sz w:val="24"/>
                <w:szCs w:val="24"/>
              </w:rPr>
              <w:t>1.018310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154F" w:rsidRPr="003A3C35" w:rsidRDefault="00A7154F" w:rsidP="00A312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C35">
              <w:rPr>
                <w:rFonts w:ascii="Arial" w:hAnsi="Arial" w:cs="Arial"/>
                <w:sz w:val="24"/>
                <w:szCs w:val="24"/>
              </w:rPr>
              <w:t>1.018310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54F" w:rsidRPr="003A3C35" w:rsidRDefault="00A7154F" w:rsidP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3C35">
              <w:rPr>
                <w:rFonts w:ascii="Arial" w:hAnsi="Arial" w:cs="Arial"/>
                <w:sz w:val="24"/>
                <w:szCs w:val="24"/>
              </w:rPr>
              <w:t>307,529,599.08</w:t>
            </w:r>
          </w:p>
        </w:tc>
      </w:tr>
    </w:tbl>
    <w:p w:rsidR="00FA4773" w:rsidRPr="003A3C35" w:rsidRDefault="00FA4773" w:rsidP="00A7154F">
      <w:pPr>
        <w:rPr>
          <w:rFonts w:ascii="Arial" w:eastAsia="宋体" w:hAnsi="Arial" w:cs="Arial"/>
          <w:sz w:val="30"/>
          <w:szCs w:val="30"/>
        </w:rPr>
      </w:pPr>
    </w:p>
    <w:p w:rsidR="00FA4773" w:rsidRPr="003A3C35" w:rsidRDefault="00FA4773" w:rsidP="003F378E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6" w:name="_Toc6405656"/>
      <w:r w:rsidRPr="003A3C35">
        <w:rPr>
          <w:rFonts w:ascii="Arial" w:cs="Arial"/>
        </w:rPr>
        <w:lastRenderedPageBreak/>
        <w:t>报告期内产品的投资策略和运作分析</w:t>
      </w:r>
      <w:bookmarkEnd w:id="6"/>
    </w:p>
    <w:p w:rsidR="002C68F6" w:rsidRPr="003A3C35" w:rsidRDefault="002C68F6" w:rsidP="002C68F6">
      <w:pPr>
        <w:ind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本理财产品投资于同业借款，借款人为</w:t>
      </w:r>
      <w:proofErr w:type="gramStart"/>
      <w:r w:rsidRPr="003A3C35">
        <w:rPr>
          <w:rFonts w:ascii="Arial" w:eastAsia="宋体" w:hAnsi="Calibri" w:cs="Arial"/>
          <w:sz w:val="30"/>
          <w:szCs w:val="30"/>
        </w:rPr>
        <w:t>渝</w:t>
      </w:r>
      <w:proofErr w:type="gramEnd"/>
      <w:r w:rsidRPr="003A3C35">
        <w:rPr>
          <w:rFonts w:ascii="Arial" w:eastAsia="宋体" w:hAnsi="Calibri" w:cs="Arial"/>
          <w:sz w:val="30"/>
          <w:szCs w:val="30"/>
        </w:rPr>
        <w:t>农商金融租赁有限责任公司</w:t>
      </w:r>
      <w:r w:rsidR="0093130C" w:rsidRPr="003A3C35">
        <w:rPr>
          <w:rFonts w:ascii="Arial" w:eastAsia="宋体" w:hAnsi="Calibri" w:cs="Arial"/>
          <w:sz w:val="30"/>
          <w:szCs w:val="30"/>
        </w:rPr>
        <w:t>及马上消费金融股份有限公司</w:t>
      </w:r>
      <w:r w:rsidRPr="003A3C35">
        <w:rPr>
          <w:rFonts w:ascii="Arial" w:eastAsia="宋体" w:hAnsi="Calibri" w:cs="Arial"/>
          <w:sz w:val="30"/>
          <w:szCs w:val="30"/>
        </w:rPr>
        <w:t>。同业</w:t>
      </w:r>
      <w:proofErr w:type="gramStart"/>
      <w:r w:rsidRPr="003A3C35">
        <w:rPr>
          <w:rFonts w:ascii="Arial" w:eastAsia="宋体" w:hAnsi="Calibri" w:cs="Arial"/>
          <w:sz w:val="30"/>
          <w:szCs w:val="30"/>
        </w:rPr>
        <w:t>借款指</w:t>
      </w:r>
      <w:proofErr w:type="gramEnd"/>
      <w:r w:rsidRPr="003A3C35">
        <w:rPr>
          <w:rFonts w:ascii="Arial" w:eastAsia="宋体" w:hAnsi="Calibri" w:cs="Arial"/>
          <w:sz w:val="30"/>
          <w:szCs w:val="30"/>
        </w:rPr>
        <w:t>的是商业银行面向非</w:t>
      </w:r>
      <w:proofErr w:type="gramStart"/>
      <w:r w:rsidRPr="003A3C35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3A3C35">
        <w:rPr>
          <w:rFonts w:ascii="Arial" w:eastAsia="宋体" w:hAnsi="Calibri" w:cs="Arial"/>
          <w:sz w:val="30"/>
          <w:szCs w:val="30"/>
        </w:rPr>
        <w:t>机构开展的人民币借贷业务，是非</w:t>
      </w:r>
      <w:proofErr w:type="gramStart"/>
      <w:r w:rsidRPr="003A3C35">
        <w:rPr>
          <w:rFonts w:ascii="Arial" w:eastAsia="宋体" w:hAnsi="Calibri" w:cs="Arial"/>
          <w:sz w:val="30"/>
          <w:szCs w:val="30"/>
        </w:rPr>
        <w:t>银金融</w:t>
      </w:r>
      <w:proofErr w:type="gramEnd"/>
      <w:r w:rsidRPr="003A3C35">
        <w:rPr>
          <w:rFonts w:ascii="Arial" w:eastAsia="宋体" w:hAnsi="Calibri" w:cs="Arial"/>
          <w:sz w:val="30"/>
          <w:szCs w:val="30"/>
        </w:rPr>
        <w:t>机构募集资金的一项常用金融工具。</w:t>
      </w:r>
    </w:p>
    <w:p w:rsidR="0093130C" w:rsidRPr="003A3C35" w:rsidRDefault="0093130C" w:rsidP="002C68F6">
      <w:pPr>
        <w:ind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（</w:t>
      </w:r>
      <w:r w:rsidRPr="003A3C35">
        <w:rPr>
          <w:rFonts w:ascii="Arial" w:eastAsia="宋体" w:hAnsi="Arial" w:cs="Arial"/>
          <w:sz w:val="30"/>
          <w:szCs w:val="30"/>
        </w:rPr>
        <w:t>1</w:t>
      </w:r>
      <w:r w:rsidRPr="003A3C35">
        <w:rPr>
          <w:rFonts w:ascii="Arial" w:eastAsia="宋体" w:hAnsi="Calibri" w:cs="Arial"/>
          <w:sz w:val="30"/>
          <w:szCs w:val="30"/>
        </w:rPr>
        <w:t>）渝农商金融租赁有限责任公司简介</w:t>
      </w:r>
    </w:p>
    <w:p w:rsidR="002C68F6" w:rsidRPr="003A3C35" w:rsidRDefault="002C68F6" w:rsidP="002C68F6">
      <w:pPr>
        <w:ind w:firstLine="600"/>
        <w:rPr>
          <w:rFonts w:ascii="Arial" w:eastAsia="宋体" w:hAnsi="Arial" w:cs="Arial"/>
          <w:sz w:val="30"/>
          <w:szCs w:val="30"/>
        </w:rPr>
      </w:pPr>
      <w:proofErr w:type="gramStart"/>
      <w:r w:rsidRPr="003A3C35">
        <w:rPr>
          <w:rFonts w:ascii="Arial" w:eastAsia="宋体" w:hAnsi="Calibri" w:cs="Arial"/>
          <w:sz w:val="30"/>
          <w:szCs w:val="30"/>
        </w:rPr>
        <w:t>渝</w:t>
      </w:r>
      <w:proofErr w:type="gramEnd"/>
      <w:r w:rsidRPr="003A3C35">
        <w:rPr>
          <w:rFonts w:ascii="Arial" w:eastAsia="宋体" w:hAnsi="Calibri" w:cs="Arial"/>
          <w:sz w:val="30"/>
          <w:szCs w:val="30"/>
        </w:rPr>
        <w:t>农商金融租赁有限责任公司成立于</w:t>
      </w:r>
      <w:r w:rsidRPr="003A3C35">
        <w:rPr>
          <w:rFonts w:ascii="Arial" w:eastAsia="宋体" w:hAnsi="Arial" w:cs="Arial"/>
          <w:sz w:val="30"/>
          <w:szCs w:val="30"/>
        </w:rPr>
        <w:t>2014</w:t>
      </w:r>
      <w:r w:rsidRPr="003A3C35">
        <w:rPr>
          <w:rFonts w:ascii="Arial" w:eastAsia="宋体" w:hAnsi="Calibri" w:cs="Arial"/>
          <w:sz w:val="30"/>
          <w:szCs w:val="30"/>
        </w:rPr>
        <w:t>年</w:t>
      </w:r>
      <w:r w:rsidR="002A7352" w:rsidRPr="003A3C35">
        <w:rPr>
          <w:rFonts w:ascii="Arial" w:eastAsia="宋体" w:hAnsi="Arial" w:cs="Arial"/>
          <w:sz w:val="30"/>
          <w:szCs w:val="30"/>
        </w:rPr>
        <w:t>12</w:t>
      </w:r>
      <w:r w:rsidRPr="003A3C35">
        <w:rPr>
          <w:rFonts w:ascii="Arial" w:eastAsia="宋体" w:hAnsi="Calibri" w:cs="Arial"/>
          <w:sz w:val="30"/>
          <w:szCs w:val="30"/>
        </w:rPr>
        <w:t>月，注册资本</w:t>
      </w:r>
      <w:r w:rsidR="002A7352" w:rsidRPr="003A3C35">
        <w:rPr>
          <w:rFonts w:ascii="Arial" w:eastAsia="宋体" w:hAnsi="Arial" w:cs="Arial"/>
          <w:sz w:val="30"/>
          <w:szCs w:val="30"/>
        </w:rPr>
        <w:t>25</w:t>
      </w:r>
      <w:r w:rsidRPr="003A3C35">
        <w:rPr>
          <w:rFonts w:ascii="Arial" w:eastAsia="宋体" w:hAnsi="Calibri" w:cs="Arial"/>
          <w:sz w:val="30"/>
          <w:szCs w:val="30"/>
        </w:rPr>
        <w:t>亿元人民币，</w:t>
      </w:r>
      <w:r w:rsidR="002A7352" w:rsidRPr="003A3C35">
        <w:rPr>
          <w:rFonts w:ascii="Arial" w:eastAsia="宋体" w:hAnsi="Calibri" w:cs="Arial"/>
          <w:sz w:val="30"/>
          <w:szCs w:val="30"/>
        </w:rPr>
        <w:t>是由重庆农村商业银行股份有限公司牵头出资并控股，</w:t>
      </w:r>
      <w:r w:rsidR="00BD1A4F" w:rsidRPr="003A3C35">
        <w:rPr>
          <w:rFonts w:ascii="Arial" w:eastAsia="宋体" w:hAnsi="Calibri" w:cs="Arial"/>
          <w:sz w:val="30"/>
          <w:szCs w:val="30"/>
        </w:rPr>
        <w:t>与重庆两江金融发展有限公司、重庆捷力轮毂制造有限责任公司共同发起设立的金融租赁公司，是中西部首家地方性银行控股、民营参股的混合所有制金融租赁公司，也是全国第</w:t>
      </w:r>
      <w:r w:rsidR="00BD1A4F" w:rsidRPr="003A3C35">
        <w:rPr>
          <w:rFonts w:ascii="Arial" w:eastAsia="宋体" w:hAnsi="Arial" w:cs="Arial"/>
          <w:sz w:val="30"/>
          <w:szCs w:val="30"/>
        </w:rPr>
        <w:t>28</w:t>
      </w:r>
      <w:r w:rsidR="00BD1A4F" w:rsidRPr="003A3C35">
        <w:rPr>
          <w:rFonts w:ascii="Arial" w:eastAsia="宋体" w:hAnsi="Calibri" w:cs="Arial"/>
          <w:sz w:val="30"/>
          <w:szCs w:val="30"/>
        </w:rPr>
        <w:t>家</w:t>
      </w:r>
      <w:r w:rsidR="00B52F9E" w:rsidRPr="003A3C35">
        <w:rPr>
          <w:rFonts w:ascii="Arial" w:eastAsia="宋体" w:hAnsi="Calibri" w:cs="Arial"/>
          <w:sz w:val="30"/>
          <w:szCs w:val="30"/>
        </w:rPr>
        <w:t>成立的金融租赁公司</w:t>
      </w:r>
      <w:r w:rsidRPr="003A3C35">
        <w:rPr>
          <w:rFonts w:ascii="Arial" w:eastAsia="宋体" w:hAnsi="Calibri" w:cs="Arial"/>
          <w:sz w:val="30"/>
          <w:szCs w:val="30"/>
        </w:rPr>
        <w:t>。</w:t>
      </w:r>
    </w:p>
    <w:p w:rsidR="00B52F9E" w:rsidRPr="003A3C35" w:rsidRDefault="00B52F9E" w:rsidP="002C68F6">
      <w:pPr>
        <w:ind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该公司立足重庆、辐射西南、面向全国，依托重庆良好的经济金融环境，抓住西部大开发机遇，把握全国经济社会转型、打造经济升级的新形势，发挥融资租赁的纽带作用，建立完善的金融租赁产品和服务体系，专注服务实体经济、中小企业和</w:t>
      </w:r>
      <w:r w:rsidRPr="003A3C35">
        <w:rPr>
          <w:rFonts w:ascii="Arial" w:eastAsia="宋体" w:hAnsi="Arial" w:cs="Arial"/>
          <w:sz w:val="30"/>
          <w:szCs w:val="30"/>
        </w:rPr>
        <w:t>“</w:t>
      </w:r>
      <w:r w:rsidRPr="003A3C35">
        <w:rPr>
          <w:rFonts w:ascii="Arial" w:eastAsia="宋体" w:hAnsi="Calibri" w:cs="Arial"/>
          <w:sz w:val="30"/>
          <w:szCs w:val="30"/>
        </w:rPr>
        <w:t>三农</w:t>
      </w:r>
      <w:r w:rsidRPr="003A3C35">
        <w:rPr>
          <w:rFonts w:ascii="Arial" w:eastAsia="宋体" w:hAnsi="Arial" w:cs="Arial"/>
          <w:sz w:val="30"/>
          <w:szCs w:val="30"/>
        </w:rPr>
        <w:t>”</w:t>
      </w:r>
      <w:r w:rsidRPr="003A3C35">
        <w:rPr>
          <w:rFonts w:ascii="Arial" w:eastAsia="宋体" w:hAnsi="Calibri" w:cs="Arial"/>
          <w:sz w:val="30"/>
          <w:szCs w:val="30"/>
        </w:rPr>
        <w:t>客户，坚持真租赁，大胆谋创新，努力打造成为特色鲜明的国内一流金融租赁公司。</w:t>
      </w:r>
    </w:p>
    <w:p w:rsidR="002C68F6" w:rsidRPr="003A3C35" w:rsidRDefault="002C68F6" w:rsidP="002C68F6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截止</w:t>
      </w:r>
      <w:r w:rsidRPr="003A3C35">
        <w:rPr>
          <w:rFonts w:ascii="Arial" w:eastAsia="宋体" w:hAnsi="Arial" w:cs="Arial"/>
          <w:sz w:val="30"/>
          <w:szCs w:val="30"/>
        </w:rPr>
        <w:t>2018</w:t>
      </w:r>
      <w:r w:rsidRPr="003A3C35">
        <w:rPr>
          <w:rFonts w:ascii="Arial" w:eastAsia="宋体" w:hAnsi="Calibri" w:cs="Arial"/>
          <w:sz w:val="30"/>
          <w:szCs w:val="30"/>
        </w:rPr>
        <w:t>年</w:t>
      </w:r>
      <w:r w:rsidRPr="003A3C35">
        <w:rPr>
          <w:rFonts w:ascii="Arial" w:eastAsia="宋体" w:hAnsi="Arial" w:cs="Arial"/>
          <w:sz w:val="30"/>
          <w:szCs w:val="30"/>
        </w:rPr>
        <w:t>9</w:t>
      </w:r>
      <w:r w:rsidRPr="003A3C35">
        <w:rPr>
          <w:rFonts w:ascii="Arial" w:eastAsia="宋体" w:hAnsi="Calibri" w:cs="Arial"/>
          <w:sz w:val="30"/>
          <w:szCs w:val="30"/>
        </w:rPr>
        <w:t>月末，公司总资产</w:t>
      </w:r>
      <w:r w:rsidR="00B52F9E" w:rsidRPr="003A3C35">
        <w:rPr>
          <w:rFonts w:ascii="Arial" w:eastAsia="宋体" w:hAnsi="Arial" w:cs="Arial"/>
          <w:sz w:val="30"/>
          <w:szCs w:val="30"/>
        </w:rPr>
        <w:t>285.92</w:t>
      </w:r>
      <w:r w:rsidRPr="003A3C35">
        <w:rPr>
          <w:rFonts w:ascii="Arial" w:eastAsia="宋体" w:hAnsi="Calibri" w:cs="Arial"/>
          <w:sz w:val="30"/>
          <w:szCs w:val="30"/>
        </w:rPr>
        <w:t>亿元，总负债</w:t>
      </w:r>
      <w:r w:rsidR="00B52F9E" w:rsidRPr="003A3C35">
        <w:rPr>
          <w:rFonts w:ascii="Arial" w:eastAsia="宋体" w:hAnsi="Arial" w:cs="Arial"/>
          <w:sz w:val="30"/>
          <w:szCs w:val="30"/>
        </w:rPr>
        <w:t>253.47</w:t>
      </w:r>
      <w:r w:rsidRPr="003A3C35">
        <w:rPr>
          <w:rFonts w:ascii="Arial" w:eastAsia="宋体" w:hAnsi="Calibri" w:cs="Arial"/>
          <w:sz w:val="30"/>
          <w:szCs w:val="30"/>
        </w:rPr>
        <w:t>亿元，股东权益合计</w:t>
      </w:r>
      <w:r w:rsidR="00B52F9E" w:rsidRPr="003A3C35">
        <w:rPr>
          <w:rFonts w:ascii="Arial" w:eastAsia="宋体" w:hAnsi="Arial" w:cs="Arial"/>
          <w:sz w:val="30"/>
          <w:szCs w:val="30"/>
        </w:rPr>
        <w:t>32.45</w:t>
      </w:r>
      <w:r w:rsidRPr="003A3C35">
        <w:rPr>
          <w:rFonts w:ascii="Arial" w:eastAsia="宋体" w:hAnsi="Calibri" w:cs="Arial"/>
          <w:sz w:val="30"/>
          <w:szCs w:val="30"/>
        </w:rPr>
        <w:t>亿元。营业收入</w:t>
      </w:r>
      <w:r w:rsidR="00B52F9E" w:rsidRPr="003A3C35">
        <w:rPr>
          <w:rFonts w:ascii="Arial" w:eastAsia="宋体" w:hAnsi="Arial" w:cs="Arial"/>
          <w:sz w:val="30"/>
          <w:szCs w:val="30"/>
        </w:rPr>
        <w:t>5.12</w:t>
      </w:r>
      <w:r w:rsidRPr="003A3C35">
        <w:rPr>
          <w:rFonts w:ascii="Arial" w:eastAsia="宋体" w:hAnsi="Calibri" w:cs="Arial"/>
          <w:sz w:val="30"/>
          <w:szCs w:val="30"/>
        </w:rPr>
        <w:t>亿元，净利润</w:t>
      </w:r>
      <w:r w:rsidRPr="003A3C35">
        <w:rPr>
          <w:rFonts w:ascii="Arial" w:eastAsia="宋体" w:hAnsi="Arial" w:cs="Arial"/>
          <w:sz w:val="30"/>
          <w:szCs w:val="30"/>
        </w:rPr>
        <w:t>2.</w:t>
      </w:r>
      <w:r w:rsidR="00B52F9E" w:rsidRPr="003A3C35">
        <w:rPr>
          <w:rFonts w:ascii="Arial" w:eastAsia="宋体" w:hAnsi="Arial" w:cs="Arial"/>
          <w:sz w:val="30"/>
          <w:szCs w:val="30"/>
        </w:rPr>
        <w:t>14</w:t>
      </w:r>
      <w:r w:rsidRPr="003A3C35">
        <w:rPr>
          <w:rFonts w:ascii="Arial" w:eastAsia="宋体" w:hAnsi="Calibri" w:cs="Arial"/>
          <w:sz w:val="30"/>
          <w:szCs w:val="30"/>
        </w:rPr>
        <w:t>亿元，资产负债率</w:t>
      </w:r>
      <w:r w:rsidR="00B52F9E" w:rsidRPr="003A3C35">
        <w:rPr>
          <w:rFonts w:ascii="Arial" w:eastAsia="宋体" w:hAnsi="Arial" w:cs="Arial"/>
          <w:sz w:val="30"/>
          <w:szCs w:val="30"/>
        </w:rPr>
        <w:t>88.65</w:t>
      </w:r>
      <w:r w:rsidRPr="003A3C35">
        <w:rPr>
          <w:rFonts w:ascii="Arial" w:eastAsia="宋体" w:hAnsi="Arial" w:cs="Arial"/>
          <w:sz w:val="30"/>
          <w:szCs w:val="30"/>
        </w:rPr>
        <w:t>%</w:t>
      </w:r>
      <w:r w:rsidRPr="003A3C35">
        <w:rPr>
          <w:rFonts w:ascii="Arial" w:eastAsia="宋体" w:hAnsi="Calibri" w:cs="Arial"/>
          <w:sz w:val="30"/>
          <w:szCs w:val="30"/>
        </w:rPr>
        <w:t>，净资产收益率</w:t>
      </w:r>
      <w:r w:rsidR="006A00E5" w:rsidRPr="003A3C35">
        <w:rPr>
          <w:rFonts w:ascii="Arial" w:eastAsia="宋体" w:hAnsi="Arial" w:cs="Arial"/>
          <w:sz w:val="30"/>
          <w:szCs w:val="30"/>
        </w:rPr>
        <w:t>6.59</w:t>
      </w:r>
      <w:r w:rsidRPr="003A3C35">
        <w:rPr>
          <w:rFonts w:ascii="Arial" w:eastAsia="宋体" w:hAnsi="Arial" w:cs="Arial"/>
          <w:sz w:val="30"/>
          <w:szCs w:val="30"/>
        </w:rPr>
        <w:t>%</w:t>
      </w:r>
      <w:r w:rsidRPr="003A3C35">
        <w:rPr>
          <w:rFonts w:ascii="Arial" w:eastAsia="宋体" w:hAnsi="Calibri" w:cs="Arial"/>
          <w:sz w:val="30"/>
          <w:szCs w:val="30"/>
        </w:rPr>
        <w:t>。</w:t>
      </w:r>
    </w:p>
    <w:p w:rsidR="00FA4773" w:rsidRPr="003A3C35" w:rsidRDefault="0093130C" w:rsidP="00B10917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（</w:t>
      </w:r>
      <w:r w:rsidRPr="003A3C35">
        <w:rPr>
          <w:rFonts w:ascii="Arial" w:eastAsia="宋体" w:hAnsi="Arial" w:cs="Arial"/>
          <w:sz w:val="30"/>
          <w:szCs w:val="30"/>
        </w:rPr>
        <w:t>2</w:t>
      </w:r>
      <w:r w:rsidRPr="003A3C35">
        <w:rPr>
          <w:rFonts w:ascii="Arial" w:eastAsia="宋体" w:hAnsi="Calibri" w:cs="Arial"/>
          <w:sz w:val="30"/>
          <w:szCs w:val="30"/>
        </w:rPr>
        <w:t>）马上消费金融</w:t>
      </w:r>
      <w:bookmarkStart w:id="7" w:name="_Hlk5631465"/>
      <w:r w:rsidRPr="003A3C35">
        <w:rPr>
          <w:rFonts w:ascii="Arial" w:eastAsia="宋体" w:hAnsi="Calibri" w:cs="Arial"/>
          <w:sz w:val="30"/>
          <w:szCs w:val="30"/>
        </w:rPr>
        <w:t>股份有限公司</w:t>
      </w:r>
      <w:bookmarkEnd w:id="7"/>
      <w:r w:rsidR="00310648" w:rsidRPr="003A3C35">
        <w:rPr>
          <w:rFonts w:ascii="Arial" w:eastAsia="宋体" w:hAnsi="Calibri" w:cs="Arial"/>
          <w:sz w:val="30"/>
          <w:szCs w:val="30"/>
        </w:rPr>
        <w:t>简介</w:t>
      </w:r>
      <w:bookmarkStart w:id="8" w:name="_GoBack"/>
      <w:bookmarkEnd w:id="8"/>
    </w:p>
    <w:p w:rsidR="0093130C" w:rsidRPr="003A3C35" w:rsidRDefault="0093130C" w:rsidP="0093130C">
      <w:pPr>
        <w:ind w:firstLineChars="200" w:firstLine="600"/>
        <w:rPr>
          <w:rFonts w:ascii="Arial" w:eastAsia="宋体" w:hAnsi="Arial" w:cs="Arial"/>
          <w:sz w:val="30"/>
          <w:szCs w:val="30"/>
        </w:rPr>
      </w:pPr>
      <w:bookmarkStart w:id="9" w:name="_Hlk5631507"/>
      <w:r w:rsidRPr="003A3C35">
        <w:rPr>
          <w:rFonts w:ascii="Arial" w:eastAsia="宋体" w:hAnsi="Calibri" w:cs="Arial"/>
          <w:sz w:val="30"/>
          <w:szCs w:val="30"/>
        </w:rPr>
        <w:lastRenderedPageBreak/>
        <w:t>马上消费金融股份有限公司</w:t>
      </w:r>
      <w:bookmarkEnd w:id="9"/>
      <w:r w:rsidRPr="003A3C35">
        <w:rPr>
          <w:rFonts w:ascii="Arial" w:eastAsia="宋体" w:hAnsi="Calibri" w:cs="Arial"/>
          <w:sz w:val="30"/>
          <w:szCs w:val="30"/>
        </w:rPr>
        <w:t>是一家经中国银保监会批准，持有消费金融牌照的科技驱动的金融机构。马上消费金融于</w:t>
      </w:r>
      <w:r w:rsidRPr="003A3C35">
        <w:rPr>
          <w:rFonts w:ascii="Arial" w:eastAsia="宋体" w:hAnsi="Arial" w:cs="Arial"/>
          <w:sz w:val="30"/>
          <w:szCs w:val="30"/>
        </w:rPr>
        <w:t>2015</w:t>
      </w:r>
      <w:r w:rsidRPr="003A3C35">
        <w:rPr>
          <w:rFonts w:ascii="Arial" w:eastAsia="宋体" w:hAnsi="Calibri" w:cs="Arial"/>
          <w:sz w:val="30"/>
          <w:szCs w:val="30"/>
        </w:rPr>
        <w:t>年</w:t>
      </w:r>
      <w:r w:rsidRPr="003A3C35">
        <w:rPr>
          <w:rFonts w:ascii="Arial" w:eastAsia="宋体" w:hAnsi="Arial" w:cs="Arial"/>
          <w:sz w:val="30"/>
          <w:szCs w:val="30"/>
        </w:rPr>
        <w:t>6</w:t>
      </w:r>
      <w:r w:rsidRPr="003A3C35">
        <w:rPr>
          <w:rFonts w:ascii="Arial" w:eastAsia="宋体" w:hAnsi="Calibri" w:cs="Arial"/>
          <w:sz w:val="30"/>
          <w:szCs w:val="30"/>
        </w:rPr>
        <w:t>月正式开业，引入了重庆百货、重庆银行等国有股东，以及物美集团、阳光保险、浙江小商品城等社会化股东，形成极具活力的多元化混合所有制股东结构。公司于</w:t>
      </w:r>
      <w:r w:rsidRPr="003A3C35">
        <w:rPr>
          <w:rFonts w:ascii="Arial" w:eastAsia="宋体" w:hAnsi="Arial" w:cs="Arial"/>
          <w:sz w:val="30"/>
          <w:szCs w:val="30"/>
        </w:rPr>
        <w:t>2016</w:t>
      </w:r>
      <w:r w:rsidRPr="003A3C35">
        <w:rPr>
          <w:rFonts w:ascii="Arial" w:eastAsia="宋体" w:hAnsi="Calibri" w:cs="Arial"/>
          <w:sz w:val="30"/>
          <w:szCs w:val="30"/>
        </w:rPr>
        <w:t>、</w:t>
      </w:r>
      <w:r w:rsidRPr="003A3C35">
        <w:rPr>
          <w:rFonts w:ascii="Arial" w:eastAsia="宋体" w:hAnsi="Arial" w:cs="Arial"/>
          <w:sz w:val="30"/>
          <w:szCs w:val="30"/>
        </w:rPr>
        <w:t>2017</w:t>
      </w:r>
      <w:r w:rsidRPr="003A3C35">
        <w:rPr>
          <w:rFonts w:ascii="Arial" w:eastAsia="宋体" w:hAnsi="Calibri" w:cs="Arial"/>
          <w:sz w:val="30"/>
          <w:szCs w:val="30"/>
        </w:rPr>
        <w:t>、</w:t>
      </w:r>
      <w:r w:rsidRPr="003A3C35">
        <w:rPr>
          <w:rFonts w:ascii="Arial" w:eastAsia="宋体" w:hAnsi="Arial" w:cs="Arial"/>
          <w:sz w:val="30"/>
          <w:szCs w:val="30"/>
        </w:rPr>
        <w:t>2018</w:t>
      </w:r>
      <w:r w:rsidRPr="003A3C35">
        <w:rPr>
          <w:rFonts w:ascii="Arial" w:eastAsia="宋体" w:hAnsi="Calibri" w:cs="Arial"/>
          <w:sz w:val="30"/>
          <w:szCs w:val="30"/>
        </w:rPr>
        <w:t>年分别完成三次增资扩股，注册资本金达</w:t>
      </w:r>
      <w:r w:rsidRPr="003A3C35">
        <w:rPr>
          <w:rFonts w:ascii="Arial" w:eastAsia="宋体" w:hAnsi="Arial" w:cs="Arial"/>
          <w:sz w:val="30"/>
          <w:szCs w:val="30"/>
        </w:rPr>
        <w:t>40</w:t>
      </w:r>
      <w:r w:rsidRPr="003A3C35">
        <w:rPr>
          <w:rFonts w:ascii="Arial" w:eastAsia="宋体" w:hAnsi="Calibri" w:cs="Arial"/>
          <w:sz w:val="30"/>
          <w:szCs w:val="30"/>
        </w:rPr>
        <w:t>亿元。</w:t>
      </w:r>
    </w:p>
    <w:p w:rsidR="0093130C" w:rsidRPr="003A3C35" w:rsidRDefault="0093130C" w:rsidP="0093130C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马上消费金融旨在充分发挥股东价值，发展互联网平台作用，通过应用场景互联网化、服务互联网化、运营互联网化的模式设置，运用独特的</w:t>
      </w:r>
      <w:r w:rsidRPr="003A3C35">
        <w:rPr>
          <w:rFonts w:ascii="Arial" w:eastAsia="宋体" w:hAnsi="Arial" w:cs="Arial"/>
          <w:sz w:val="30"/>
          <w:szCs w:val="30"/>
        </w:rPr>
        <w:t>FICO</w:t>
      </w:r>
      <w:r w:rsidRPr="003A3C35">
        <w:rPr>
          <w:rFonts w:ascii="Arial" w:eastAsia="宋体" w:hAnsi="Calibri" w:cs="Arial"/>
          <w:sz w:val="30"/>
          <w:szCs w:val="30"/>
        </w:rPr>
        <w:t>规则与大数据模型双引擎的风险控制手段，以及具备良好用户体验的产品设计，使公司成为技术驱动的、领跑中国市场的消费金融公司。</w:t>
      </w:r>
    </w:p>
    <w:p w:rsidR="0093130C" w:rsidRPr="003A3C35" w:rsidRDefault="0093130C" w:rsidP="00310648">
      <w:pPr>
        <w:ind w:firstLineChars="200" w:firstLine="600"/>
        <w:rPr>
          <w:rFonts w:ascii="Arial" w:eastAsia="宋体" w:hAnsi="Arial" w:cs="Arial"/>
          <w:sz w:val="30"/>
          <w:szCs w:val="30"/>
        </w:rPr>
      </w:pPr>
      <w:r w:rsidRPr="003A3C35">
        <w:rPr>
          <w:rFonts w:ascii="Arial" w:eastAsia="宋体" w:hAnsi="Calibri" w:cs="Arial"/>
          <w:sz w:val="30"/>
          <w:szCs w:val="30"/>
        </w:rPr>
        <w:t>截止</w:t>
      </w:r>
      <w:r w:rsidRPr="003A3C35">
        <w:rPr>
          <w:rFonts w:ascii="Arial" w:eastAsia="宋体" w:hAnsi="Arial" w:cs="Arial"/>
          <w:sz w:val="30"/>
          <w:szCs w:val="30"/>
        </w:rPr>
        <w:t>2018</w:t>
      </w:r>
      <w:r w:rsidRPr="003A3C35">
        <w:rPr>
          <w:rFonts w:ascii="Arial" w:eastAsia="宋体" w:hAnsi="Calibri" w:cs="Arial"/>
          <w:sz w:val="30"/>
          <w:szCs w:val="30"/>
        </w:rPr>
        <w:t>年</w:t>
      </w:r>
      <w:r w:rsidRPr="003A3C35">
        <w:rPr>
          <w:rFonts w:ascii="Arial" w:eastAsia="宋体" w:hAnsi="Arial" w:cs="Arial"/>
          <w:sz w:val="30"/>
          <w:szCs w:val="30"/>
        </w:rPr>
        <w:t>12</w:t>
      </w:r>
      <w:r w:rsidRPr="003A3C35">
        <w:rPr>
          <w:rFonts w:ascii="Arial" w:eastAsia="宋体" w:hAnsi="Calibri" w:cs="Arial"/>
          <w:sz w:val="30"/>
          <w:szCs w:val="30"/>
        </w:rPr>
        <w:t>月末，公司总资产</w:t>
      </w:r>
      <w:r w:rsidRPr="003A3C35">
        <w:rPr>
          <w:rFonts w:ascii="Arial" w:eastAsia="宋体" w:hAnsi="Arial" w:cs="Arial"/>
          <w:sz w:val="30"/>
          <w:szCs w:val="30"/>
        </w:rPr>
        <w:t>402.62</w:t>
      </w:r>
      <w:r w:rsidRPr="003A3C35">
        <w:rPr>
          <w:rFonts w:ascii="Arial" w:eastAsia="宋体" w:hAnsi="Calibri" w:cs="Arial"/>
          <w:sz w:val="30"/>
          <w:szCs w:val="30"/>
        </w:rPr>
        <w:t>亿元，总负债</w:t>
      </w:r>
      <w:r w:rsidRPr="003A3C35">
        <w:rPr>
          <w:rFonts w:ascii="Arial" w:eastAsia="宋体" w:hAnsi="Arial" w:cs="Arial"/>
          <w:sz w:val="30"/>
          <w:szCs w:val="30"/>
        </w:rPr>
        <w:t>346.75</w:t>
      </w:r>
      <w:r w:rsidRPr="003A3C35">
        <w:rPr>
          <w:rFonts w:ascii="Arial" w:eastAsia="宋体" w:hAnsi="Calibri" w:cs="Arial"/>
          <w:sz w:val="30"/>
          <w:szCs w:val="30"/>
        </w:rPr>
        <w:t>亿元，股东权益合计</w:t>
      </w:r>
      <w:r w:rsidRPr="003A3C35">
        <w:rPr>
          <w:rFonts w:ascii="Arial" w:eastAsia="宋体" w:hAnsi="Arial" w:cs="Arial"/>
          <w:sz w:val="30"/>
          <w:szCs w:val="30"/>
        </w:rPr>
        <w:t>55.87</w:t>
      </w:r>
      <w:r w:rsidRPr="003A3C35">
        <w:rPr>
          <w:rFonts w:ascii="Arial" w:eastAsia="宋体" w:hAnsi="Calibri" w:cs="Arial"/>
          <w:sz w:val="30"/>
          <w:szCs w:val="30"/>
        </w:rPr>
        <w:t>亿元。营业收入</w:t>
      </w:r>
      <w:r w:rsidRPr="003A3C35">
        <w:rPr>
          <w:rFonts w:ascii="Arial" w:eastAsia="宋体" w:hAnsi="Arial" w:cs="Arial"/>
          <w:sz w:val="30"/>
          <w:szCs w:val="30"/>
        </w:rPr>
        <w:t>82.39</w:t>
      </w:r>
      <w:r w:rsidRPr="003A3C35">
        <w:rPr>
          <w:rFonts w:ascii="Arial" w:eastAsia="宋体" w:hAnsi="Calibri" w:cs="Arial"/>
          <w:sz w:val="30"/>
          <w:szCs w:val="30"/>
        </w:rPr>
        <w:t>亿元，净利润</w:t>
      </w:r>
      <w:r w:rsidRPr="003A3C35">
        <w:rPr>
          <w:rFonts w:ascii="Arial" w:eastAsia="宋体" w:hAnsi="Arial" w:cs="Arial"/>
          <w:sz w:val="30"/>
          <w:szCs w:val="30"/>
        </w:rPr>
        <w:t>8.01</w:t>
      </w:r>
      <w:r w:rsidRPr="003A3C35">
        <w:rPr>
          <w:rFonts w:ascii="Arial" w:eastAsia="宋体" w:hAnsi="Calibri" w:cs="Arial"/>
          <w:sz w:val="30"/>
          <w:szCs w:val="30"/>
        </w:rPr>
        <w:t>亿元，资产负债率</w:t>
      </w:r>
      <w:r w:rsidR="00310648" w:rsidRPr="003A3C35">
        <w:rPr>
          <w:rFonts w:ascii="Arial" w:eastAsia="宋体" w:hAnsi="Arial" w:cs="Arial"/>
          <w:sz w:val="30"/>
          <w:szCs w:val="30"/>
        </w:rPr>
        <w:t>78.98</w:t>
      </w:r>
      <w:r w:rsidRPr="003A3C35">
        <w:rPr>
          <w:rFonts w:ascii="Arial" w:eastAsia="宋体" w:hAnsi="Arial" w:cs="Arial"/>
          <w:sz w:val="30"/>
          <w:szCs w:val="30"/>
        </w:rPr>
        <w:t>%</w:t>
      </w:r>
      <w:r w:rsidRPr="003A3C35">
        <w:rPr>
          <w:rFonts w:ascii="Arial" w:eastAsia="宋体" w:hAnsi="Calibri" w:cs="Arial"/>
          <w:sz w:val="30"/>
          <w:szCs w:val="30"/>
        </w:rPr>
        <w:t>，净资产收益率</w:t>
      </w:r>
      <w:r w:rsidR="00310648" w:rsidRPr="003A3C35">
        <w:rPr>
          <w:rFonts w:ascii="Arial" w:eastAsia="宋体" w:hAnsi="Arial" w:cs="Arial"/>
          <w:sz w:val="30"/>
          <w:szCs w:val="30"/>
        </w:rPr>
        <w:t>9.47</w:t>
      </w:r>
      <w:r w:rsidRPr="003A3C35">
        <w:rPr>
          <w:rFonts w:ascii="Arial" w:eastAsia="宋体" w:hAnsi="Arial" w:cs="Arial"/>
          <w:sz w:val="30"/>
          <w:szCs w:val="30"/>
        </w:rPr>
        <w:t>%</w:t>
      </w:r>
      <w:r w:rsidRPr="003A3C35">
        <w:rPr>
          <w:rFonts w:ascii="Arial" w:eastAsia="宋体" w:hAnsi="Calibri" w:cs="Arial"/>
          <w:sz w:val="30"/>
          <w:szCs w:val="30"/>
        </w:rPr>
        <w:t>。</w:t>
      </w:r>
    </w:p>
    <w:p w:rsidR="00A7154F" w:rsidRPr="003A3C35" w:rsidRDefault="00A7154F" w:rsidP="00310648">
      <w:pPr>
        <w:ind w:firstLineChars="200" w:firstLine="600"/>
        <w:rPr>
          <w:rFonts w:ascii="Arial" w:eastAsia="宋体" w:hAnsi="Arial" w:cs="Arial"/>
          <w:sz w:val="30"/>
          <w:szCs w:val="30"/>
        </w:rPr>
      </w:pPr>
    </w:p>
    <w:p w:rsidR="00A7154F" w:rsidRPr="003A3C35" w:rsidRDefault="00A7154F" w:rsidP="003F378E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10" w:name="_Toc5785561"/>
      <w:bookmarkStart w:id="11" w:name="_Toc5787236"/>
      <w:bookmarkStart w:id="12" w:name="_Toc6405657"/>
      <w:r w:rsidRPr="003A3C35">
        <w:rPr>
          <w:rFonts w:ascii="Arial" w:hAnsi="Arial" w:cs="Arial"/>
        </w:rPr>
        <w:t>2019</w:t>
      </w:r>
      <w:r w:rsidRPr="003A3C35">
        <w:rPr>
          <w:rFonts w:ascii="Arial" w:cs="Arial"/>
        </w:rPr>
        <w:t>年第</w:t>
      </w:r>
      <w:r w:rsidRPr="003A3C35">
        <w:rPr>
          <w:rFonts w:ascii="Arial" w:hAnsi="Arial" w:cs="Arial"/>
        </w:rPr>
        <w:t>1</w:t>
      </w:r>
      <w:r w:rsidRPr="003A3C35">
        <w:rPr>
          <w:rFonts w:ascii="Arial" w:cs="Arial"/>
        </w:rPr>
        <w:t>季度财务会计报告</w:t>
      </w:r>
      <w:bookmarkEnd w:id="10"/>
      <w:bookmarkEnd w:id="11"/>
      <w:bookmarkEnd w:id="12"/>
    </w:p>
    <w:p w:rsidR="00A7154F" w:rsidRPr="003A3C35" w:rsidRDefault="00A7154F" w:rsidP="00A7154F">
      <w:pPr>
        <w:pStyle w:val="20"/>
        <w:rPr>
          <w:rFonts w:ascii="Arial" w:hAnsi="Arial" w:cs="Arial"/>
        </w:rPr>
      </w:pPr>
      <w:r w:rsidRPr="003A3C35">
        <w:rPr>
          <w:rFonts w:ascii="Arial" w:hAnsi="Arial" w:cs="Arial"/>
        </w:rPr>
        <w:tab/>
      </w:r>
      <w:bookmarkStart w:id="13" w:name="_Toc5783602"/>
      <w:bookmarkStart w:id="14" w:name="_Toc5785562"/>
      <w:bookmarkStart w:id="15" w:name="_Toc5787237"/>
      <w:bookmarkStart w:id="16" w:name="_Toc6405658"/>
      <w:r w:rsidRPr="003A3C35">
        <w:rPr>
          <w:rFonts w:ascii="Arial" w:hAnsi="Arial" w:cs="Arial"/>
        </w:rPr>
        <w:t xml:space="preserve">1. </w:t>
      </w:r>
      <w:r w:rsidRPr="003A3C35">
        <w:rPr>
          <w:rFonts w:ascii="Arial" w:cs="Arial"/>
        </w:rPr>
        <w:t>资产负债表</w:t>
      </w:r>
      <w:bookmarkEnd w:id="13"/>
      <w:bookmarkEnd w:id="14"/>
      <w:bookmarkEnd w:id="15"/>
      <w:bookmarkEnd w:id="16"/>
    </w:p>
    <w:p w:rsidR="00A7154F" w:rsidRPr="003A3C35" w:rsidRDefault="00A7154F" w:rsidP="00A7154F">
      <w:pPr>
        <w:widowControl/>
        <w:rPr>
          <w:rFonts w:ascii="Arial" w:eastAsia="宋体" w:hAnsi="Arial" w:cs="Arial"/>
          <w:sz w:val="22"/>
        </w:rPr>
      </w:pPr>
      <w:r w:rsidRPr="003A3C35">
        <w:rPr>
          <w:rFonts w:ascii="Arial" w:hAnsi="Arial" w:cs="Arial"/>
        </w:rPr>
        <w:tab/>
      </w:r>
      <w:r w:rsidRPr="003A3C35">
        <w:rPr>
          <w:rFonts w:ascii="Arial" w:hAnsi="Arial" w:cs="Arial"/>
        </w:rPr>
        <w:tab/>
      </w:r>
      <w:r w:rsidRPr="003A3C35">
        <w:rPr>
          <w:rStyle w:val="3Char0"/>
          <w:rFonts w:ascii="Arial" w:cs="Arial"/>
        </w:rPr>
        <w:t>会计主</w:t>
      </w:r>
      <w:r w:rsidRPr="003A3C35">
        <w:rPr>
          <w:rFonts w:ascii="Arial" w:eastAsia="宋体" w:hAnsi="宋体" w:cs="Arial"/>
          <w:sz w:val="22"/>
        </w:rPr>
        <w:t>体：</w:t>
      </w:r>
      <w:r w:rsidRPr="003A3C35">
        <w:rPr>
          <w:rStyle w:val="3Char0"/>
          <w:rFonts w:ascii="Arial" w:cs="Arial"/>
        </w:rPr>
        <w:t>兴业银行</w:t>
      </w:r>
      <w:r w:rsidRPr="003A3C35">
        <w:rPr>
          <w:rStyle w:val="3Char0"/>
          <w:rFonts w:ascii="Arial" w:hAnsi="Arial" w:cs="Arial"/>
        </w:rPr>
        <w:t>“</w:t>
      </w:r>
      <w:r w:rsidRPr="003A3C35">
        <w:rPr>
          <w:rStyle w:val="3Char0"/>
          <w:rFonts w:ascii="Arial" w:cs="Arial"/>
        </w:rPr>
        <w:t>万利宝</w:t>
      </w:r>
      <w:r w:rsidRPr="003A3C35">
        <w:rPr>
          <w:rStyle w:val="3Char0"/>
          <w:rFonts w:ascii="Arial" w:hAnsi="Arial" w:cs="Arial"/>
        </w:rPr>
        <w:t>-</w:t>
      </w:r>
      <w:r w:rsidRPr="003A3C35">
        <w:rPr>
          <w:rStyle w:val="3Char0"/>
          <w:rFonts w:ascii="Arial" w:cs="Arial"/>
        </w:rPr>
        <w:t>聚利</w:t>
      </w:r>
      <w:r w:rsidRPr="003A3C35">
        <w:rPr>
          <w:rStyle w:val="3Char0"/>
          <w:rFonts w:ascii="Arial" w:hAnsi="Arial" w:cs="Arial"/>
        </w:rPr>
        <w:t>”2018</w:t>
      </w:r>
      <w:r w:rsidRPr="003A3C35">
        <w:rPr>
          <w:rStyle w:val="3Char0"/>
          <w:rFonts w:ascii="Arial" w:cs="Arial"/>
        </w:rPr>
        <w:t>年第</w:t>
      </w:r>
      <w:r w:rsidRPr="003A3C35">
        <w:rPr>
          <w:rStyle w:val="3Char0"/>
          <w:rFonts w:ascii="Arial" w:hAnsi="Arial" w:cs="Arial"/>
        </w:rPr>
        <w:t>7</w:t>
      </w:r>
      <w:r w:rsidRPr="003A3C35">
        <w:rPr>
          <w:rStyle w:val="3Char0"/>
          <w:rFonts w:ascii="Arial" w:cs="Arial"/>
        </w:rPr>
        <w:t>期封闭式净值型理财产品（</w:t>
      </w:r>
      <w:r w:rsidRPr="003A3C35">
        <w:rPr>
          <w:rStyle w:val="3Char0"/>
          <w:rFonts w:ascii="Arial" w:hAnsi="Arial" w:cs="Arial"/>
        </w:rPr>
        <w:t>5M</w:t>
      </w:r>
      <w:r w:rsidRPr="003A3C35">
        <w:rPr>
          <w:rStyle w:val="3Char0"/>
          <w:rFonts w:ascii="Arial" w:cs="Arial"/>
        </w:rPr>
        <w:t>）</w:t>
      </w:r>
    </w:p>
    <w:p w:rsidR="00A7154F" w:rsidRPr="003A3C35" w:rsidRDefault="00A7154F" w:rsidP="00A7154F">
      <w:pPr>
        <w:pStyle w:val="30"/>
        <w:ind w:left="420"/>
        <w:rPr>
          <w:rFonts w:ascii="Arial" w:hAnsi="Arial" w:cs="Arial"/>
        </w:rPr>
      </w:pPr>
      <w:r w:rsidRPr="003A3C35">
        <w:rPr>
          <w:rFonts w:ascii="Arial" w:cs="Arial"/>
        </w:rPr>
        <w:t>报告截止日：</w:t>
      </w:r>
      <w:r w:rsidRPr="003A3C35">
        <w:rPr>
          <w:rFonts w:ascii="Arial" w:hAnsi="Arial" w:cs="Arial"/>
        </w:rPr>
        <w:t>2019</w:t>
      </w:r>
      <w:r w:rsidRPr="003A3C35">
        <w:rPr>
          <w:rFonts w:ascii="Arial" w:cs="Arial"/>
        </w:rPr>
        <w:t>年</w:t>
      </w:r>
      <w:r w:rsidRPr="003A3C35">
        <w:rPr>
          <w:rFonts w:ascii="Arial" w:hAnsi="Arial" w:cs="Arial"/>
        </w:rPr>
        <w:t>3</w:t>
      </w:r>
      <w:r w:rsidRPr="003A3C35">
        <w:rPr>
          <w:rFonts w:ascii="Arial" w:cs="Arial"/>
        </w:rPr>
        <w:t>月</w:t>
      </w:r>
      <w:r w:rsidRPr="003A3C35">
        <w:rPr>
          <w:rFonts w:ascii="Arial" w:hAnsi="Arial" w:cs="Arial"/>
        </w:rPr>
        <w:t>31</w:t>
      </w:r>
      <w:r w:rsidRPr="003A3C35">
        <w:rPr>
          <w:rFonts w:ascii="Arial" w:cs="Arial"/>
        </w:rPr>
        <w:t>日</w:t>
      </w:r>
    </w:p>
    <w:p w:rsidR="00A7154F" w:rsidRPr="003A3C35" w:rsidRDefault="00A7154F" w:rsidP="00A7154F">
      <w:pPr>
        <w:pStyle w:val="30"/>
        <w:ind w:left="420"/>
        <w:rPr>
          <w:rFonts w:ascii="Arial" w:hAnsi="Arial" w:cs="Arial"/>
        </w:rPr>
      </w:pPr>
    </w:p>
    <w:p w:rsidR="00A7154F" w:rsidRPr="003A3C35" w:rsidRDefault="00A7154F" w:rsidP="00A7154F">
      <w:pPr>
        <w:ind w:firstLineChars="200" w:firstLine="440"/>
        <w:rPr>
          <w:rFonts w:ascii="Arial" w:hAnsi="Arial" w:cs="Arial"/>
          <w:sz w:val="22"/>
        </w:rPr>
      </w:pPr>
      <w:r w:rsidRPr="003A3C35">
        <w:rPr>
          <w:rFonts w:ascii="Arial" w:cs="Arial"/>
          <w:sz w:val="22"/>
        </w:rPr>
        <w:t>编制单位：兴业银行</w:t>
      </w:r>
      <w:r w:rsidRPr="003A3C35">
        <w:rPr>
          <w:rFonts w:ascii="Arial" w:hAnsi="Arial" w:cs="Arial"/>
          <w:sz w:val="22"/>
        </w:rPr>
        <w:t xml:space="preserve">                                           </w:t>
      </w:r>
      <w:r w:rsidRPr="003A3C35">
        <w:rPr>
          <w:rFonts w:ascii="Arial" w:cs="Arial"/>
          <w:sz w:val="22"/>
        </w:rPr>
        <w:t>单位：元</w:t>
      </w:r>
    </w:p>
    <w:tbl>
      <w:tblPr>
        <w:tblW w:w="8820" w:type="dxa"/>
        <w:jc w:val="center"/>
        <w:tblInd w:w="93" w:type="dxa"/>
        <w:tblLook w:val="04A0"/>
      </w:tblPr>
      <w:tblGrid>
        <w:gridCol w:w="953"/>
        <w:gridCol w:w="1607"/>
        <w:gridCol w:w="1607"/>
        <w:gridCol w:w="1439"/>
        <w:gridCol w:w="1607"/>
        <w:gridCol w:w="1607"/>
      </w:tblGrid>
      <w:tr w:rsidR="000B1C09" w:rsidRPr="000B1C09" w:rsidTr="000B1C09">
        <w:trPr>
          <w:trHeight w:val="28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bookmarkStart w:id="17" w:name="_Toc5787238"/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0B1C09" w:rsidRPr="000B1C09" w:rsidTr="000B1C09">
        <w:trPr>
          <w:trHeight w:val="51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9K118007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proofErr w:type="gramEnd"/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期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比较基准</w:t>
            </w: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4.60%)</w:t>
            </w:r>
          </w:p>
        </w:tc>
      </w:tr>
      <w:tr w:rsidR="000B1C09" w:rsidRPr="000B1C09" w:rsidTr="000B1C09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lastRenderedPageBreak/>
              <w:t>币种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1C09" w:rsidRPr="000B1C09" w:rsidTr="000B1C09">
        <w:trPr>
          <w:trHeight w:val="6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0B1C09" w:rsidRPr="000B1C09" w:rsidTr="000B1C09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317,933.61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316,982.12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存出保证金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300,000,000.00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300,000,000.00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388,758.58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149,112.88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8,025.78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579.18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483,200.14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185,337.04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8,168,449.93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4,168,450.12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879,984.50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335,029.10 </w:t>
            </w:r>
          </w:p>
        </w:tc>
      </w:tr>
      <w:tr w:rsidR="000B1C09" w:rsidRPr="000B1C09" w:rsidTr="000B1C09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302,000,000.00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302,000,000.00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5,606,399.04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2,150,403.14 </w:t>
            </w:r>
          </w:p>
        </w:tc>
      </w:tr>
      <w:tr w:rsidR="000B1C09" w:rsidRPr="000B1C09" w:rsidTr="000B1C09">
        <w:trPr>
          <w:trHeight w:val="2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8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307,606,399.04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304,150,403.14 </w:t>
            </w:r>
          </w:p>
        </w:tc>
      </w:tr>
      <w:tr w:rsidR="000B1C09" w:rsidRPr="000B1C09" w:rsidTr="000B1C09">
        <w:trPr>
          <w:trHeight w:val="55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lastRenderedPageBreak/>
              <w:t>资产总计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308,486,383.54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304,485,432.24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0B1C09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308,486,383.54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304,485,432.24 </w:t>
            </w:r>
          </w:p>
        </w:tc>
      </w:tr>
    </w:tbl>
    <w:p w:rsidR="00224443" w:rsidRPr="003A3C35" w:rsidRDefault="00224443" w:rsidP="00224443">
      <w:pPr>
        <w:pStyle w:val="20"/>
        <w:ind w:firstLine="420"/>
        <w:rPr>
          <w:rFonts w:ascii="Arial" w:hAnsi="Arial" w:cs="Arial"/>
        </w:rPr>
      </w:pPr>
    </w:p>
    <w:p w:rsidR="00224443" w:rsidRPr="003A3C35" w:rsidRDefault="00224443" w:rsidP="00224443">
      <w:pPr>
        <w:pStyle w:val="20"/>
        <w:ind w:firstLine="420"/>
        <w:rPr>
          <w:rFonts w:ascii="Arial" w:hAnsi="Arial" w:cs="Arial"/>
        </w:rPr>
      </w:pPr>
      <w:bookmarkStart w:id="18" w:name="_Toc6405659"/>
      <w:r w:rsidRPr="003A3C35">
        <w:rPr>
          <w:rFonts w:ascii="Arial" w:hAnsi="Arial" w:cs="Arial"/>
        </w:rPr>
        <w:t>2.</w:t>
      </w:r>
      <w:r w:rsidR="00246096" w:rsidRPr="003A3C35">
        <w:rPr>
          <w:rFonts w:ascii="Arial" w:hAnsi="Arial" w:cs="Arial"/>
        </w:rPr>
        <w:t xml:space="preserve"> </w:t>
      </w:r>
      <w:r w:rsidRPr="003A3C35">
        <w:rPr>
          <w:rFonts w:ascii="Arial" w:cs="Arial"/>
        </w:rPr>
        <w:t>利润表</w:t>
      </w:r>
      <w:bookmarkEnd w:id="17"/>
      <w:bookmarkEnd w:id="18"/>
    </w:p>
    <w:p w:rsidR="00224443" w:rsidRPr="003A3C35" w:rsidRDefault="00224443" w:rsidP="00224443">
      <w:pPr>
        <w:pStyle w:val="30"/>
        <w:ind w:left="840" w:firstLine="0"/>
        <w:rPr>
          <w:rFonts w:ascii="Arial" w:hAnsi="Arial" w:cs="Arial"/>
        </w:rPr>
      </w:pPr>
      <w:r w:rsidRPr="003A3C35">
        <w:rPr>
          <w:rStyle w:val="3Char0"/>
          <w:rFonts w:ascii="Arial" w:cs="Arial"/>
        </w:rPr>
        <w:t>会计主</w:t>
      </w:r>
      <w:r w:rsidRPr="003A3C35">
        <w:rPr>
          <w:rFonts w:ascii="Arial" w:cs="Arial"/>
        </w:rPr>
        <w:t>体：</w:t>
      </w:r>
      <w:r w:rsidRPr="003A3C35">
        <w:rPr>
          <w:rStyle w:val="3Char0"/>
          <w:rFonts w:ascii="Arial" w:cs="Arial"/>
        </w:rPr>
        <w:t>兴业银行</w:t>
      </w:r>
      <w:r w:rsidRPr="003A3C35">
        <w:rPr>
          <w:rStyle w:val="3Char0"/>
          <w:rFonts w:ascii="Arial" w:hAnsi="Arial" w:cs="Arial"/>
        </w:rPr>
        <w:t>“</w:t>
      </w:r>
      <w:r w:rsidRPr="003A3C35">
        <w:rPr>
          <w:rStyle w:val="3Char0"/>
          <w:rFonts w:ascii="Arial" w:cs="Arial"/>
        </w:rPr>
        <w:t>万利宝</w:t>
      </w:r>
      <w:r w:rsidRPr="003A3C35">
        <w:rPr>
          <w:rStyle w:val="3Char0"/>
          <w:rFonts w:ascii="Arial" w:hAnsi="Arial" w:cs="Arial"/>
        </w:rPr>
        <w:t>-</w:t>
      </w:r>
      <w:r w:rsidRPr="003A3C35">
        <w:rPr>
          <w:rStyle w:val="3Char0"/>
          <w:rFonts w:ascii="Arial" w:cs="Arial"/>
        </w:rPr>
        <w:t>聚利</w:t>
      </w:r>
      <w:r w:rsidRPr="003A3C35">
        <w:rPr>
          <w:rStyle w:val="3Char0"/>
          <w:rFonts w:ascii="Arial" w:hAnsi="Arial" w:cs="Arial"/>
        </w:rPr>
        <w:t>”2018</w:t>
      </w:r>
      <w:r w:rsidRPr="003A3C35">
        <w:rPr>
          <w:rStyle w:val="3Char0"/>
          <w:rFonts w:ascii="Arial" w:cs="Arial"/>
        </w:rPr>
        <w:t>年第</w:t>
      </w:r>
      <w:r w:rsidRPr="003A3C35">
        <w:rPr>
          <w:rStyle w:val="3Char0"/>
          <w:rFonts w:ascii="Arial" w:hAnsi="Arial" w:cs="Arial"/>
        </w:rPr>
        <w:t>7</w:t>
      </w:r>
      <w:r w:rsidRPr="003A3C35">
        <w:rPr>
          <w:rStyle w:val="3Char0"/>
          <w:rFonts w:ascii="Arial" w:cs="Arial"/>
        </w:rPr>
        <w:t>期封闭式净值型理财产品（</w:t>
      </w:r>
      <w:r w:rsidRPr="003A3C35">
        <w:rPr>
          <w:rStyle w:val="3Char0"/>
          <w:rFonts w:ascii="Arial" w:hAnsi="Arial" w:cs="Arial"/>
        </w:rPr>
        <w:t>5M</w:t>
      </w:r>
      <w:r w:rsidRPr="003A3C35">
        <w:rPr>
          <w:rStyle w:val="3Char0"/>
          <w:rFonts w:ascii="Arial" w:cs="Arial"/>
        </w:rPr>
        <w:t>）</w:t>
      </w:r>
      <w:r w:rsidR="00671016" w:rsidRPr="003A3C35">
        <w:rPr>
          <w:rFonts w:ascii="Arial" w:cs="Arial"/>
        </w:rPr>
        <w:t>本报告期</w:t>
      </w:r>
      <w:r w:rsidRPr="003A3C35">
        <w:rPr>
          <w:rFonts w:ascii="Arial" w:cs="Arial"/>
        </w:rPr>
        <w:t>：</w:t>
      </w:r>
      <w:r w:rsidRPr="003A3C35">
        <w:rPr>
          <w:rFonts w:ascii="Arial" w:hAnsi="Arial" w:cs="Arial"/>
        </w:rPr>
        <w:t>2019</w:t>
      </w:r>
      <w:r w:rsidRPr="003A3C35">
        <w:rPr>
          <w:rFonts w:ascii="Arial" w:cs="Arial"/>
        </w:rPr>
        <w:t>年</w:t>
      </w:r>
      <w:r w:rsidRPr="003A3C35">
        <w:rPr>
          <w:rFonts w:ascii="Arial" w:hAnsi="Arial" w:cs="Arial"/>
        </w:rPr>
        <w:t>1</w:t>
      </w:r>
      <w:r w:rsidRPr="003A3C35">
        <w:rPr>
          <w:rFonts w:ascii="Arial" w:cs="Arial"/>
        </w:rPr>
        <w:t>月</w:t>
      </w:r>
      <w:r w:rsidRPr="003A3C35">
        <w:rPr>
          <w:rFonts w:ascii="Arial" w:hAnsi="Arial" w:cs="Arial"/>
        </w:rPr>
        <w:t>1</w:t>
      </w:r>
      <w:r w:rsidRPr="003A3C35">
        <w:rPr>
          <w:rFonts w:ascii="Arial" w:cs="Arial"/>
        </w:rPr>
        <w:t>日至</w:t>
      </w:r>
      <w:r w:rsidRPr="003A3C35">
        <w:rPr>
          <w:rFonts w:ascii="Arial" w:hAnsi="Arial" w:cs="Arial"/>
        </w:rPr>
        <w:t>2019</w:t>
      </w:r>
      <w:r w:rsidRPr="003A3C35">
        <w:rPr>
          <w:rFonts w:ascii="Arial" w:cs="Arial"/>
        </w:rPr>
        <w:t>年</w:t>
      </w:r>
      <w:r w:rsidRPr="003A3C35">
        <w:rPr>
          <w:rFonts w:ascii="Arial" w:hAnsi="Arial" w:cs="Arial"/>
        </w:rPr>
        <w:t>3</w:t>
      </w:r>
      <w:r w:rsidRPr="003A3C35">
        <w:rPr>
          <w:rFonts w:ascii="Arial" w:cs="Arial"/>
        </w:rPr>
        <w:t>月</w:t>
      </w:r>
      <w:r w:rsidRPr="003A3C35">
        <w:rPr>
          <w:rFonts w:ascii="Arial" w:hAnsi="Arial" w:cs="Arial"/>
        </w:rPr>
        <w:t>31</w:t>
      </w:r>
      <w:r w:rsidRPr="003A3C35">
        <w:rPr>
          <w:rFonts w:ascii="Arial" w:cs="Arial"/>
        </w:rPr>
        <w:t>日</w:t>
      </w:r>
    </w:p>
    <w:p w:rsidR="00224443" w:rsidRPr="003A3C35" w:rsidRDefault="00224443" w:rsidP="00224443">
      <w:pPr>
        <w:pStyle w:val="30"/>
        <w:rPr>
          <w:rFonts w:ascii="Arial" w:hAnsi="Arial" w:cs="Arial"/>
        </w:rPr>
      </w:pPr>
    </w:p>
    <w:p w:rsidR="00A7154F" w:rsidRPr="003A3C35" w:rsidRDefault="00224443" w:rsidP="00224443">
      <w:pPr>
        <w:rPr>
          <w:rFonts w:ascii="Arial" w:hAnsi="Arial" w:cs="Arial"/>
          <w:sz w:val="22"/>
        </w:rPr>
      </w:pPr>
      <w:r w:rsidRPr="003A3C35">
        <w:rPr>
          <w:rFonts w:ascii="Arial" w:cs="Arial"/>
          <w:sz w:val="22"/>
        </w:rPr>
        <w:t>编制单位：兴业银行</w:t>
      </w:r>
      <w:r w:rsidRPr="003A3C35">
        <w:rPr>
          <w:rFonts w:ascii="Arial" w:hAnsi="Arial" w:cs="Arial"/>
          <w:sz w:val="22"/>
        </w:rPr>
        <w:t xml:space="preserve">                                                  </w:t>
      </w:r>
      <w:r w:rsidRPr="003A3C35">
        <w:rPr>
          <w:rFonts w:ascii="Arial" w:cs="Arial"/>
          <w:sz w:val="22"/>
        </w:rPr>
        <w:t>单位：元</w:t>
      </w:r>
    </w:p>
    <w:tbl>
      <w:tblPr>
        <w:tblW w:w="6580" w:type="dxa"/>
        <w:jc w:val="center"/>
        <w:tblInd w:w="93" w:type="dxa"/>
        <w:tblLook w:val="04A0"/>
      </w:tblPr>
      <w:tblGrid>
        <w:gridCol w:w="4120"/>
        <w:gridCol w:w="2460"/>
      </w:tblGrid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bookmarkStart w:id="19" w:name="_Toc5787239"/>
            <w:r w:rsidRPr="000B1C09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0B1C0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B1C09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0B1C09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4,000,951.30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0B1C09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4,000,951.30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951.30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4,000,000.00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2.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0B1C09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宋体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4.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544,955.40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239,645.70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7,446.60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297,863.10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0B1C09">
              <w:rPr>
                <w:rFonts w:ascii="Arial" w:eastAsia="宋体" w:hAnsi="Arial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0B1C09" w:rsidRPr="000B1C09" w:rsidTr="000B1C09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0B1C09" w:rsidRPr="000B1C09" w:rsidRDefault="000B1C09" w:rsidP="000B1C0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0B1C09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C09" w:rsidRPr="000B1C09" w:rsidRDefault="000B1C09" w:rsidP="000B1C09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1C0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3,455,995.90 </w:t>
            </w:r>
          </w:p>
        </w:tc>
      </w:tr>
    </w:tbl>
    <w:p w:rsidR="00224443" w:rsidRPr="003A3C35" w:rsidRDefault="00224443" w:rsidP="00224443">
      <w:pPr>
        <w:pStyle w:val="20"/>
        <w:ind w:firstLine="420"/>
        <w:rPr>
          <w:rFonts w:ascii="Arial" w:hAnsi="Arial" w:cs="Arial"/>
        </w:rPr>
      </w:pPr>
    </w:p>
    <w:p w:rsidR="00224443" w:rsidRPr="003A3C35" w:rsidRDefault="00224443" w:rsidP="00224443">
      <w:pPr>
        <w:pStyle w:val="20"/>
        <w:ind w:firstLine="420"/>
        <w:rPr>
          <w:rFonts w:ascii="Arial" w:hAnsi="Arial" w:cs="Arial"/>
        </w:rPr>
      </w:pPr>
      <w:bookmarkStart w:id="20" w:name="_Toc6405660"/>
      <w:r w:rsidRPr="003A3C35">
        <w:rPr>
          <w:rFonts w:ascii="Arial" w:hAnsi="Arial" w:cs="Arial"/>
        </w:rPr>
        <w:t xml:space="preserve">3. </w:t>
      </w:r>
      <w:r w:rsidRPr="003A3C35">
        <w:rPr>
          <w:rFonts w:ascii="Arial" w:hAnsi="Arial" w:cs="Arial"/>
        </w:rPr>
        <w:t>所有者权益（产品净值）变动表</w:t>
      </w:r>
      <w:bookmarkEnd w:id="19"/>
      <w:bookmarkEnd w:id="20"/>
    </w:p>
    <w:p w:rsidR="00224443" w:rsidRPr="003A3C35" w:rsidRDefault="00224443" w:rsidP="00224443">
      <w:pPr>
        <w:pStyle w:val="30"/>
        <w:ind w:left="420"/>
        <w:rPr>
          <w:rFonts w:ascii="Arial" w:hAnsi="Arial" w:cs="Arial"/>
          <w:kern w:val="0"/>
        </w:rPr>
      </w:pPr>
      <w:r w:rsidRPr="003A3C35">
        <w:rPr>
          <w:rFonts w:ascii="Arial" w:hAnsi="Arial" w:cs="Arial"/>
        </w:rPr>
        <w:t>会计主体：</w:t>
      </w:r>
      <w:r w:rsidRPr="003A3C35">
        <w:rPr>
          <w:rStyle w:val="3Char0"/>
          <w:rFonts w:ascii="Arial" w:hAnsi="Arial" w:cs="Arial"/>
        </w:rPr>
        <w:t>兴业银行</w:t>
      </w:r>
      <w:r w:rsidRPr="003A3C35">
        <w:rPr>
          <w:rStyle w:val="3Char0"/>
          <w:rFonts w:ascii="Arial" w:hAnsi="Arial" w:cs="Arial"/>
        </w:rPr>
        <w:t>“</w:t>
      </w:r>
      <w:r w:rsidRPr="003A3C35">
        <w:rPr>
          <w:rStyle w:val="3Char0"/>
          <w:rFonts w:ascii="Arial" w:hAnsi="Arial" w:cs="Arial"/>
        </w:rPr>
        <w:t>万利宝</w:t>
      </w:r>
      <w:r w:rsidRPr="003A3C35">
        <w:rPr>
          <w:rStyle w:val="3Char0"/>
          <w:rFonts w:ascii="Arial" w:hAnsi="Arial" w:cs="Arial"/>
        </w:rPr>
        <w:t>-</w:t>
      </w:r>
      <w:r w:rsidRPr="003A3C35">
        <w:rPr>
          <w:rStyle w:val="3Char0"/>
          <w:rFonts w:ascii="Arial" w:hAnsi="Arial" w:cs="Arial"/>
        </w:rPr>
        <w:t>聚利</w:t>
      </w:r>
      <w:r w:rsidRPr="003A3C35">
        <w:rPr>
          <w:rStyle w:val="3Char0"/>
          <w:rFonts w:ascii="Arial" w:hAnsi="Arial" w:cs="Arial"/>
        </w:rPr>
        <w:t>”2018</w:t>
      </w:r>
      <w:r w:rsidRPr="003A3C35">
        <w:rPr>
          <w:rStyle w:val="3Char0"/>
          <w:rFonts w:ascii="Arial" w:hAnsi="Arial" w:cs="Arial"/>
        </w:rPr>
        <w:t>年第</w:t>
      </w:r>
      <w:r w:rsidRPr="003A3C35">
        <w:rPr>
          <w:rStyle w:val="3Char0"/>
          <w:rFonts w:ascii="Arial" w:hAnsi="Arial" w:cs="Arial"/>
        </w:rPr>
        <w:t>7</w:t>
      </w:r>
      <w:r w:rsidRPr="003A3C35">
        <w:rPr>
          <w:rStyle w:val="3Char0"/>
          <w:rFonts w:ascii="Arial" w:hAnsi="Arial" w:cs="Arial"/>
        </w:rPr>
        <w:t>期封闭式净值型理财产品（</w:t>
      </w:r>
      <w:r w:rsidRPr="003A3C35">
        <w:rPr>
          <w:rStyle w:val="3Char0"/>
          <w:rFonts w:ascii="Arial" w:hAnsi="Arial" w:cs="Arial"/>
        </w:rPr>
        <w:t>5M</w:t>
      </w:r>
      <w:r w:rsidRPr="003A3C35">
        <w:rPr>
          <w:rStyle w:val="3Char0"/>
          <w:rFonts w:ascii="Arial" w:hAnsi="Arial" w:cs="Arial"/>
        </w:rPr>
        <w:t>）</w:t>
      </w:r>
    </w:p>
    <w:p w:rsidR="00224443" w:rsidRPr="003A3C35" w:rsidRDefault="00671016" w:rsidP="00224443">
      <w:pPr>
        <w:pStyle w:val="30"/>
        <w:ind w:left="420"/>
        <w:rPr>
          <w:rFonts w:ascii="Arial" w:hAnsi="Arial" w:cs="Arial"/>
        </w:rPr>
      </w:pPr>
      <w:r w:rsidRPr="003A3C35">
        <w:rPr>
          <w:rFonts w:ascii="Arial" w:hAnsi="Arial" w:cs="Arial"/>
        </w:rPr>
        <w:t>本报告期：</w:t>
      </w:r>
      <w:r w:rsidRPr="003A3C35">
        <w:rPr>
          <w:rFonts w:ascii="Arial" w:hAnsi="Arial" w:cs="Arial"/>
        </w:rPr>
        <w:t>2019</w:t>
      </w:r>
      <w:r w:rsidRPr="003A3C35">
        <w:rPr>
          <w:rFonts w:ascii="Arial" w:hAnsi="Arial" w:cs="Arial"/>
        </w:rPr>
        <w:t>年</w:t>
      </w:r>
      <w:r w:rsidRPr="003A3C35">
        <w:rPr>
          <w:rFonts w:ascii="Arial" w:hAnsi="Arial" w:cs="Arial"/>
        </w:rPr>
        <w:t>1</w:t>
      </w:r>
      <w:r w:rsidRPr="003A3C35">
        <w:rPr>
          <w:rFonts w:ascii="Arial" w:hAnsi="Arial" w:cs="Arial"/>
        </w:rPr>
        <w:t>月</w:t>
      </w:r>
      <w:r w:rsidRPr="003A3C35">
        <w:rPr>
          <w:rFonts w:ascii="Arial" w:hAnsi="Arial" w:cs="Arial"/>
        </w:rPr>
        <w:t>1</w:t>
      </w:r>
      <w:r w:rsidRPr="003A3C35">
        <w:rPr>
          <w:rFonts w:ascii="Arial" w:hAnsi="Arial" w:cs="Arial"/>
        </w:rPr>
        <w:t>日至</w:t>
      </w:r>
      <w:r w:rsidRPr="003A3C35">
        <w:rPr>
          <w:rFonts w:ascii="Arial" w:hAnsi="Arial" w:cs="Arial"/>
        </w:rPr>
        <w:t>2019</w:t>
      </w:r>
      <w:r w:rsidRPr="003A3C35">
        <w:rPr>
          <w:rFonts w:ascii="Arial" w:hAnsi="Arial" w:cs="Arial"/>
        </w:rPr>
        <w:t>年</w:t>
      </w:r>
      <w:r w:rsidRPr="003A3C35">
        <w:rPr>
          <w:rFonts w:ascii="Arial" w:hAnsi="Arial" w:cs="Arial"/>
        </w:rPr>
        <w:t>3</w:t>
      </w:r>
      <w:r w:rsidRPr="003A3C35">
        <w:rPr>
          <w:rFonts w:ascii="Arial" w:hAnsi="Arial" w:cs="Arial"/>
        </w:rPr>
        <w:t>月</w:t>
      </w:r>
      <w:r w:rsidRPr="003A3C35">
        <w:rPr>
          <w:rFonts w:ascii="Arial" w:hAnsi="Arial" w:cs="Arial"/>
        </w:rPr>
        <w:t>31</w:t>
      </w:r>
      <w:r w:rsidRPr="003A3C35">
        <w:rPr>
          <w:rFonts w:ascii="Arial" w:hAnsi="Arial" w:cs="Arial"/>
        </w:rPr>
        <w:t>日</w:t>
      </w:r>
    </w:p>
    <w:p w:rsidR="00224443" w:rsidRPr="003A3C35" w:rsidRDefault="00224443" w:rsidP="00224443">
      <w:pPr>
        <w:rPr>
          <w:rFonts w:ascii="Arial" w:hAnsi="Arial" w:cs="Arial"/>
          <w:sz w:val="22"/>
        </w:rPr>
      </w:pPr>
      <w:r w:rsidRPr="003A3C35">
        <w:rPr>
          <w:rFonts w:ascii="Arial" w:hAnsi="Arial" w:cs="Arial"/>
          <w:sz w:val="22"/>
        </w:rPr>
        <w:t>编制单位：兴业银行</w:t>
      </w:r>
      <w:r w:rsidRPr="003A3C35">
        <w:rPr>
          <w:rFonts w:ascii="Arial" w:hAnsi="Arial" w:cs="Arial"/>
          <w:sz w:val="22"/>
        </w:rPr>
        <w:t xml:space="preserve">                                           </w:t>
      </w:r>
      <w:r w:rsidRPr="003A3C35">
        <w:rPr>
          <w:rFonts w:ascii="Arial" w:hAnsi="Arial" w:cs="Arial"/>
          <w:sz w:val="22"/>
        </w:rPr>
        <w:t>单位：元</w:t>
      </w:r>
    </w:p>
    <w:tbl>
      <w:tblPr>
        <w:tblW w:w="0" w:type="auto"/>
        <w:jc w:val="center"/>
        <w:tblInd w:w="93" w:type="dxa"/>
        <w:tblLook w:val="04A0"/>
      </w:tblPr>
      <w:tblGrid>
        <w:gridCol w:w="3826"/>
        <w:gridCol w:w="1607"/>
        <w:gridCol w:w="1384"/>
        <w:gridCol w:w="1612"/>
      </w:tblGrid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3A3C35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2,150,403.14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304,150,403.14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3,455,995.90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3,455,995.90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5,606,399.04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307,606,399.04 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3A3C35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2,150,403.14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2,150,403.14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三、本期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其中：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</w:tr>
      <w:tr w:rsidR="007A2491" w:rsidRPr="003A3C35" w:rsidTr="007A2491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四、本期向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A2491" w:rsidRPr="003A3C35" w:rsidTr="007A2491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7A2491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2,150,403.14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491" w:rsidRPr="003A3C35" w:rsidRDefault="007A2491" w:rsidP="00671016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304,150,403.14 </w:t>
            </w:r>
          </w:p>
        </w:tc>
      </w:tr>
    </w:tbl>
    <w:p w:rsidR="007A2491" w:rsidRPr="003A3C35" w:rsidRDefault="007A2491" w:rsidP="00224443">
      <w:pPr>
        <w:rPr>
          <w:rFonts w:ascii="Arial" w:hAnsi="Arial" w:cs="Arial"/>
          <w:sz w:val="22"/>
        </w:rPr>
      </w:pPr>
    </w:p>
    <w:p w:rsidR="00224443" w:rsidRPr="003A3C35" w:rsidRDefault="00224443" w:rsidP="000B1C09">
      <w:pPr>
        <w:pStyle w:val="10"/>
        <w:numPr>
          <w:ilvl w:val="0"/>
          <w:numId w:val="1"/>
        </w:numPr>
        <w:rPr>
          <w:rFonts w:ascii="Arial" w:hAnsi="Arial" w:cs="Arial"/>
        </w:rPr>
      </w:pPr>
      <w:bookmarkStart w:id="21" w:name="_Toc5785565"/>
      <w:bookmarkStart w:id="22" w:name="_Toc5787240"/>
      <w:bookmarkStart w:id="23" w:name="_Toc6405661"/>
      <w:r w:rsidRPr="003A3C35">
        <w:rPr>
          <w:rFonts w:ascii="Arial" w:hAnsi="Arial" w:cs="Arial"/>
        </w:rPr>
        <w:t>投资组合情况</w:t>
      </w:r>
      <w:bookmarkEnd w:id="21"/>
      <w:bookmarkEnd w:id="22"/>
      <w:bookmarkEnd w:id="23"/>
    </w:p>
    <w:p w:rsidR="003A3C35" w:rsidRPr="003A3C35" w:rsidRDefault="00224443" w:rsidP="003A3C35">
      <w:pPr>
        <w:pStyle w:val="20"/>
        <w:numPr>
          <w:ilvl w:val="0"/>
          <w:numId w:val="3"/>
        </w:numPr>
        <w:rPr>
          <w:rFonts w:ascii="Arial" w:hAnsi="Arial" w:cs="Arial"/>
        </w:rPr>
      </w:pPr>
      <w:bookmarkStart w:id="24" w:name="_Toc5717708"/>
      <w:bookmarkStart w:id="25" w:name="_Toc5783606"/>
      <w:bookmarkStart w:id="26" w:name="_Toc5785566"/>
      <w:bookmarkStart w:id="27" w:name="_Toc5787241"/>
      <w:bookmarkStart w:id="28" w:name="_Toc6405662"/>
      <w:r w:rsidRPr="003A3C35">
        <w:rPr>
          <w:rFonts w:ascii="Arial" w:hAnsi="Arial" w:cs="Arial"/>
        </w:rPr>
        <w:t>报告期末产品资产组合情况</w:t>
      </w:r>
      <w:bookmarkEnd w:id="24"/>
      <w:bookmarkEnd w:id="25"/>
      <w:bookmarkEnd w:id="26"/>
      <w:bookmarkEnd w:id="27"/>
      <w:bookmarkEnd w:id="28"/>
    </w:p>
    <w:tbl>
      <w:tblPr>
        <w:tblW w:w="287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299"/>
        <w:gridCol w:w="1500"/>
      </w:tblGrid>
      <w:tr w:rsidR="00224443" w:rsidRPr="003A3C35" w:rsidTr="00A31243">
        <w:trPr>
          <w:trHeight w:val="450"/>
          <w:jc w:val="center"/>
        </w:trPr>
        <w:tc>
          <w:tcPr>
            <w:tcW w:w="3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224443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资产类型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BC5B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224443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占比</w:t>
            </w:r>
          </w:p>
        </w:tc>
      </w:tr>
      <w:tr w:rsidR="00224443" w:rsidRPr="003A3C35" w:rsidTr="00A31243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224443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现金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7A2491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0.11</w:t>
            </w:r>
            <w:r w:rsidR="00224443"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224443" w:rsidRPr="003A3C35" w:rsidTr="00A31243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224443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货币市场工具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7A2491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99.89</w:t>
            </w:r>
            <w:r w:rsidR="00224443"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224443" w:rsidRPr="003A3C35" w:rsidTr="00A31243">
        <w:trPr>
          <w:trHeight w:val="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224443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9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224443" w:rsidRPr="003A3C35" w:rsidRDefault="00224443" w:rsidP="00A3124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A3C35">
              <w:rPr>
                <w:rFonts w:ascii="Arial" w:eastAsia="宋体" w:hAnsi="Arial" w:cs="Arial"/>
                <w:kern w:val="0"/>
                <w:sz w:val="20"/>
                <w:szCs w:val="20"/>
              </w:rPr>
              <w:t>100.00%</w:t>
            </w:r>
          </w:p>
        </w:tc>
      </w:tr>
    </w:tbl>
    <w:p w:rsidR="00224443" w:rsidRPr="003A3C35" w:rsidRDefault="00224443" w:rsidP="00224443">
      <w:pPr>
        <w:pStyle w:val="20"/>
        <w:rPr>
          <w:rFonts w:ascii="Arial" w:hAnsi="Arial" w:cs="Arial"/>
        </w:rPr>
      </w:pPr>
      <w:r w:rsidRPr="003A3C35">
        <w:rPr>
          <w:rFonts w:ascii="Arial" w:hAnsi="Arial" w:cs="Arial"/>
        </w:rPr>
        <w:tab/>
      </w:r>
      <w:bookmarkStart w:id="29" w:name="_Toc5717709"/>
    </w:p>
    <w:p w:rsidR="003A3C35" w:rsidRPr="003A3C35" w:rsidRDefault="00224443" w:rsidP="003A3C35">
      <w:pPr>
        <w:pStyle w:val="20"/>
        <w:numPr>
          <w:ilvl w:val="0"/>
          <w:numId w:val="3"/>
        </w:numPr>
        <w:rPr>
          <w:rFonts w:ascii="Arial" w:hAnsi="Arial" w:cs="Arial"/>
        </w:rPr>
      </w:pPr>
      <w:bookmarkStart w:id="30" w:name="_Toc5783607"/>
      <w:bookmarkStart w:id="31" w:name="_Toc5785567"/>
      <w:bookmarkStart w:id="32" w:name="_Toc5787242"/>
      <w:bookmarkStart w:id="33" w:name="_Toc6405663"/>
      <w:r w:rsidRPr="003A3C35">
        <w:rPr>
          <w:rFonts w:ascii="Arial" w:hAnsi="Arial" w:cs="Arial"/>
        </w:rPr>
        <w:t>报告期末杠杆融资情况</w:t>
      </w:r>
      <w:bookmarkEnd w:id="29"/>
      <w:bookmarkEnd w:id="30"/>
      <w:bookmarkEnd w:id="31"/>
      <w:bookmarkEnd w:id="32"/>
      <w:bookmarkEnd w:id="33"/>
    </w:p>
    <w:p w:rsidR="00224443" w:rsidRPr="003A3C35" w:rsidRDefault="00224443" w:rsidP="003E01DA">
      <w:pPr>
        <w:pStyle w:val="a5"/>
        <w:rPr>
          <w:rFonts w:ascii="Arial" w:hAnsi="Arial" w:cs="Arial"/>
        </w:rPr>
      </w:pPr>
      <w:r w:rsidRPr="003A3C35">
        <w:rPr>
          <w:rFonts w:ascii="Arial" w:hAnsi="Arial" w:cs="Arial"/>
        </w:rPr>
        <w:tab/>
      </w:r>
      <w:r w:rsidRPr="003A3C35">
        <w:rPr>
          <w:rFonts w:ascii="Arial" w:hAnsi="Arial" w:cs="Arial"/>
        </w:rPr>
        <w:tab/>
      </w:r>
      <w:r w:rsidRPr="003A3C35">
        <w:rPr>
          <w:rFonts w:ascii="Arial" w:hAnsi="Arial" w:cs="Arial"/>
        </w:rPr>
        <w:t>无</w:t>
      </w:r>
      <w:bookmarkStart w:id="34" w:name="_Toc5717710"/>
      <w:bookmarkStart w:id="35" w:name="_Toc5783608"/>
      <w:bookmarkStart w:id="36" w:name="_Toc5785568"/>
      <w:bookmarkStart w:id="37" w:name="_Toc5787243"/>
    </w:p>
    <w:p w:rsidR="003A3C35" w:rsidRPr="003A3C35" w:rsidRDefault="00224443" w:rsidP="003A3C35">
      <w:pPr>
        <w:pStyle w:val="20"/>
        <w:numPr>
          <w:ilvl w:val="0"/>
          <w:numId w:val="3"/>
        </w:numPr>
        <w:rPr>
          <w:rFonts w:ascii="Arial" w:hAnsi="Arial" w:cs="Arial"/>
        </w:rPr>
      </w:pPr>
      <w:bookmarkStart w:id="38" w:name="_Toc6405664"/>
      <w:r w:rsidRPr="003A3C35">
        <w:rPr>
          <w:rFonts w:ascii="Arial" w:hAnsi="Arial" w:cs="Arial"/>
        </w:rPr>
        <w:t>报告期末资产持仓前</w:t>
      </w:r>
      <w:proofErr w:type="gramStart"/>
      <w:r w:rsidRPr="003A3C35">
        <w:rPr>
          <w:rFonts w:ascii="Arial" w:hAnsi="Arial" w:cs="Arial"/>
        </w:rPr>
        <w:t>十基本</w:t>
      </w:r>
      <w:proofErr w:type="gramEnd"/>
      <w:r w:rsidRPr="003A3C35">
        <w:rPr>
          <w:rFonts w:ascii="Arial" w:hAnsi="Arial" w:cs="Arial"/>
        </w:rPr>
        <w:t>信息</w:t>
      </w:r>
      <w:bookmarkEnd w:id="34"/>
      <w:bookmarkEnd w:id="35"/>
      <w:bookmarkEnd w:id="36"/>
      <w:bookmarkEnd w:id="37"/>
      <w:bookmarkEnd w:id="38"/>
    </w:p>
    <w:tbl>
      <w:tblPr>
        <w:tblW w:w="7470" w:type="dxa"/>
        <w:jc w:val="center"/>
        <w:tblInd w:w="93" w:type="dxa"/>
        <w:tblLook w:val="04A0"/>
      </w:tblPr>
      <w:tblGrid>
        <w:gridCol w:w="1560"/>
        <w:gridCol w:w="2500"/>
        <w:gridCol w:w="2330"/>
        <w:gridCol w:w="1080"/>
      </w:tblGrid>
      <w:tr w:rsidR="003A3C35" w:rsidRPr="003A3C35" w:rsidTr="003A3C35">
        <w:trPr>
          <w:trHeight w:val="2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A3C3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资产面额</w:t>
            </w:r>
            <w:r w:rsidRPr="003A3C3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3A3C35" w:rsidRPr="003A3C35" w:rsidTr="003A3C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20181012002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100,000,000.00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33.27%</w:t>
            </w:r>
          </w:p>
        </w:tc>
      </w:tr>
      <w:tr w:rsidR="003A3C35" w:rsidRPr="003A3C35" w:rsidTr="003A3C35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同业借款</w:t>
            </w: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20180920001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200,000,000.00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C35" w:rsidRPr="003A3C35" w:rsidRDefault="003A3C35" w:rsidP="003A3C35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A3C35">
              <w:rPr>
                <w:rFonts w:ascii="Arial" w:eastAsia="宋体" w:hAnsi="Arial" w:cs="Arial"/>
                <w:color w:val="000000"/>
                <w:kern w:val="0"/>
                <w:sz w:val="22"/>
              </w:rPr>
              <w:t>66.63%</w:t>
            </w:r>
          </w:p>
        </w:tc>
      </w:tr>
    </w:tbl>
    <w:p w:rsidR="003E01DA" w:rsidRPr="003A3C35" w:rsidRDefault="003E01DA" w:rsidP="00224443">
      <w:pPr>
        <w:jc w:val="right"/>
        <w:rPr>
          <w:rFonts w:ascii="Arial" w:hAnsi="Arial" w:cs="Arial"/>
          <w:sz w:val="30"/>
          <w:szCs w:val="30"/>
        </w:rPr>
      </w:pPr>
    </w:p>
    <w:p w:rsidR="00224443" w:rsidRPr="003A3C35" w:rsidRDefault="00224443" w:rsidP="00224443">
      <w:pPr>
        <w:jc w:val="right"/>
        <w:rPr>
          <w:rFonts w:ascii="Arial" w:hAnsi="Arial" w:cs="Arial"/>
          <w:sz w:val="30"/>
          <w:szCs w:val="30"/>
        </w:rPr>
      </w:pPr>
      <w:r w:rsidRPr="003A3C35">
        <w:rPr>
          <w:rFonts w:ascii="Arial" w:hAnsi="Arial" w:cs="Arial"/>
          <w:sz w:val="30"/>
          <w:szCs w:val="30"/>
        </w:rPr>
        <w:t>兴业银行股份有限公司</w:t>
      </w:r>
    </w:p>
    <w:p w:rsidR="00224443" w:rsidRPr="003A3C35" w:rsidRDefault="00224443" w:rsidP="00224443">
      <w:pPr>
        <w:jc w:val="right"/>
        <w:rPr>
          <w:rFonts w:ascii="Arial" w:hAnsi="Arial" w:cs="Arial"/>
          <w:sz w:val="22"/>
        </w:rPr>
      </w:pPr>
      <w:r w:rsidRPr="003A3C35">
        <w:rPr>
          <w:rFonts w:ascii="Arial" w:hAnsi="Arial" w:cs="Arial"/>
          <w:sz w:val="30"/>
          <w:szCs w:val="30"/>
        </w:rPr>
        <w:t>2019</w:t>
      </w:r>
      <w:r w:rsidRPr="003A3C35">
        <w:rPr>
          <w:rFonts w:ascii="Arial" w:hAnsi="Arial" w:cs="Arial"/>
          <w:sz w:val="30"/>
          <w:szCs w:val="30"/>
        </w:rPr>
        <w:t>年</w:t>
      </w:r>
      <w:r w:rsidRPr="003A3C35">
        <w:rPr>
          <w:rFonts w:ascii="Arial" w:hAnsi="Arial" w:cs="Arial"/>
          <w:sz w:val="30"/>
          <w:szCs w:val="30"/>
        </w:rPr>
        <w:t>4</w:t>
      </w:r>
      <w:r w:rsidRPr="003A3C35">
        <w:rPr>
          <w:rFonts w:ascii="Arial" w:hAnsi="Arial" w:cs="Arial"/>
          <w:sz w:val="30"/>
          <w:szCs w:val="30"/>
        </w:rPr>
        <w:t>月</w:t>
      </w:r>
      <w:r w:rsidRPr="003A3C35">
        <w:rPr>
          <w:rFonts w:ascii="Arial" w:hAnsi="Arial" w:cs="Arial"/>
          <w:sz w:val="30"/>
          <w:szCs w:val="30"/>
        </w:rPr>
        <w:t>9</w:t>
      </w:r>
      <w:r w:rsidRPr="003A3C35">
        <w:rPr>
          <w:rFonts w:ascii="Arial" w:hAnsi="Arial" w:cs="Arial"/>
          <w:sz w:val="30"/>
          <w:szCs w:val="30"/>
        </w:rPr>
        <w:t>日</w:t>
      </w:r>
    </w:p>
    <w:sectPr w:rsidR="00224443" w:rsidRPr="003A3C35" w:rsidSect="00C7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EC" w:rsidRDefault="00975FEC" w:rsidP="002500F2">
      <w:r>
        <w:separator/>
      </w:r>
    </w:p>
  </w:endnote>
  <w:endnote w:type="continuationSeparator" w:id="0">
    <w:p w:rsidR="00975FEC" w:rsidRDefault="00975FEC" w:rsidP="0025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EC" w:rsidRDefault="00975FEC" w:rsidP="002500F2">
      <w:r>
        <w:separator/>
      </w:r>
    </w:p>
  </w:footnote>
  <w:footnote w:type="continuationSeparator" w:id="0">
    <w:p w:rsidR="00975FEC" w:rsidRDefault="00975FEC" w:rsidP="00250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E8D"/>
    <w:multiLevelType w:val="hybridMultilevel"/>
    <w:tmpl w:val="4070800C"/>
    <w:lvl w:ilvl="0" w:tplc="3858EA2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EA0FAD"/>
    <w:multiLevelType w:val="hybridMultilevel"/>
    <w:tmpl w:val="AD2CF8E0"/>
    <w:lvl w:ilvl="0" w:tplc="49824FF4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2918B0"/>
    <w:multiLevelType w:val="hybridMultilevel"/>
    <w:tmpl w:val="9892BF46"/>
    <w:lvl w:ilvl="0" w:tplc="62E45E92">
      <w:start w:val="1"/>
      <w:numFmt w:val="decimal"/>
      <w:lvlText w:val="%1."/>
      <w:lvlJc w:val="left"/>
      <w:pPr>
        <w:ind w:left="78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B8"/>
    <w:rsid w:val="000B1C09"/>
    <w:rsid w:val="000C0865"/>
    <w:rsid w:val="00115E45"/>
    <w:rsid w:val="00122FC1"/>
    <w:rsid w:val="0016588E"/>
    <w:rsid w:val="001B1247"/>
    <w:rsid w:val="00224443"/>
    <w:rsid w:val="00246096"/>
    <w:rsid w:val="002500F2"/>
    <w:rsid w:val="002814FD"/>
    <w:rsid w:val="002A7352"/>
    <w:rsid w:val="002C68F6"/>
    <w:rsid w:val="00310648"/>
    <w:rsid w:val="003605ED"/>
    <w:rsid w:val="00386637"/>
    <w:rsid w:val="003A3C35"/>
    <w:rsid w:val="003E01DA"/>
    <w:rsid w:val="003F378E"/>
    <w:rsid w:val="0041587F"/>
    <w:rsid w:val="00471013"/>
    <w:rsid w:val="004D1017"/>
    <w:rsid w:val="005D52EF"/>
    <w:rsid w:val="00671016"/>
    <w:rsid w:val="00681C03"/>
    <w:rsid w:val="00694EE6"/>
    <w:rsid w:val="006A00E5"/>
    <w:rsid w:val="006B1E4B"/>
    <w:rsid w:val="007A2491"/>
    <w:rsid w:val="008B607B"/>
    <w:rsid w:val="008E5807"/>
    <w:rsid w:val="0093130C"/>
    <w:rsid w:val="00975FEC"/>
    <w:rsid w:val="009D4DB8"/>
    <w:rsid w:val="009E5E69"/>
    <w:rsid w:val="00A405BB"/>
    <w:rsid w:val="00A45AF6"/>
    <w:rsid w:val="00A7154F"/>
    <w:rsid w:val="00AA3B21"/>
    <w:rsid w:val="00AD3800"/>
    <w:rsid w:val="00B10917"/>
    <w:rsid w:val="00B52F9E"/>
    <w:rsid w:val="00B93867"/>
    <w:rsid w:val="00BB3730"/>
    <w:rsid w:val="00BD1A4F"/>
    <w:rsid w:val="00C73228"/>
    <w:rsid w:val="00C73A48"/>
    <w:rsid w:val="00C976FD"/>
    <w:rsid w:val="00CE46EF"/>
    <w:rsid w:val="00DD7309"/>
    <w:rsid w:val="00DD7463"/>
    <w:rsid w:val="00E371DC"/>
    <w:rsid w:val="00F20BB0"/>
    <w:rsid w:val="00F45AC0"/>
    <w:rsid w:val="00F616C1"/>
    <w:rsid w:val="00F6481E"/>
    <w:rsid w:val="00F964D9"/>
    <w:rsid w:val="00FA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F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6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60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460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0F2"/>
    <w:rPr>
      <w:sz w:val="18"/>
      <w:szCs w:val="18"/>
    </w:rPr>
  </w:style>
  <w:style w:type="paragraph" w:customStyle="1" w:styleId="10">
    <w:name w:val="样式1"/>
    <w:basedOn w:val="a"/>
    <w:link w:val="1Char0"/>
    <w:qFormat/>
    <w:rsid w:val="00A7154F"/>
    <w:rPr>
      <w:rFonts w:ascii="宋体" w:eastAsia="宋体" w:hAnsi="宋体"/>
      <w:b/>
      <w:sz w:val="28"/>
      <w:szCs w:val="28"/>
    </w:rPr>
  </w:style>
  <w:style w:type="paragraph" w:customStyle="1" w:styleId="20">
    <w:name w:val="样式2"/>
    <w:basedOn w:val="10"/>
    <w:link w:val="2Char0"/>
    <w:qFormat/>
    <w:rsid w:val="00A7154F"/>
    <w:rPr>
      <w:rFonts w:cs="Times New Roman"/>
    </w:rPr>
  </w:style>
  <w:style w:type="character" w:customStyle="1" w:styleId="1Char0">
    <w:name w:val="样式1 Char"/>
    <w:basedOn w:val="a0"/>
    <w:link w:val="10"/>
    <w:rsid w:val="00A7154F"/>
    <w:rPr>
      <w:rFonts w:ascii="宋体" w:eastAsia="宋体" w:hAnsi="宋体"/>
      <w:b/>
      <w:sz w:val="28"/>
      <w:szCs w:val="28"/>
    </w:rPr>
  </w:style>
  <w:style w:type="character" w:customStyle="1" w:styleId="2Char0">
    <w:name w:val="样式2 Char"/>
    <w:basedOn w:val="1Char0"/>
    <w:link w:val="20"/>
    <w:rsid w:val="00A7154F"/>
    <w:rPr>
      <w:rFonts w:cs="Times New Roman"/>
    </w:rPr>
  </w:style>
  <w:style w:type="paragraph" w:customStyle="1" w:styleId="30">
    <w:name w:val="样式3"/>
    <w:basedOn w:val="a"/>
    <w:link w:val="3Char0"/>
    <w:qFormat/>
    <w:rsid w:val="00A7154F"/>
    <w:pPr>
      <w:ind w:left="180" w:firstLine="420"/>
    </w:pPr>
    <w:rPr>
      <w:rFonts w:ascii="宋体" w:eastAsia="宋体" w:hAnsi="宋体" w:cs="Times New Roman"/>
      <w:sz w:val="22"/>
    </w:rPr>
  </w:style>
  <w:style w:type="character" w:customStyle="1" w:styleId="3Char0">
    <w:name w:val="样式3 Char"/>
    <w:basedOn w:val="a0"/>
    <w:link w:val="30"/>
    <w:rsid w:val="00A7154F"/>
    <w:rPr>
      <w:rFonts w:ascii="宋体" w:eastAsia="宋体" w:hAnsi="宋体" w:cs="Times New Roman"/>
      <w:sz w:val="22"/>
    </w:rPr>
  </w:style>
  <w:style w:type="paragraph" w:customStyle="1" w:styleId="a5">
    <w:name w:val="正文内容"/>
    <w:basedOn w:val="a"/>
    <w:link w:val="Char1"/>
    <w:qFormat/>
    <w:rsid w:val="00224443"/>
    <w:rPr>
      <w:rFonts w:ascii="宋体" w:eastAsia="宋体" w:hAnsi="宋体" w:cs="宋体"/>
      <w:color w:val="000000"/>
      <w:kern w:val="0"/>
      <w:sz w:val="30"/>
      <w:szCs w:val="30"/>
    </w:rPr>
  </w:style>
  <w:style w:type="character" w:customStyle="1" w:styleId="Char1">
    <w:name w:val="正文内容 Char"/>
    <w:basedOn w:val="a0"/>
    <w:link w:val="a5"/>
    <w:rsid w:val="00224443"/>
    <w:rPr>
      <w:rFonts w:ascii="宋体" w:eastAsia="宋体" w:hAnsi="宋体" w:cs="宋体"/>
      <w:color w:val="000000"/>
      <w:kern w:val="0"/>
      <w:sz w:val="30"/>
      <w:szCs w:val="30"/>
    </w:rPr>
  </w:style>
  <w:style w:type="table" w:styleId="a6">
    <w:name w:val="Table Grid"/>
    <w:basedOn w:val="a1"/>
    <w:uiPriority w:val="39"/>
    <w:rsid w:val="0022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443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246096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246096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460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6096"/>
  </w:style>
  <w:style w:type="paragraph" w:styleId="21">
    <w:name w:val="toc 2"/>
    <w:basedOn w:val="a"/>
    <w:next w:val="a"/>
    <w:autoRedefine/>
    <w:uiPriority w:val="39"/>
    <w:unhideWhenUsed/>
    <w:rsid w:val="00246096"/>
    <w:pPr>
      <w:ind w:leftChars="200" w:left="420"/>
    </w:pPr>
  </w:style>
  <w:style w:type="character" w:styleId="a8">
    <w:name w:val="Hyperlink"/>
    <w:basedOn w:val="a0"/>
    <w:uiPriority w:val="99"/>
    <w:unhideWhenUsed/>
    <w:rsid w:val="0024609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45A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70A24-1517-4ABA-BEA1-AAFAEC0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1072887703@qq.com</dc:creator>
  <cp:keywords/>
  <dc:description/>
  <cp:lastModifiedBy>李艺</cp:lastModifiedBy>
  <cp:revision>24</cp:revision>
  <dcterms:created xsi:type="dcterms:W3CDTF">2019-01-07T09:15:00Z</dcterms:created>
  <dcterms:modified xsi:type="dcterms:W3CDTF">2019-04-17T07:00:00Z</dcterms:modified>
</cp:coreProperties>
</file>