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6A" w:rsidRPr="00056F9E" w:rsidRDefault="001A646A" w:rsidP="001A646A">
      <w:pPr>
        <w:jc w:val="center"/>
        <w:rPr>
          <w:rFonts w:ascii="Arial" w:eastAsia="宋体" w:hAnsi="Arial" w:cs="Arial"/>
          <w:b/>
          <w:sz w:val="30"/>
          <w:szCs w:val="30"/>
        </w:rPr>
      </w:pPr>
      <w:r w:rsidRPr="00056F9E">
        <w:rPr>
          <w:rFonts w:ascii="Arial" w:eastAsia="宋体" w:hAnsi="Arial" w:cs="Arial"/>
          <w:b/>
          <w:sz w:val="30"/>
          <w:szCs w:val="30"/>
        </w:rPr>
        <w:t>兴业银行</w:t>
      </w:r>
      <w:r w:rsidR="00531DBA" w:rsidRPr="00056F9E">
        <w:rPr>
          <w:rFonts w:ascii="Arial" w:eastAsia="宋体" w:hAnsi="Arial" w:cs="Arial"/>
          <w:b/>
          <w:sz w:val="30"/>
          <w:szCs w:val="30"/>
        </w:rPr>
        <w:t>“</w:t>
      </w:r>
      <w:r w:rsidR="00531DBA" w:rsidRPr="00056F9E">
        <w:rPr>
          <w:rFonts w:ascii="Arial" w:eastAsia="宋体" w:hAnsi="Arial" w:cs="Arial"/>
          <w:b/>
          <w:sz w:val="30"/>
          <w:szCs w:val="30"/>
        </w:rPr>
        <w:t>万利宝</w:t>
      </w:r>
      <w:r w:rsidR="00531DBA" w:rsidRPr="00056F9E">
        <w:rPr>
          <w:rFonts w:ascii="Arial" w:eastAsia="宋体" w:hAnsi="Arial" w:cs="Arial"/>
          <w:b/>
          <w:sz w:val="30"/>
          <w:szCs w:val="30"/>
        </w:rPr>
        <w:t>-</w:t>
      </w:r>
      <w:r w:rsidR="00531DBA" w:rsidRPr="00056F9E">
        <w:rPr>
          <w:rFonts w:ascii="Arial" w:eastAsia="宋体" w:hAnsi="Arial" w:cs="Arial"/>
          <w:b/>
          <w:sz w:val="30"/>
          <w:szCs w:val="30"/>
        </w:rPr>
        <w:t>聚利</w:t>
      </w:r>
      <w:r w:rsidR="00531DBA" w:rsidRPr="00056F9E">
        <w:rPr>
          <w:rFonts w:ascii="Arial" w:eastAsia="宋体" w:hAnsi="Arial" w:cs="Arial"/>
          <w:b/>
          <w:sz w:val="30"/>
          <w:szCs w:val="30"/>
        </w:rPr>
        <w:t>”2018</w:t>
      </w:r>
      <w:r w:rsidR="00531DBA" w:rsidRPr="00056F9E">
        <w:rPr>
          <w:rFonts w:ascii="Arial" w:eastAsia="宋体" w:hAnsi="Arial" w:cs="Arial"/>
          <w:b/>
          <w:sz w:val="30"/>
          <w:szCs w:val="30"/>
        </w:rPr>
        <w:t>年第</w:t>
      </w:r>
      <w:r w:rsidR="00531DBA" w:rsidRPr="00056F9E">
        <w:rPr>
          <w:rFonts w:ascii="Arial" w:eastAsia="宋体" w:hAnsi="Arial" w:cs="Arial"/>
          <w:b/>
          <w:sz w:val="30"/>
          <w:szCs w:val="30"/>
        </w:rPr>
        <w:t>8</w:t>
      </w:r>
      <w:r w:rsidR="00531DBA" w:rsidRPr="00056F9E">
        <w:rPr>
          <w:rFonts w:ascii="Arial" w:eastAsia="宋体" w:hAnsi="Arial" w:cs="Arial"/>
          <w:b/>
          <w:sz w:val="30"/>
          <w:szCs w:val="30"/>
        </w:rPr>
        <w:t>期</w:t>
      </w:r>
      <w:r w:rsidRPr="00056F9E">
        <w:rPr>
          <w:rFonts w:ascii="Arial" w:eastAsia="宋体" w:hAnsi="Arial" w:cs="Arial"/>
          <w:b/>
          <w:sz w:val="30"/>
          <w:szCs w:val="30"/>
        </w:rPr>
        <w:t>净值型理财产品</w:t>
      </w:r>
      <w:r w:rsidRPr="00056F9E">
        <w:rPr>
          <w:rFonts w:ascii="Arial" w:eastAsia="宋体" w:hAnsi="Arial" w:cs="Arial"/>
          <w:b/>
          <w:sz w:val="30"/>
          <w:szCs w:val="30"/>
        </w:rPr>
        <w:t>”</w:t>
      </w:r>
    </w:p>
    <w:p w:rsidR="001A646A" w:rsidRPr="00056F9E" w:rsidRDefault="001A646A" w:rsidP="001A646A">
      <w:pPr>
        <w:jc w:val="center"/>
        <w:rPr>
          <w:rFonts w:ascii="Arial" w:eastAsia="宋体" w:hAnsi="Arial" w:cs="Arial"/>
          <w:b/>
          <w:sz w:val="30"/>
          <w:szCs w:val="30"/>
        </w:rPr>
      </w:pPr>
      <w:bookmarkStart w:id="0" w:name="_GoBack"/>
      <w:r w:rsidRPr="00056F9E">
        <w:rPr>
          <w:rFonts w:ascii="Arial" w:eastAsia="宋体" w:hAnsi="Arial" w:cs="Arial"/>
          <w:b/>
          <w:sz w:val="30"/>
          <w:szCs w:val="30"/>
        </w:rPr>
        <w:t>201</w:t>
      </w:r>
      <w:r w:rsidR="00531DBA" w:rsidRPr="00056F9E">
        <w:rPr>
          <w:rFonts w:ascii="Arial" w:eastAsia="宋体" w:hAnsi="Arial" w:cs="Arial"/>
          <w:b/>
          <w:sz w:val="30"/>
          <w:szCs w:val="30"/>
        </w:rPr>
        <w:t>9</w:t>
      </w:r>
      <w:r w:rsidRPr="00056F9E">
        <w:rPr>
          <w:rFonts w:ascii="Arial" w:eastAsia="宋体" w:hAnsi="Arial" w:cs="Arial"/>
          <w:b/>
          <w:sz w:val="30"/>
          <w:szCs w:val="30"/>
        </w:rPr>
        <w:t>年第</w:t>
      </w:r>
      <w:r w:rsidR="00531DBA" w:rsidRPr="00056F9E">
        <w:rPr>
          <w:rFonts w:ascii="Arial" w:eastAsia="宋体" w:hAnsi="Arial" w:cs="Arial"/>
          <w:b/>
          <w:sz w:val="30"/>
          <w:szCs w:val="30"/>
        </w:rPr>
        <w:t>1</w:t>
      </w:r>
      <w:r w:rsidRPr="00056F9E">
        <w:rPr>
          <w:rFonts w:ascii="Arial" w:eastAsia="宋体" w:hAnsi="Arial" w:cs="Arial"/>
          <w:b/>
          <w:sz w:val="30"/>
          <w:szCs w:val="30"/>
        </w:rPr>
        <w:t>季度报告</w:t>
      </w:r>
    </w:p>
    <w:bookmarkEnd w:id="0"/>
    <w:p w:rsidR="001A646A" w:rsidRPr="00056F9E" w:rsidRDefault="001E617F" w:rsidP="001E617F">
      <w:pPr>
        <w:jc w:val="center"/>
        <w:rPr>
          <w:rFonts w:ascii="Arial" w:eastAsia="宋体" w:hAnsi="Arial" w:cs="Arial"/>
          <w:b/>
          <w:sz w:val="30"/>
          <w:szCs w:val="30"/>
        </w:rPr>
      </w:pPr>
      <w:r w:rsidRPr="00056F9E">
        <w:rPr>
          <w:rFonts w:ascii="Arial" w:eastAsia="宋体" w:hAnsi="Arial" w:cs="Arial"/>
          <w:b/>
          <w:sz w:val="30"/>
          <w:szCs w:val="30"/>
        </w:rPr>
        <w:t>2019</w:t>
      </w:r>
      <w:r w:rsidRPr="00056F9E">
        <w:rPr>
          <w:rFonts w:ascii="Arial" w:eastAsia="宋体" w:hAnsi="Arial" w:cs="Arial"/>
          <w:b/>
          <w:sz w:val="30"/>
          <w:szCs w:val="30"/>
        </w:rPr>
        <w:t>年</w:t>
      </w:r>
      <w:r w:rsidRPr="00056F9E">
        <w:rPr>
          <w:rFonts w:ascii="Arial" w:eastAsia="宋体" w:hAnsi="Arial" w:cs="Arial"/>
          <w:b/>
          <w:sz w:val="30"/>
          <w:szCs w:val="30"/>
        </w:rPr>
        <w:t>3</w:t>
      </w:r>
      <w:r w:rsidRPr="00056F9E">
        <w:rPr>
          <w:rFonts w:ascii="Arial" w:eastAsia="宋体" w:hAnsi="Arial" w:cs="Arial"/>
          <w:b/>
          <w:sz w:val="30"/>
          <w:szCs w:val="30"/>
        </w:rPr>
        <w:t>月</w:t>
      </w:r>
      <w:r w:rsidRPr="00056F9E">
        <w:rPr>
          <w:rFonts w:ascii="Arial" w:eastAsia="宋体" w:hAnsi="Arial" w:cs="Arial"/>
          <w:b/>
          <w:sz w:val="30"/>
          <w:szCs w:val="30"/>
        </w:rPr>
        <w:t>31</w:t>
      </w:r>
      <w:r w:rsidRPr="00056F9E">
        <w:rPr>
          <w:rFonts w:ascii="Arial" w:eastAsia="宋体" w:hAnsi="Arial" w:cs="Arial"/>
          <w:b/>
          <w:sz w:val="30"/>
          <w:szCs w:val="30"/>
        </w:rPr>
        <w:t>日</w:t>
      </w:r>
    </w:p>
    <w:p w:rsidR="001A646A" w:rsidRPr="00D165C4" w:rsidRDefault="00D165C4" w:rsidP="00D165C4">
      <w:pPr>
        <w:pStyle w:val="a6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1" w:name="_Toc6326720"/>
      <w:r>
        <w:rPr>
          <w:rFonts w:ascii="Arial" w:cs="Arial" w:hint="eastAsia"/>
          <w:b/>
          <w:sz w:val="30"/>
          <w:szCs w:val="30"/>
        </w:rPr>
        <w:t>目录</w:t>
      </w:r>
      <w:bookmarkEnd w:id="1"/>
    </w:p>
    <w:p w:rsidR="007454D1" w:rsidRDefault="0028090C">
      <w:pPr>
        <w:pStyle w:val="1"/>
        <w:tabs>
          <w:tab w:val="left" w:pos="630"/>
          <w:tab w:val="right" w:leader="dot" w:pos="8296"/>
        </w:tabs>
        <w:rPr>
          <w:noProof/>
        </w:rPr>
      </w:pPr>
      <w:r>
        <w:rPr>
          <w:rFonts w:ascii="Arial" w:hAnsi="Arial" w:cs="Arial"/>
          <w:b/>
          <w:sz w:val="30"/>
          <w:szCs w:val="30"/>
        </w:rPr>
        <w:fldChar w:fldCharType="begin"/>
      </w:r>
      <w:r w:rsidR="007454D1">
        <w:rPr>
          <w:rFonts w:ascii="Arial" w:hAnsi="Arial" w:cs="Arial"/>
          <w:b/>
          <w:sz w:val="30"/>
          <w:szCs w:val="30"/>
        </w:rPr>
        <w:instrText xml:space="preserve"> TOC \o "1-3" \h \z \u </w:instrText>
      </w:r>
      <w:r>
        <w:rPr>
          <w:rFonts w:ascii="Arial" w:hAnsi="Arial" w:cs="Arial"/>
          <w:b/>
          <w:sz w:val="30"/>
          <w:szCs w:val="30"/>
        </w:rPr>
        <w:fldChar w:fldCharType="separate"/>
      </w:r>
      <w:hyperlink w:anchor="_Toc6326720" w:history="1">
        <w:r w:rsidR="007454D1" w:rsidRPr="005028D6">
          <w:rPr>
            <w:rStyle w:val="a7"/>
            <w:rFonts w:ascii="Arial" w:hAnsi="Arial" w:cs="Arial" w:hint="eastAsia"/>
            <w:b/>
            <w:noProof/>
          </w:rPr>
          <w:t>一</w:t>
        </w:r>
        <w:r w:rsidR="007454D1" w:rsidRPr="005028D6">
          <w:rPr>
            <w:rStyle w:val="a7"/>
            <w:rFonts w:ascii="Arial" w:hAnsi="Arial" w:cs="Arial" w:hint="eastAsia"/>
            <w:b/>
            <w:noProof/>
          </w:rPr>
          <w:t>.</w:t>
        </w:r>
        <w:r w:rsidR="007454D1">
          <w:rPr>
            <w:noProof/>
          </w:rPr>
          <w:tab/>
        </w:r>
        <w:r w:rsidR="007454D1" w:rsidRPr="005028D6">
          <w:rPr>
            <w:rStyle w:val="a7"/>
            <w:rFonts w:ascii="Arial" w:cs="Arial" w:hint="eastAsia"/>
            <w:b/>
            <w:noProof/>
          </w:rPr>
          <w:t>目录</w:t>
        </w:r>
        <w:r w:rsidR="007454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54D1">
          <w:rPr>
            <w:noProof/>
            <w:webHidden/>
          </w:rPr>
          <w:instrText xml:space="preserve"> PAGEREF _Toc6326720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54D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454D1" w:rsidRDefault="0028090C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6326721" w:history="1">
        <w:r w:rsidR="007454D1" w:rsidRPr="005028D6">
          <w:rPr>
            <w:rStyle w:val="a7"/>
            <w:rFonts w:ascii="Arial" w:hAnsi="Arial" w:cs="Arial" w:hint="eastAsia"/>
            <w:b/>
            <w:noProof/>
          </w:rPr>
          <w:t>二</w:t>
        </w:r>
        <w:r w:rsidR="007454D1" w:rsidRPr="005028D6">
          <w:rPr>
            <w:rStyle w:val="a7"/>
            <w:rFonts w:ascii="Arial" w:hAnsi="Arial" w:cs="Arial" w:hint="eastAsia"/>
            <w:b/>
            <w:noProof/>
          </w:rPr>
          <w:t>.</w:t>
        </w:r>
        <w:r w:rsidR="007454D1">
          <w:rPr>
            <w:noProof/>
          </w:rPr>
          <w:tab/>
        </w:r>
        <w:r w:rsidR="007454D1" w:rsidRPr="005028D6">
          <w:rPr>
            <w:rStyle w:val="a7"/>
            <w:rFonts w:ascii="Arial" w:cs="Arial" w:hint="eastAsia"/>
            <w:b/>
            <w:noProof/>
          </w:rPr>
          <w:t>重要提示</w:t>
        </w:r>
        <w:r w:rsidR="007454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54D1">
          <w:rPr>
            <w:noProof/>
            <w:webHidden/>
          </w:rPr>
          <w:instrText xml:space="preserve"> PAGEREF _Toc6326721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54D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454D1" w:rsidRDefault="0028090C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6326722" w:history="1">
        <w:r w:rsidR="007454D1" w:rsidRPr="005028D6">
          <w:rPr>
            <w:rStyle w:val="a7"/>
            <w:rFonts w:ascii="Arial" w:hAnsi="Arial" w:cs="Arial" w:hint="eastAsia"/>
            <w:b/>
            <w:noProof/>
          </w:rPr>
          <w:t>三</w:t>
        </w:r>
        <w:r w:rsidR="007454D1" w:rsidRPr="005028D6">
          <w:rPr>
            <w:rStyle w:val="a7"/>
            <w:rFonts w:ascii="Arial" w:hAnsi="Arial" w:cs="Arial" w:hint="eastAsia"/>
            <w:b/>
            <w:noProof/>
          </w:rPr>
          <w:t>.</w:t>
        </w:r>
        <w:r w:rsidR="007454D1">
          <w:rPr>
            <w:noProof/>
          </w:rPr>
          <w:tab/>
        </w:r>
        <w:r w:rsidR="007454D1" w:rsidRPr="005028D6">
          <w:rPr>
            <w:rStyle w:val="a7"/>
            <w:rFonts w:ascii="Arial" w:cs="Arial" w:hint="eastAsia"/>
            <w:b/>
            <w:noProof/>
          </w:rPr>
          <w:t>产品基本信息</w:t>
        </w:r>
        <w:r w:rsidR="007454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54D1">
          <w:rPr>
            <w:noProof/>
            <w:webHidden/>
          </w:rPr>
          <w:instrText xml:space="preserve"> PAGEREF _Toc6326722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54D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454D1" w:rsidRDefault="0028090C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6326723" w:history="1">
        <w:r w:rsidR="007454D1" w:rsidRPr="005028D6">
          <w:rPr>
            <w:rStyle w:val="a7"/>
            <w:rFonts w:ascii="Arial" w:hAnsi="Arial" w:cs="Arial" w:hint="eastAsia"/>
            <w:b/>
            <w:noProof/>
          </w:rPr>
          <w:t>四</w:t>
        </w:r>
        <w:r w:rsidR="007454D1" w:rsidRPr="005028D6">
          <w:rPr>
            <w:rStyle w:val="a7"/>
            <w:rFonts w:ascii="Arial" w:hAnsi="Arial" w:cs="Arial" w:hint="eastAsia"/>
            <w:b/>
            <w:noProof/>
          </w:rPr>
          <w:t>.</w:t>
        </w:r>
        <w:r w:rsidR="007454D1">
          <w:rPr>
            <w:noProof/>
          </w:rPr>
          <w:tab/>
        </w:r>
        <w:r w:rsidR="007454D1" w:rsidRPr="005028D6">
          <w:rPr>
            <w:rStyle w:val="a7"/>
            <w:rFonts w:ascii="Arial" w:cs="Arial" w:hint="eastAsia"/>
            <w:b/>
            <w:noProof/>
          </w:rPr>
          <w:t>产品收益表现</w:t>
        </w:r>
        <w:r w:rsidR="007454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54D1">
          <w:rPr>
            <w:noProof/>
            <w:webHidden/>
          </w:rPr>
          <w:instrText xml:space="preserve"> PAGEREF _Toc6326723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54D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454D1" w:rsidRDefault="0028090C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6326724" w:history="1">
        <w:r w:rsidR="007454D1" w:rsidRPr="005028D6">
          <w:rPr>
            <w:rStyle w:val="a7"/>
            <w:rFonts w:ascii="Arial" w:hAnsi="Arial" w:cs="Arial" w:hint="eastAsia"/>
            <w:b/>
            <w:noProof/>
          </w:rPr>
          <w:t>五</w:t>
        </w:r>
        <w:r w:rsidR="007454D1" w:rsidRPr="005028D6">
          <w:rPr>
            <w:rStyle w:val="a7"/>
            <w:rFonts w:ascii="Arial" w:hAnsi="Arial" w:cs="Arial" w:hint="eastAsia"/>
            <w:b/>
            <w:noProof/>
          </w:rPr>
          <w:t>.</w:t>
        </w:r>
        <w:r w:rsidR="007454D1">
          <w:rPr>
            <w:noProof/>
          </w:rPr>
          <w:tab/>
        </w:r>
        <w:r w:rsidR="007454D1" w:rsidRPr="005028D6">
          <w:rPr>
            <w:rStyle w:val="a7"/>
            <w:rFonts w:ascii="Arial" w:cs="Arial" w:hint="eastAsia"/>
            <w:b/>
            <w:noProof/>
          </w:rPr>
          <w:t>报告期内产品的投资策略和运作分析</w:t>
        </w:r>
        <w:r w:rsidR="007454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54D1">
          <w:rPr>
            <w:noProof/>
            <w:webHidden/>
          </w:rPr>
          <w:instrText xml:space="preserve"> PAGEREF _Toc6326724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54D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454D1" w:rsidRDefault="0028090C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6326725" w:history="1">
        <w:r w:rsidR="007454D1" w:rsidRPr="005028D6">
          <w:rPr>
            <w:rStyle w:val="a7"/>
            <w:rFonts w:ascii="Arial" w:hAnsi="Arial" w:cs="Arial" w:hint="eastAsia"/>
            <w:b/>
            <w:noProof/>
          </w:rPr>
          <w:t>六</w:t>
        </w:r>
        <w:r w:rsidR="007454D1" w:rsidRPr="005028D6">
          <w:rPr>
            <w:rStyle w:val="a7"/>
            <w:rFonts w:ascii="Arial" w:hAnsi="Arial" w:cs="Arial" w:hint="eastAsia"/>
            <w:b/>
            <w:noProof/>
          </w:rPr>
          <w:t>.</w:t>
        </w:r>
        <w:r w:rsidR="007454D1">
          <w:rPr>
            <w:noProof/>
          </w:rPr>
          <w:tab/>
        </w:r>
        <w:r w:rsidR="007454D1" w:rsidRPr="005028D6">
          <w:rPr>
            <w:rStyle w:val="a7"/>
            <w:rFonts w:ascii="Arial" w:hAnsi="Arial" w:cs="Arial"/>
            <w:b/>
            <w:noProof/>
          </w:rPr>
          <w:t>2019</w:t>
        </w:r>
        <w:r w:rsidR="007454D1" w:rsidRPr="005028D6">
          <w:rPr>
            <w:rStyle w:val="a7"/>
            <w:rFonts w:ascii="Arial" w:cs="Arial" w:hint="eastAsia"/>
            <w:b/>
            <w:noProof/>
          </w:rPr>
          <w:t>年第</w:t>
        </w:r>
        <w:r w:rsidR="007454D1" w:rsidRPr="005028D6">
          <w:rPr>
            <w:rStyle w:val="a7"/>
            <w:rFonts w:ascii="Arial" w:hAnsi="Arial" w:cs="Arial"/>
            <w:b/>
            <w:noProof/>
          </w:rPr>
          <w:t>1</w:t>
        </w:r>
        <w:r w:rsidR="007454D1" w:rsidRPr="005028D6">
          <w:rPr>
            <w:rStyle w:val="a7"/>
            <w:rFonts w:ascii="Arial" w:cs="Arial" w:hint="eastAsia"/>
            <w:b/>
            <w:noProof/>
          </w:rPr>
          <w:t>季度财务会计报告</w:t>
        </w:r>
        <w:r w:rsidR="007454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54D1">
          <w:rPr>
            <w:noProof/>
            <w:webHidden/>
          </w:rPr>
          <w:instrText xml:space="preserve"> PAGEREF _Toc6326725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54D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54D1" w:rsidRDefault="0028090C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6326726" w:history="1">
        <w:r w:rsidR="007454D1" w:rsidRPr="005028D6">
          <w:rPr>
            <w:rStyle w:val="a7"/>
            <w:rFonts w:ascii="Arial" w:eastAsia="宋体" w:hAnsi="Arial" w:cs="Arial"/>
            <w:b/>
            <w:noProof/>
          </w:rPr>
          <w:t>1.</w:t>
        </w:r>
        <w:r w:rsidR="007454D1">
          <w:rPr>
            <w:noProof/>
          </w:rPr>
          <w:tab/>
        </w:r>
        <w:r w:rsidR="007454D1" w:rsidRPr="005028D6">
          <w:rPr>
            <w:rStyle w:val="a7"/>
            <w:rFonts w:ascii="Arial" w:eastAsia="宋体" w:hAnsi="Arial" w:cs="Arial" w:hint="eastAsia"/>
            <w:b/>
            <w:noProof/>
          </w:rPr>
          <w:t>资产负债表</w:t>
        </w:r>
        <w:r w:rsidR="007454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54D1">
          <w:rPr>
            <w:noProof/>
            <w:webHidden/>
          </w:rPr>
          <w:instrText xml:space="preserve"> PAGEREF _Toc6326726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54D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54D1" w:rsidRDefault="0028090C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6326727" w:history="1">
        <w:r w:rsidR="007454D1" w:rsidRPr="005028D6">
          <w:rPr>
            <w:rStyle w:val="a7"/>
            <w:rFonts w:ascii="Arial" w:eastAsia="宋体" w:hAnsi="Arial" w:cs="Arial"/>
            <w:b/>
            <w:noProof/>
          </w:rPr>
          <w:t>2.</w:t>
        </w:r>
        <w:r w:rsidR="007454D1">
          <w:rPr>
            <w:noProof/>
          </w:rPr>
          <w:tab/>
        </w:r>
        <w:r w:rsidR="007454D1" w:rsidRPr="005028D6">
          <w:rPr>
            <w:rStyle w:val="a7"/>
            <w:rFonts w:ascii="Arial" w:eastAsia="宋体" w:hAnsi="Arial" w:cs="Arial" w:hint="eastAsia"/>
            <w:b/>
            <w:noProof/>
          </w:rPr>
          <w:t>利润表</w:t>
        </w:r>
        <w:r w:rsidR="007454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54D1">
          <w:rPr>
            <w:noProof/>
            <w:webHidden/>
          </w:rPr>
          <w:instrText xml:space="preserve"> PAGEREF _Toc6326727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54D1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454D1" w:rsidRDefault="0028090C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6326728" w:history="1">
        <w:r w:rsidR="007454D1" w:rsidRPr="005028D6">
          <w:rPr>
            <w:rStyle w:val="a7"/>
            <w:rFonts w:ascii="Arial" w:eastAsia="宋体" w:hAnsi="Arial" w:cs="Arial"/>
            <w:b/>
            <w:noProof/>
          </w:rPr>
          <w:t>3.</w:t>
        </w:r>
        <w:r w:rsidR="007454D1">
          <w:rPr>
            <w:noProof/>
          </w:rPr>
          <w:tab/>
        </w:r>
        <w:r w:rsidR="007454D1" w:rsidRPr="005028D6">
          <w:rPr>
            <w:rStyle w:val="a7"/>
            <w:rFonts w:ascii="Arial" w:eastAsia="宋体" w:hAnsi="Arial" w:cs="Arial" w:hint="eastAsia"/>
            <w:b/>
            <w:noProof/>
          </w:rPr>
          <w:t>所有者权益（产品净值）变动表</w:t>
        </w:r>
        <w:r w:rsidR="007454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54D1">
          <w:rPr>
            <w:noProof/>
            <w:webHidden/>
          </w:rPr>
          <w:instrText xml:space="preserve"> PAGEREF _Toc6326728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54D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54D1" w:rsidRDefault="0028090C">
      <w:pPr>
        <w:pStyle w:val="1"/>
        <w:tabs>
          <w:tab w:val="left" w:pos="630"/>
          <w:tab w:val="right" w:leader="dot" w:pos="8296"/>
        </w:tabs>
        <w:rPr>
          <w:noProof/>
        </w:rPr>
      </w:pPr>
      <w:hyperlink w:anchor="_Toc6326729" w:history="1">
        <w:r w:rsidR="007454D1" w:rsidRPr="005028D6">
          <w:rPr>
            <w:rStyle w:val="a7"/>
            <w:rFonts w:ascii="Arial" w:hAnsi="Arial" w:cs="Arial" w:hint="eastAsia"/>
            <w:b/>
            <w:noProof/>
          </w:rPr>
          <w:t>七</w:t>
        </w:r>
        <w:r w:rsidR="007454D1" w:rsidRPr="005028D6">
          <w:rPr>
            <w:rStyle w:val="a7"/>
            <w:rFonts w:ascii="Arial" w:hAnsi="Arial" w:cs="Arial" w:hint="eastAsia"/>
            <w:b/>
            <w:noProof/>
          </w:rPr>
          <w:t>.</w:t>
        </w:r>
        <w:r w:rsidR="007454D1">
          <w:rPr>
            <w:noProof/>
          </w:rPr>
          <w:tab/>
        </w:r>
        <w:r w:rsidR="007454D1" w:rsidRPr="005028D6">
          <w:rPr>
            <w:rStyle w:val="a7"/>
            <w:rFonts w:ascii="Arial" w:cs="Arial" w:hint="eastAsia"/>
            <w:b/>
            <w:noProof/>
          </w:rPr>
          <w:t>投资组合情况</w:t>
        </w:r>
        <w:r w:rsidR="007454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54D1">
          <w:rPr>
            <w:noProof/>
            <w:webHidden/>
          </w:rPr>
          <w:instrText xml:space="preserve"> PAGEREF _Toc6326729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54D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454D1" w:rsidRDefault="0028090C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6326730" w:history="1">
        <w:r w:rsidR="007454D1" w:rsidRPr="005028D6">
          <w:rPr>
            <w:rStyle w:val="a7"/>
            <w:rFonts w:ascii="Arial" w:hAnsi="Arial" w:cs="Arial"/>
            <w:b/>
            <w:noProof/>
          </w:rPr>
          <w:t>1.</w:t>
        </w:r>
        <w:r w:rsidR="007454D1">
          <w:rPr>
            <w:noProof/>
          </w:rPr>
          <w:tab/>
        </w:r>
        <w:r w:rsidR="007454D1" w:rsidRPr="005028D6">
          <w:rPr>
            <w:rStyle w:val="a7"/>
            <w:rFonts w:ascii="Arial" w:cs="Arial" w:hint="eastAsia"/>
            <w:b/>
            <w:noProof/>
          </w:rPr>
          <w:t>报告期末</w:t>
        </w:r>
        <w:r w:rsidR="007454D1" w:rsidRPr="005028D6">
          <w:rPr>
            <w:rStyle w:val="a7"/>
            <w:rFonts w:ascii="Arial" w:hAnsi="Arial" w:cs="Arial"/>
            <w:b/>
            <w:noProof/>
          </w:rPr>
          <w:t>“</w:t>
        </w:r>
        <w:r w:rsidR="007454D1" w:rsidRPr="005028D6">
          <w:rPr>
            <w:rStyle w:val="a7"/>
            <w:rFonts w:ascii="Arial" w:cs="Arial" w:hint="eastAsia"/>
            <w:b/>
            <w:noProof/>
          </w:rPr>
          <w:t>万利宝</w:t>
        </w:r>
        <w:r w:rsidR="007454D1" w:rsidRPr="005028D6">
          <w:rPr>
            <w:rStyle w:val="a7"/>
            <w:rFonts w:ascii="Arial" w:hAnsi="Arial" w:cs="Arial"/>
            <w:b/>
            <w:noProof/>
          </w:rPr>
          <w:t>-</w:t>
        </w:r>
        <w:r w:rsidR="007454D1" w:rsidRPr="005028D6">
          <w:rPr>
            <w:rStyle w:val="a7"/>
            <w:rFonts w:ascii="Arial" w:cs="Arial" w:hint="eastAsia"/>
            <w:b/>
            <w:noProof/>
          </w:rPr>
          <w:t>聚利</w:t>
        </w:r>
        <w:r w:rsidR="007454D1" w:rsidRPr="005028D6">
          <w:rPr>
            <w:rStyle w:val="a7"/>
            <w:rFonts w:ascii="Arial" w:hAnsi="Arial" w:cs="Arial"/>
            <w:b/>
            <w:noProof/>
          </w:rPr>
          <w:t>”2018</w:t>
        </w:r>
        <w:r w:rsidR="007454D1" w:rsidRPr="005028D6">
          <w:rPr>
            <w:rStyle w:val="a7"/>
            <w:rFonts w:ascii="Arial" w:cs="Arial" w:hint="eastAsia"/>
            <w:b/>
            <w:noProof/>
          </w:rPr>
          <w:t>年第</w:t>
        </w:r>
        <w:r w:rsidR="007454D1" w:rsidRPr="005028D6">
          <w:rPr>
            <w:rStyle w:val="a7"/>
            <w:rFonts w:ascii="Arial" w:hAnsi="Arial" w:cs="Arial"/>
            <w:b/>
            <w:noProof/>
          </w:rPr>
          <w:t>8</w:t>
        </w:r>
        <w:r w:rsidR="007454D1" w:rsidRPr="005028D6">
          <w:rPr>
            <w:rStyle w:val="a7"/>
            <w:rFonts w:ascii="Arial" w:cs="Arial" w:hint="eastAsia"/>
            <w:b/>
            <w:noProof/>
          </w:rPr>
          <w:t>期资产组合情况</w:t>
        </w:r>
        <w:r w:rsidR="007454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54D1">
          <w:rPr>
            <w:noProof/>
            <w:webHidden/>
          </w:rPr>
          <w:instrText xml:space="preserve"> PAGEREF _Toc6326730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54D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454D1" w:rsidRDefault="0028090C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6326731" w:history="1">
        <w:r w:rsidR="007454D1" w:rsidRPr="005028D6">
          <w:rPr>
            <w:rStyle w:val="a7"/>
            <w:rFonts w:ascii="Arial" w:hAnsi="Arial" w:cs="Arial"/>
            <w:b/>
            <w:noProof/>
          </w:rPr>
          <w:t>2.</w:t>
        </w:r>
        <w:r w:rsidR="007454D1">
          <w:rPr>
            <w:noProof/>
          </w:rPr>
          <w:tab/>
        </w:r>
        <w:r w:rsidR="007454D1" w:rsidRPr="005028D6">
          <w:rPr>
            <w:rStyle w:val="a7"/>
            <w:rFonts w:ascii="Arial" w:cs="Arial" w:hint="eastAsia"/>
            <w:b/>
            <w:noProof/>
          </w:rPr>
          <w:t>报告期末杠杆融资情况</w:t>
        </w:r>
        <w:r w:rsidR="007454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54D1">
          <w:rPr>
            <w:noProof/>
            <w:webHidden/>
          </w:rPr>
          <w:instrText xml:space="preserve"> PAGEREF _Toc6326731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54D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454D1" w:rsidRDefault="0028090C">
      <w:pPr>
        <w:pStyle w:val="2"/>
        <w:tabs>
          <w:tab w:val="left" w:pos="840"/>
          <w:tab w:val="right" w:leader="dot" w:pos="8296"/>
        </w:tabs>
        <w:rPr>
          <w:noProof/>
        </w:rPr>
      </w:pPr>
      <w:hyperlink w:anchor="_Toc6326732" w:history="1">
        <w:r w:rsidR="007454D1" w:rsidRPr="005028D6">
          <w:rPr>
            <w:rStyle w:val="a7"/>
            <w:rFonts w:ascii="Arial" w:hAnsi="Arial" w:cs="Arial"/>
            <w:b/>
            <w:noProof/>
          </w:rPr>
          <w:t>3.</w:t>
        </w:r>
        <w:r w:rsidR="007454D1">
          <w:rPr>
            <w:noProof/>
          </w:rPr>
          <w:tab/>
        </w:r>
        <w:r w:rsidR="007454D1" w:rsidRPr="005028D6">
          <w:rPr>
            <w:rStyle w:val="a7"/>
            <w:rFonts w:ascii="Arial" w:cs="Arial" w:hint="eastAsia"/>
            <w:b/>
            <w:noProof/>
          </w:rPr>
          <w:t>报告期末资产持仓前十基本信息</w:t>
        </w:r>
        <w:r w:rsidR="007454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454D1">
          <w:rPr>
            <w:noProof/>
            <w:webHidden/>
          </w:rPr>
          <w:instrText xml:space="preserve"> PAGEREF _Toc6326732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54D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165C4" w:rsidRPr="00056F9E" w:rsidRDefault="0028090C" w:rsidP="00D165C4">
      <w:pPr>
        <w:pStyle w:val="a6"/>
        <w:ind w:left="510" w:firstLineChars="0" w:firstLine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fldChar w:fldCharType="end"/>
      </w:r>
    </w:p>
    <w:p w:rsidR="001E617F" w:rsidRPr="00056F9E" w:rsidRDefault="001E617F" w:rsidP="00D165C4">
      <w:pPr>
        <w:pStyle w:val="a6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2" w:name="_Toc6326721"/>
      <w:r w:rsidRPr="00056F9E">
        <w:rPr>
          <w:rFonts w:ascii="Arial" w:cs="Arial"/>
          <w:b/>
          <w:sz w:val="30"/>
          <w:szCs w:val="30"/>
        </w:rPr>
        <w:t>重要提示</w:t>
      </w:r>
      <w:bookmarkEnd w:id="2"/>
    </w:p>
    <w:p w:rsidR="000B0E81" w:rsidRPr="00D641E1" w:rsidRDefault="000B0E81" w:rsidP="000B0E81">
      <w:pPr>
        <w:pStyle w:val="a6"/>
        <w:ind w:left="510" w:firstLineChars="0" w:firstLine="0"/>
        <w:rPr>
          <w:rFonts w:ascii="Arial" w:eastAsia="宋体" w:hAnsi="Arial" w:cs="Arial"/>
          <w:b/>
          <w:color w:val="FF0000"/>
          <w:sz w:val="30"/>
          <w:szCs w:val="30"/>
        </w:rPr>
      </w:pPr>
      <w:r w:rsidRPr="00D641E1">
        <w:rPr>
          <w:rFonts w:ascii="Arial" w:eastAsia="宋体" w:hAnsi="Arial" w:cs="Arial"/>
          <w:b/>
          <w:color w:val="FF0000"/>
          <w:sz w:val="30"/>
          <w:szCs w:val="30"/>
        </w:rPr>
        <w:t>1.</w:t>
      </w:r>
      <w:r w:rsidRPr="00D641E1">
        <w:rPr>
          <w:rFonts w:ascii="Arial" w:eastAsia="宋体" w:hAnsi="Arial" w:cs="Arial"/>
          <w:b/>
          <w:color w:val="FF0000"/>
          <w:sz w:val="30"/>
          <w:szCs w:val="30"/>
        </w:rPr>
        <w:t>温馨提醒：理财非存款，产品有风险，投资需谨慎！</w:t>
      </w:r>
    </w:p>
    <w:p w:rsidR="000B0E81" w:rsidRPr="00056F9E" w:rsidRDefault="000B0E81" w:rsidP="000B0E81">
      <w:pPr>
        <w:pStyle w:val="a6"/>
        <w:ind w:left="510" w:firstLineChars="0" w:firstLine="0"/>
        <w:rPr>
          <w:rFonts w:ascii="Arial" w:eastAsia="宋体" w:hAnsi="Arial" w:cs="Arial"/>
          <w:sz w:val="30"/>
          <w:szCs w:val="30"/>
        </w:rPr>
      </w:pPr>
      <w:r w:rsidRPr="00056F9E">
        <w:rPr>
          <w:rFonts w:ascii="Arial" w:eastAsia="宋体" w:hAnsi="Arial" w:cs="Arial"/>
          <w:sz w:val="30"/>
          <w:szCs w:val="30"/>
        </w:rPr>
        <w:t>2.</w:t>
      </w:r>
      <w:r w:rsidRPr="00056F9E">
        <w:rPr>
          <w:rFonts w:ascii="Arial" w:eastAsia="宋体" w:hAnsi="Arial" w:cs="Arial"/>
          <w:sz w:val="30"/>
          <w:szCs w:val="30"/>
        </w:rPr>
        <w:t>理财信息可供参考，详情请咨询理财经理，或在</w:t>
      </w:r>
      <w:r w:rsidRPr="00056F9E">
        <w:rPr>
          <w:rFonts w:ascii="Arial" w:eastAsia="宋体" w:hAnsi="Arial" w:cs="Arial"/>
          <w:sz w:val="30"/>
          <w:szCs w:val="30"/>
        </w:rPr>
        <w:t>“</w:t>
      </w:r>
      <w:r w:rsidRPr="00056F9E">
        <w:rPr>
          <w:rFonts w:ascii="Arial" w:eastAsia="宋体" w:hAnsi="Arial" w:cs="Arial"/>
          <w:sz w:val="30"/>
          <w:szCs w:val="30"/>
        </w:rPr>
        <w:t>中国理财网（</w:t>
      </w:r>
      <w:r w:rsidRPr="00056F9E">
        <w:rPr>
          <w:rFonts w:ascii="Arial" w:eastAsia="宋体" w:hAnsi="Arial" w:cs="Arial"/>
          <w:sz w:val="30"/>
          <w:szCs w:val="30"/>
        </w:rPr>
        <w:t>www.chinawealth.com.cn</w:t>
      </w:r>
      <w:r w:rsidRPr="00056F9E">
        <w:rPr>
          <w:rFonts w:ascii="Arial" w:eastAsia="宋体" w:hAnsi="Arial" w:cs="Arial"/>
          <w:sz w:val="30"/>
          <w:szCs w:val="30"/>
        </w:rPr>
        <w:t>）</w:t>
      </w:r>
      <w:r w:rsidRPr="00056F9E">
        <w:rPr>
          <w:rFonts w:ascii="Arial" w:eastAsia="宋体" w:hAnsi="Arial" w:cs="Arial"/>
          <w:sz w:val="30"/>
          <w:szCs w:val="30"/>
        </w:rPr>
        <w:t>”</w:t>
      </w:r>
      <w:r w:rsidRPr="00056F9E">
        <w:rPr>
          <w:rFonts w:ascii="Arial" w:eastAsia="宋体" w:hAnsi="Arial" w:cs="Arial"/>
          <w:sz w:val="30"/>
          <w:szCs w:val="30"/>
        </w:rPr>
        <w:t>查询该产品相关信息。</w:t>
      </w:r>
    </w:p>
    <w:p w:rsidR="000B0E81" w:rsidRPr="00056F9E" w:rsidRDefault="000B0E81" w:rsidP="000B0E81">
      <w:pPr>
        <w:pStyle w:val="a6"/>
        <w:ind w:left="510" w:firstLineChars="0" w:firstLine="0"/>
        <w:rPr>
          <w:rFonts w:ascii="Arial" w:eastAsia="宋体" w:hAnsi="Arial" w:cs="Arial"/>
          <w:sz w:val="30"/>
          <w:szCs w:val="30"/>
        </w:rPr>
      </w:pPr>
      <w:r w:rsidRPr="00056F9E">
        <w:rPr>
          <w:rFonts w:ascii="Arial" w:eastAsia="宋体" w:hAnsi="Arial" w:cs="Arial"/>
          <w:sz w:val="30"/>
          <w:szCs w:val="30"/>
        </w:rPr>
        <w:t>3.</w:t>
      </w:r>
      <w:r w:rsidRPr="00056F9E">
        <w:rPr>
          <w:rFonts w:ascii="Arial" w:eastAsia="宋体" w:hAnsi="Arial" w:cs="Arial"/>
          <w:sz w:val="30"/>
          <w:szCs w:val="30"/>
        </w:rPr>
        <w:t>兴业银行保留对所有文字说明的最终解释权。</w:t>
      </w:r>
    </w:p>
    <w:p w:rsidR="000B0E81" w:rsidRPr="00056F9E" w:rsidRDefault="000B0E81" w:rsidP="000B0E81">
      <w:pPr>
        <w:pStyle w:val="a6"/>
        <w:ind w:left="510" w:firstLineChars="0" w:firstLine="0"/>
        <w:rPr>
          <w:rFonts w:ascii="Arial" w:hAnsi="Arial" w:cs="Arial"/>
          <w:b/>
          <w:sz w:val="30"/>
          <w:szCs w:val="30"/>
        </w:rPr>
      </w:pPr>
    </w:p>
    <w:p w:rsidR="001E617F" w:rsidRPr="00056F9E" w:rsidRDefault="001E617F" w:rsidP="00D165C4">
      <w:pPr>
        <w:pStyle w:val="a6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3" w:name="_Toc6326722"/>
      <w:r w:rsidRPr="00056F9E">
        <w:rPr>
          <w:rFonts w:ascii="Arial" w:cs="Arial"/>
          <w:b/>
          <w:sz w:val="30"/>
          <w:szCs w:val="30"/>
        </w:rPr>
        <w:t>产品基本信息</w:t>
      </w:r>
      <w:bookmarkEnd w:id="3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1A646A" w:rsidRPr="00056F9E" w:rsidTr="00CC40FF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6A" w:rsidRPr="00056F9E" w:rsidRDefault="001A646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46A" w:rsidRPr="00056F9E" w:rsidRDefault="00531DB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“</w:t>
            </w:r>
            <w:r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万利宝</w:t>
            </w:r>
            <w:r w:rsidRPr="00056F9E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-</w:t>
            </w:r>
            <w:r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聚利</w:t>
            </w:r>
            <w:r w:rsidRPr="00056F9E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”2018</w:t>
            </w:r>
            <w:r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年第</w:t>
            </w:r>
            <w:r w:rsidRPr="00056F9E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8</w:t>
            </w:r>
            <w:r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期</w:t>
            </w:r>
            <w:r w:rsidR="001A646A"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净值型理财产品</w:t>
            </w:r>
          </w:p>
        </w:tc>
      </w:tr>
      <w:tr w:rsidR="001A646A" w:rsidRPr="00056F9E" w:rsidTr="00CC40FF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6A" w:rsidRPr="004D443D" w:rsidRDefault="001A646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46A" w:rsidRPr="004D443D" w:rsidRDefault="00531DB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D443D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9K118008</w:t>
            </w:r>
          </w:p>
        </w:tc>
      </w:tr>
      <w:tr w:rsidR="001A646A" w:rsidRPr="00056F9E" w:rsidTr="00CC40FF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6A" w:rsidRPr="004D443D" w:rsidRDefault="001A646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46A" w:rsidRPr="004D443D" w:rsidRDefault="00531DB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D443D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C1030918000774</w:t>
            </w:r>
          </w:p>
        </w:tc>
      </w:tr>
      <w:tr w:rsidR="001A646A" w:rsidRPr="00056F9E" w:rsidTr="00CC40FF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6A" w:rsidRPr="004D443D" w:rsidRDefault="001A646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46A" w:rsidRPr="004D443D" w:rsidRDefault="00531DB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封闭</w:t>
            </w:r>
            <w:r w:rsidR="001A646A"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式</w:t>
            </w:r>
          </w:p>
        </w:tc>
      </w:tr>
      <w:tr w:rsidR="001A646A" w:rsidRPr="00056F9E" w:rsidTr="00CC40FF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6A" w:rsidRPr="004D443D" w:rsidRDefault="001A646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46A" w:rsidRPr="004D443D" w:rsidRDefault="001E617F" w:rsidP="001E617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D443D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1.9198</w:t>
            </w:r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亿</w:t>
            </w:r>
            <w:r w:rsidR="001A646A"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份</w:t>
            </w:r>
            <w:r w:rsidR="001A646A" w:rsidRPr="004D443D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 xml:space="preserve"> </w:t>
            </w:r>
          </w:p>
        </w:tc>
      </w:tr>
      <w:tr w:rsidR="001A646A" w:rsidRPr="00056F9E" w:rsidTr="00CC40FF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6A" w:rsidRPr="00056F9E" w:rsidRDefault="001A646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lastRenderedPageBreak/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46A" w:rsidRPr="00056F9E" w:rsidRDefault="001A646A" w:rsidP="00531DBA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本产品</w:t>
            </w:r>
            <w:r w:rsidR="00531DBA"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投资于西部信托创设的信托计划，信托计划用于向底层资产融资人</w:t>
            </w:r>
            <w:r w:rsidR="00531DBA" w:rsidRPr="00056F9E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“</w:t>
            </w:r>
            <w:r w:rsidR="00531DBA"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山西兰花科技创业股份有限公司</w:t>
            </w:r>
            <w:r w:rsidR="00531DBA" w:rsidRPr="00056F9E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”</w:t>
            </w:r>
            <w:r w:rsidR="00531DBA"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发放信托贷款</w:t>
            </w:r>
            <w:r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。</w:t>
            </w:r>
          </w:p>
        </w:tc>
      </w:tr>
      <w:tr w:rsidR="001A646A" w:rsidRPr="00056F9E" w:rsidTr="00CC40FF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6A" w:rsidRPr="004D443D" w:rsidRDefault="001A646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投资理念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46A" w:rsidRPr="004D443D" w:rsidRDefault="001A646A" w:rsidP="004D443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本产品在严格控制风险的前提下，通过对</w:t>
            </w:r>
            <w:r w:rsid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国内外宏观经济、政策环境、市场利率走势和资金供求的深入分析，</w:t>
            </w:r>
            <w:r w:rsidR="004D443D">
              <w:rPr>
                <w:rFonts w:ascii="Arial" w:eastAsia="宋体" w:hAnsi="宋体" w:cs="Arial" w:hint="eastAsia"/>
                <w:b/>
                <w:color w:val="000000"/>
                <w:kern w:val="0"/>
                <w:sz w:val="22"/>
              </w:rPr>
              <w:t>对信用主体</w:t>
            </w:r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信用风险、流动性风险、利率风险进行分析</w:t>
            </w:r>
            <w:proofErr w:type="gramStart"/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研</w:t>
            </w:r>
            <w:proofErr w:type="gramEnd"/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判，力争获取超额收益。</w:t>
            </w:r>
          </w:p>
        </w:tc>
      </w:tr>
      <w:tr w:rsidR="001A646A" w:rsidRPr="004D443D" w:rsidTr="00CC40FF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6A" w:rsidRPr="004D443D" w:rsidRDefault="001A646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46A" w:rsidRPr="004D443D" w:rsidRDefault="004D443D" w:rsidP="004D443D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本产品将采取利率策略、信用策略，</w:t>
            </w:r>
            <w:r w:rsidRPr="004D443D">
              <w:rPr>
                <w:rFonts w:ascii="Arial" w:eastAsia="宋体" w:hAnsi="宋体" w:cs="Arial" w:hint="eastAsia"/>
                <w:b/>
                <w:color w:val="000000"/>
                <w:kern w:val="0"/>
                <w:sz w:val="22"/>
              </w:rPr>
              <w:t>通过对国内宏观经济环境、周期性行业及市场供需情况进行分析及预判，以获取超额收益。</w:t>
            </w:r>
          </w:p>
        </w:tc>
      </w:tr>
      <w:tr w:rsidR="001A646A" w:rsidRPr="00056F9E" w:rsidTr="00CC40FF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6A" w:rsidRPr="00056F9E" w:rsidRDefault="001A646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业绩比较基准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46A" w:rsidRPr="00056F9E" w:rsidRDefault="00531DBA" w:rsidP="00531DBA">
            <w:pPr>
              <w:pStyle w:val="Default"/>
              <w:rPr>
                <w:rFonts w:ascii="Arial" w:eastAsia="宋体" w:hAnsi="Arial" w:cs="Arial"/>
                <w:b/>
                <w:sz w:val="22"/>
                <w:szCs w:val="22"/>
              </w:rPr>
            </w:pPr>
            <w:r w:rsidRPr="00056F9E">
              <w:rPr>
                <w:rFonts w:ascii="Arial" w:eastAsia="宋体" w:cs="Arial"/>
                <w:b/>
                <w:sz w:val="22"/>
                <w:szCs w:val="22"/>
              </w:rPr>
              <w:t>兴业银行一年期定期存款利率</w:t>
            </w:r>
            <w:r w:rsidRPr="00056F9E">
              <w:rPr>
                <w:rFonts w:ascii="Arial" w:eastAsia="宋体" w:hAnsi="Arial" w:cs="Arial"/>
                <w:b/>
                <w:sz w:val="22"/>
                <w:szCs w:val="22"/>
              </w:rPr>
              <w:t>(1.95%)+3.15%</w:t>
            </w:r>
            <w:r w:rsidR="001A646A" w:rsidRPr="00056F9E">
              <w:rPr>
                <w:rFonts w:ascii="Arial" w:eastAsia="宋体" w:cs="Arial"/>
                <w:b/>
                <w:sz w:val="22"/>
                <w:szCs w:val="22"/>
              </w:rPr>
              <w:t>，即【</w:t>
            </w:r>
            <w:r w:rsidR="001A646A" w:rsidRPr="00056F9E">
              <w:rPr>
                <w:rFonts w:ascii="Arial" w:eastAsia="宋体" w:hAnsi="Arial" w:cs="Arial"/>
                <w:b/>
                <w:sz w:val="22"/>
                <w:szCs w:val="22"/>
              </w:rPr>
              <w:t>5</w:t>
            </w:r>
            <w:r w:rsidRPr="00056F9E">
              <w:rPr>
                <w:rFonts w:ascii="Arial" w:eastAsia="宋体" w:hAnsi="Arial" w:cs="Arial"/>
                <w:b/>
                <w:sz w:val="22"/>
                <w:szCs w:val="22"/>
              </w:rPr>
              <w:t>.1</w:t>
            </w:r>
            <w:r w:rsidR="001A646A" w:rsidRPr="00056F9E">
              <w:rPr>
                <w:rFonts w:ascii="Arial" w:eastAsia="宋体" w:hAnsi="Arial" w:cs="Arial"/>
                <w:b/>
                <w:sz w:val="22"/>
                <w:szCs w:val="22"/>
              </w:rPr>
              <w:t>%</w:t>
            </w:r>
            <w:r w:rsidR="001A646A" w:rsidRPr="00056F9E">
              <w:rPr>
                <w:rFonts w:ascii="Arial" w:eastAsia="宋体" w:cs="Arial"/>
                <w:b/>
                <w:sz w:val="22"/>
                <w:szCs w:val="22"/>
              </w:rPr>
              <w:t>】</w:t>
            </w:r>
          </w:p>
        </w:tc>
      </w:tr>
      <w:tr w:rsidR="001A646A" w:rsidRPr="00056F9E" w:rsidTr="00CC40FF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6A" w:rsidRPr="004D443D" w:rsidRDefault="001A646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46A" w:rsidRPr="004D443D" w:rsidRDefault="001A646A" w:rsidP="00531DBA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本产品具有</w:t>
            </w:r>
            <w:r w:rsidR="004D443D" w:rsidRPr="004D443D">
              <w:rPr>
                <w:rFonts w:ascii="Arial" w:eastAsia="宋体" w:hAnsi="宋体" w:cs="Arial" w:hint="eastAsia"/>
                <w:b/>
                <w:color w:val="000000"/>
                <w:kern w:val="0"/>
                <w:sz w:val="22"/>
              </w:rPr>
              <w:t>低</w:t>
            </w:r>
            <w:r w:rsidRPr="004D443D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风险、高稳定性的特征。</w:t>
            </w:r>
          </w:p>
        </w:tc>
      </w:tr>
      <w:tr w:rsidR="001A646A" w:rsidRPr="00056F9E" w:rsidTr="00CC40FF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6A" w:rsidRPr="00056F9E" w:rsidRDefault="001A646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46A" w:rsidRPr="00056F9E" w:rsidRDefault="001A646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1A646A" w:rsidRPr="00056F9E" w:rsidTr="00CC40FF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6A" w:rsidRPr="00056F9E" w:rsidRDefault="001A646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46A" w:rsidRPr="00056F9E" w:rsidRDefault="001A646A" w:rsidP="00CC40F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宋体" w:cs="Arial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</w:tbl>
    <w:p w:rsidR="001A646A" w:rsidRPr="00056F9E" w:rsidRDefault="001A646A" w:rsidP="001A646A">
      <w:pPr>
        <w:rPr>
          <w:rFonts w:ascii="Arial" w:hAnsi="Arial" w:cs="Arial"/>
          <w:sz w:val="30"/>
          <w:szCs w:val="30"/>
        </w:rPr>
      </w:pPr>
    </w:p>
    <w:p w:rsidR="001A646A" w:rsidRPr="00056F9E" w:rsidRDefault="001A646A" w:rsidP="00D165C4">
      <w:pPr>
        <w:pStyle w:val="a6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4" w:name="_Toc6326723"/>
      <w:r w:rsidRPr="00056F9E">
        <w:rPr>
          <w:rFonts w:ascii="Arial" w:cs="Arial"/>
          <w:b/>
          <w:sz w:val="30"/>
          <w:szCs w:val="30"/>
        </w:rPr>
        <w:t>产品</w:t>
      </w:r>
      <w:r w:rsidR="004A6AE6" w:rsidRPr="00056F9E">
        <w:rPr>
          <w:rFonts w:ascii="Arial" w:cs="Arial"/>
          <w:b/>
          <w:sz w:val="30"/>
          <w:szCs w:val="30"/>
        </w:rPr>
        <w:t>收益表现</w:t>
      </w:r>
      <w:bookmarkEnd w:id="4"/>
    </w:p>
    <w:p w:rsidR="001A646A" w:rsidRPr="00056F9E" w:rsidRDefault="001E617F" w:rsidP="001A646A">
      <w:pPr>
        <w:ind w:firstLineChars="189" w:firstLine="567"/>
        <w:rPr>
          <w:rFonts w:ascii="Arial" w:eastAsia="宋体" w:hAnsi="Arial" w:cs="Arial"/>
          <w:sz w:val="30"/>
          <w:szCs w:val="30"/>
        </w:rPr>
      </w:pPr>
      <w:r w:rsidRPr="00056F9E">
        <w:rPr>
          <w:rFonts w:ascii="Arial" w:eastAsia="宋体" w:hAnsi="宋体" w:cs="Arial"/>
          <w:sz w:val="30"/>
          <w:szCs w:val="30"/>
        </w:rPr>
        <w:t>产品</w:t>
      </w:r>
      <w:r w:rsidR="001A646A" w:rsidRPr="00056F9E">
        <w:rPr>
          <w:rFonts w:ascii="Arial" w:eastAsia="宋体" w:hAnsi="宋体" w:cs="Arial"/>
          <w:sz w:val="30"/>
          <w:szCs w:val="30"/>
        </w:rPr>
        <w:t>成立以来</w:t>
      </w:r>
      <w:r w:rsidRPr="00056F9E">
        <w:rPr>
          <w:rFonts w:ascii="Arial" w:eastAsia="宋体" w:hAnsi="宋体" w:cs="Arial"/>
          <w:sz w:val="30"/>
          <w:szCs w:val="30"/>
        </w:rPr>
        <w:t>，</w:t>
      </w:r>
      <w:proofErr w:type="gramStart"/>
      <w:r w:rsidR="00995B97" w:rsidRPr="00056F9E">
        <w:rPr>
          <w:rFonts w:ascii="Arial" w:eastAsia="宋体" w:hAnsi="宋体" w:cs="Arial"/>
          <w:sz w:val="30"/>
          <w:szCs w:val="30"/>
        </w:rPr>
        <w:t>年化</w:t>
      </w:r>
      <w:r w:rsidR="005523D8" w:rsidRPr="00056F9E">
        <w:rPr>
          <w:rFonts w:ascii="Arial" w:eastAsia="宋体" w:hAnsi="宋体" w:cs="Arial"/>
          <w:sz w:val="30"/>
          <w:szCs w:val="30"/>
        </w:rPr>
        <w:t>收益率</w:t>
      </w:r>
      <w:proofErr w:type="gramEnd"/>
      <w:r w:rsidR="001A646A" w:rsidRPr="00056F9E">
        <w:rPr>
          <w:rFonts w:ascii="Arial" w:eastAsia="宋体" w:hAnsi="宋体" w:cs="Arial"/>
          <w:sz w:val="30"/>
          <w:szCs w:val="30"/>
        </w:rPr>
        <w:t>率</w:t>
      </w:r>
      <w:r w:rsidR="00995B97" w:rsidRPr="00056F9E">
        <w:rPr>
          <w:rFonts w:ascii="Arial" w:eastAsia="宋体" w:hAnsi="宋体" w:cs="Arial"/>
          <w:sz w:val="30"/>
          <w:szCs w:val="30"/>
        </w:rPr>
        <w:t>为</w:t>
      </w:r>
      <w:r w:rsidRPr="00056F9E">
        <w:rPr>
          <w:rFonts w:ascii="Arial" w:eastAsia="宋体" w:hAnsi="Arial" w:cs="Arial"/>
          <w:sz w:val="30"/>
          <w:szCs w:val="30"/>
        </w:rPr>
        <w:t>5.11</w:t>
      </w:r>
      <w:r w:rsidR="00E638B2" w:rsidRPr="00056F9E">
        <w:rPr>
          <w:rFonts w:ascii="Arial" w:eastAsia="宋体" w:hAnsi="Arial" w:cs="Arial"/>
          <w:sz w:val="30"/>
          <w:szCs w:val="30"/>
        </w:rPr>
        <w:t>%</w:t>
      </w:r>
      <w:r w:rsidRPr="00056F9E">
        <w:rPr>
          <w:rFonts w:ascii="Arial" w:eastAsia="宋体" w:hAnsi="宋体" w:cs="Arial"/>
          <w:sz w:val="30"/>
          <w:szCs w:val="30"/>
        </w:rPr>
        <w:t>，达到业绩比较基准。</w:t>
      </w:r>
    </w:p>
    <w:p w:rsidR="000B0E81" w:rsidRPr="00056F9E" w:rsidRDefault="000B0E81" w:rsidP="000B0E81">
      <w:pPr>
        <w:ind w:left="147" w:firstLine="420"/>
        <w:rPr>
          <w:rFonts w:ascii="Arial" w:eastAsia="宋体" w:hAnsi="Arial" w:cs="Arial"/>
          <w:sz w:val="30"/>
          <w:szCs w:val="30"/>
        </w:rPr>
      </w:pPr>
      <w:r w:rsidRPr="00056F9E">
        <w:rPr>
          <w:rFonts w:ascii="Arial" w:eastAsia="宋体" w:hAnsi="Arial" w:cs="Arial"/>
          <w:sz w:val="30"/>
          <w:szCs w:val="30"/>
        </w:rPr>
        <w:t>报告期末，产品净值表现具体如下：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48"/>
        <w:gridCol w:w="1680"/>
        <w:gridCol w:w="1976"/>
      </w:tblGrid>
      <w:tr w:rsidR="000B0E81" w:rsidRPr="00056F9E" w:rsidTr="00AE318E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E81" w:rsidRPr="00056F9E" w:rsidRDefault="000B0E81" w:rsidP="00AE318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E81" w:rsidRPr="00056F9E" w:rsidRDefault="000B0E81" w:rsidP="00AE318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E81" w:rsidRPr="00056F9E" w:rsidRDefault="000B0E81" w:rsidP="00AE318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E81" w:rsidRPr="00056F9E" w:rsidRDefault="000B0E81" w:rsidP="00AE318E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0B0E81" w:rsidRPr="00056F9E" w:rsidTr="00AE318E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E81" w:rsidRPr="00056F9E" w:rsidRDefault="000B0E81" w:rsidP="00AE31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Arial" w:cs="Arial"/>
                <w:color w:val="000000"/>
                <w:kern w:val="0"/>
                <w:sz w:val="22"/>
              </w:rPr>
              <w:t>2019/3/29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E81" w:rsidRPr="00056F9E" w:rsidRDefault="000B0E81" w:rsidP="00AE31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Arial" w:cs="Arial"/>
                <w:color w:val="000000"/>
                <w:kern w:val="0"/>
                <w:sz w:val="22"/>
              </w:rPr>
              <w:t>1.01609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E81" w:rsidRPr="00056F9E" w:rsidRDefault="000B0E81" w:rsidP="00AE31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Arial" w:cs="Arial"/>
                <w:color w:val="000000"/>
                <w:kern w:val="0"/>
                <w:sz w:val="22"/>
              </w:rPr>
              <w:t>1.01609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E81" w:rsidRPr="00056F9E" w:rsidRDefault="000B0E81" w:rsidP="00AE318E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Arial" w:cs="Arial"/>
                <w:color w:val="000000"/>
                <w:kern w:val="0"/>
                <w:sz w:val="22"/>
              </w:rPr>
              <w:t>195,069,565.83</w:t>
            </w:r>
          </w:p>
        </w:tc>
      </w:tr>
    </w:tbl>
    <w:p w:rsidR="000B0E81" w:rsidRPr="00056F9E" w:rsidRDefault="000B0E81" w:rsidP="001A646A">
      <w:pPr>
        <w:ind w:firstLineChars="189" w:firstLine="567"/>
        <w:rPr>
          <w:rFonts w:ascii="Arial" w:eastAsia="宋体" w:hAnsi="Arial" w:cs="Arial"/>
          <w:sz w:val="30"/>
          <w:szCs w:val="30"/>
          <w:highlight w:val="yellow"/>
        </w:rPr>
      </w:pPr>
    </w:p>
    <w:p w:rsidR="001A646A" w:rsidRPr="00056F9E" w:rsidRDefault="001A646A" w:rsidP="00D165C4">
      <w:pPr>
        <w:pStyle w:val="a6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5" w:name="_Toc6326724"/>
      <w:r w:rsidRPr="00056F9E">
        <w:rPr>
          <w:rFonts w:ascii="Arial" w:cs="Arial"/>
          <w:b/>
          <w:sz w:val="30"/>
          <w:szCs w:val="30"/>
        </w:rPr>
        <w:t>报告期内产品的投资策略和运作分析</w:t>
      </w:r>
      <w:bookmarkEnd w:id="5"/>
    </w:p>
    <w:p w:rsidR="00BB4F9F" w:rsidRPr="00056F9E" w:rsidRDefault="00531DBA" w:rsidP="00BB4F9F">
      <w:pPr>
        <w:spacing w:line="360" w:lineRule="auto"/>
        <w:ind w:firstLineChars="200" w:firstLine="600"/>
        <w:rPr>
          <w:rFonts w:ascii="Arial" w:eastAsia="宋体" w:hAnsi="Arial" w:cs="Arial"/>
          <w:color w:val="000000"/>
          <w:kern w:val="0"/>
          <w:sz w:val="30"/>
          <w:szCs w:val="30"/>
        </w:rPr>
      </w:pP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本产品投资于西部信托创设的信托计划，信托计划用于向底层资产融资人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“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山西兰花科技创业股份有限公司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”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发放信托贷款。</w:t>
      </w:r>
      <w:r w:rsidR="00BB4F9F"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山西兰花科技创业股份有限公司是山西省首家煤炭类上市公司和</w:t>
      </w:r>
      <w:proofErr w:type="gramStart"/>
      <w:r w:rsidR="00BB4F9F"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晋城市</w:t>
      </w:r>
      <w:proofErr w:type="gramEnd"/>
      <w:r w:rsidR="00BB4F9F"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唯一的上市公司，经过几年的快速发展，已由一个单一的煤炭企业发展成为以煤炭开采为主，集煤炭、化肥、精细煤化工等多元产业于一体的现代化企业。</w:t>
      </w:r>
    </w:p>
    <w:p w:rsidR="00BB4F9F" w:rsidRPr="00056F9E" w:rsidRDefault="00BB4F9F" w:rsidP="00BB4F9F">
      <w:pPr>
        <w:spacing w:line="360" w:lineRule="auto"/>
        <w:ind w:firstLineChars="200" w:firstLine="600"/>
        <w:rPr>
          <w:rFonts w:ascii="Arial" w:eastAsia="宋体" w:hAnsi="Arial" w:cs="Arial"/>
          <w:color w:val="000000"/>
          <w:kern w:val="0"/>
          <w:sz w:val="30"/>
          <w:szCs w:val="30"/>
        </w:rPr>
      </w:pP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该公司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2018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年的主要经营目标：实现煤炭产量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804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万吨，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lastRenderedPageBreak/>
        <w:t>尿素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 xml:space="preserve">96 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万吨，二甲醚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25.5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万吨，己内酰胺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10.5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万吨，产销基本平衡；实现销售收入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85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亿元，实现利润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8.5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亿元；安全环保实现平稳运行</w:t>
      </w:r>
      <w:r w:rsidRPr="00056F9E">
        <w:rPr>
          <w:rFonts w:ascii="Arial" w:hAnsi="Arial" w:cs="Arial"/>
          <w:color w:val="000000"/>
          <w:kern w:val="0"/>
          <w:szCs w:val="21"/>
        </w:rPr>
        <w:t>。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2018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年在煤炭市场稳步运作的情况下，</w:t>
      </w:r>
      <w:r w:rsidR="002F4B5C"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公司紧紧抓住主导产品价格上涨的有利契机，严守安全和环保两条红线，持续深化管理创新，提升规范运作水平，科学高效组织生产，严格控制成本费用支出，积极推进重点工程项目建设，企业经营发展总体保持平稳健康运行，呈现稳中向好、稳中提质的高质量发展态势，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截止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2018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年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9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月末（上市公司未对外公司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2018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年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12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月末数据），申请人总资产达到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2522402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万元，总负债达到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1456416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万元，营业利润达到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117691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万元，净利润达到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89262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万元，资产负债率达到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57.74%</w:t>
      </w:r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。整体负债</w:t>
      </w:r>
      <w:proofErr w:type="gramStart"/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率规模</w:t>
      </w:r>
      <w:proofErr w:type="gramEnd"/>
      <w:r w:rsidRPr="00056F9E">
        <w:rPr>
          <w:rFonts w:ascii="Arial" w:eastAsia="宋体" w:hAnsi="Arial" w:cs="Arial"/>
          <w:color w:val="000000"/>
          <w:kern w:val="0"/>
          <w:sz w:val="30"/>
          <w:szCs w:val="30"/>
        </w:rPr>
        <w:t>较同行业水平较低，财务杠杆水平尚合理。</w:t>
      </w:r>
    </w:p>
    <w:p w:rsidR="000079EE" w:rsidRPr="00056F9E" w:rsidRDefault="000079EE" w:rsidP="001A646A">
      <w:pPr>
        <w:rPr>
          <w:rFonts w:ascii="Arial" w:hAnsi="Arial" w:cs="Arial"/>
          <w:sz w:val="30"/>
          <w:szCs w:val="30"/>
        </w:rPr>
      </w:pPr>
    </w:p>
    <w:p w:rsidR="00995B97" w:rsidRPr="00056F9E" w:rsidRDefault="00995B97" w:rsidP="00D165C4">
      <w:pPr>
        <w:pStyle w:val="a6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6" w:name="_Toc5874821"/>
      <w:bookmarkStart w:id="7" w:name="_Toc6326725"/>
      <w:r w:rsidRPr="00056F9E">
        <w:rPr>
          <w:rFonts w:ascii="Arial" w:hAnsi="Arial" w:cs="Arial"/>
          <w:b/>
          <w:sz w:val="30"/>
          <w:szCs w:val="30"/>
        </w:rPr>
        <w:t>2019</w:t>
      </w:r>
      <w:r w:rsidRPr="00056F9E">
        <w:rPr>
          <w:rFonts w:ascii="Arial" w:cs="Arial"/>
          <w:b/>
          <w:sz w:val="30"/>
          <w:szCs w:val="30"/>
        </w:rPr>
        <w:t>年第</w:t>
      </w:r>
      <w:r w:rsidRPr="00056F9E">
        <w:rPr>
          <w:rFonts w:ascii="Arial" w:hAnsi="Arial" w:cs="Arial"/>
          <w:b/>
          <w:sz w:val="30"/>
          <w:szCs w:val="30"/>
        </w:rPr>
        <w:t>1</w:t>
      </w:r>
      <w:r w:rsidRPr="00056F9E">
        <w:rPr>
          <w:rFonts w:ascii="Arial" w:cs="Arial"/>
          <w:b/>
          <w:sz w:val="30"/>
          <w:szCs w:val="30"/>
        </w:rPr>
        <w:t>季度财务会计报告</w:t>
      </w:r>
      <w:bookmarkEnd w:id="6"/>
      <w:bookmarkEnd w:id="7"/>
    </w:p>
    <w:p w:rsidR="00995B97" w:rsidRPr="00056F9E" w:rsidRDefault="00995B97" w:rsidP="00995B97">
      <w:pPr>
        <w:pStyle w:val="a6"/>
        <w:numPr>
          <w:ilvl w:val="0"/>
          <w:numId w:val="3"/>
        </w:numPr>
        <w:ind w:firstLineChars="0"/>
        <w:outlineLvl w:val="1"/>
        <w:rPr>
          <w:rFonts w:ascii="Arial" w:eastAsia="宋体" w:hAnsi="Arial" w:cs="Arial"/>
          <w:b/>
          <w:sz w:val="30"/>
          <w:szCs w:val="30"/>
        </w:rPr>
      </w:pPr>
      <w:bookmarkStart w:id="8" w:name="_Toc535326255"/>
      <w:bookmarkStart w:id="9" w:name="_Toc5874822"/>
      <w:bookmarkStart w:id="10" w:name="_Toc6326726"/>
      <w:r w:rsidRPr="00056F9E">
        <w:rPr>
          <w:rFonts w:ascii="Arial" w:eastAsia="宋体" w:hAnsi="Arial" w:cs="Arial"/>
          <w:b/>
          <w:sz w:val="30"/>
          <w:szCs w:val="30"/>
        </w:rPr>
        <w:t>资产负债表</w:t>
      </w:r>
      <w:bookmarkEnd w:id="8"/>
      <w:bookmarkEnd w:id="9"/>
      <w:bookmarkEnd w:id="10"/>
    </w:p>
    <w:p w:rsidR="00995B97" w:rsidRPr="00056F9E" w:rsidRDefault="00995B97" w:rsidP="00995B97">
      <w:pPr>
        <w:pStyle w:val="a6"/>
        <w:ind w:left="108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056F9E">
        <w:rPr>
          <w:rFonts w:ascii="Arial" w:eastAsia="宋体" w:hAnsi="Arial" w:cs="Arial"/>
          <w:sz w:val="22"/>
        </w:rPr>
        <w:t>会计主体：</w:t>
      </w:r>
      <w:r w:rsidRPr="00056F9E">
        <w:rPr>
          <w:rFonts w:ascii="Arial" w:eastAsia="宋体" w:hAnsi="Arial" w:cs="Arial"/>
          <w:sz w:val="22"/>
        </w:rPr>
        <w:t>“</w:t>
      </w:r>
      <w:r w:rsidRPr="00056F9E">
        <w:rPr>
          <w:rFonts w:ascii="Arial" w:eastAsia="宋体" w:hAnsi="Arial" w:cs="Arial"/>
          <w:sz w:val="22"/>
        </w:rPr>
        <w:t>万利宝</w:t>
      </w:r>
      <w:r w:rsidRPr="00056F9E">
        <w:rPr>
          <w:rFonts w:ascii="Arial" w:eastAsia="宋体" w:hAnsi="Arial" w:cs="Arial"/>
          <w:sz w:val="22"/>
        </w:rPr>
        <w:t>-</w:t>
      </w:r>
      <w:r w:rsidRPr="00056F9E">
        <w:rPr>
          <w:rFonts w:ascii="Arial" w:eastAsia="宋体" w:hAnsi="Arial" w:cs="Arial"/>
          <w:sz w:val="22"/>
        </w:rPr>
        <w:t>聚利</w:t>
      </w:r>
      <w:r w:rsidRPr="00056F9E">
        <w:rPr>
          <w:rFonts w:ascii="Arial" w:eastAsia="宋体" w:hAnsi="Arial" w:cs="Arial"/>
          <w:sz w:val="22"/>
        </w:rPr>
        <w:t>”2018</w:t>
      </w:r>
      <w:r w:rsidRPr="00056F9E">
        <w:rPr>
          <w:rFonts w:ascii="Arial" w:eastAsia="宋体" w:hAnsi="Arial" w:cs="Arial"/>
          <w:sz w:val="22"/>
        </w:rPr>
        <w:t>年第</w:t>
      </w:r>
      <w:r w:rsidRPr="00056F9E">
        <w:rPr>
          <w:rFonts w:ascii="Arial" w:eastAsia="宋体" w:hAnsi="Arial" w:cs="Arial"/>
          <w:sz w:val="22"/>
        </w:rPr>
        <w:t>8</w:t>
      </w:r>
      <w:r w:rsidRPr="00056F9E">
        <w:rPr>
          <w:rFonts w:ascii="Arial" w:eastAsia="宋体" w:hAnsi="Arial" w:cs="Arial"/>
          <w:sz w:val="22"/>
        </w:rPr>
        <w:t>期净值型理财产品</w:t>
      </w:r>
    </w:p>
    <w:p w:rsidR="00995B97" w:rsidRPr="00056F9E" w:rsidRDefault="00995B97" w:rsidP="00995B97">
      <w:pPr>
        <w:pStyle w:val="a6"/>
        <w:ind w:left="1080" w:firstLineChars="0" w:firstLine="0"/>
        <w:rPr>
          <w:rFonts w:ascii="Arial" w:eastAsia="宋体" w:hAnsi="Arial" w:cs="Arial"/>
          <w:color w:val="000000"/>
          <w:kern w:val="0"/>
          <w:sz w:val="22"/>
        </w:rPr>
      </w:pPr>
      <w:r w:rsidRPr="00056F9E">
        <w:rPr>
          <w:rFonts w:ascii="Arial" w:eastAsia="宋体" w:hAnsi="Arial" w:cs="Arial"/>
          <w:color w:val="000000"/>
          <w:kern w:val="0"/>
          <w:sz w:val="22"/>
        </w:rPr>
        <w:t>报告截止日：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2019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年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3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月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31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日</w:t>
      </w:r>
    </w:p>
    <w:tbl>
      <w:tblPr>
        <w:tblW w:w="9040" w:type="dxa"/>
        <w:jc w:val="center"/>
        <w:tblInd w:w="93" w:type="dxa"/>
        <w:tblLook w:val="04A0"/>
      </w:tblPr>
      <w:tblGrid>
        <w:gridCol w:w="1063"/>
        <w:gridCol w:w="1607"/>
        <w:gridCol w:w="1607"/>
        <w:gridCol w:w="1549"/>
        <w:gridCol w:w="1607"/>
        <w:gridCol w:w="1607"/>
      </w:tblGrid>
      <w:tr w:rsidR="00995B97" w:rsidRPr="00995B97" w:rsidTr="00995B97">
        <w:trPr>
          <w:trHeight w:val="28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资产负债表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报表类型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日报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报表日期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2019-03-31</w:t>
            </w:r>
          </w:p>
        </w:tc>
      </w:tr>
      <w:tr w:rsidR="00995B97" w:rsidRPr="00995B97" w:rsidTr="00995B97">
        <w:trPr>
          <w:trHeight w:val="51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机构名称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理财产品代码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9K118008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理财产品名称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万利宝聚利</w:t>
            </w: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年</w:t>
            </w:r>
            <w:proofErr w:type="gramEnd"/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第</w:t>
            </w: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期</w:t>
            </w: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比较基准</w:t>
            </w: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5.10%)</w:t>
            </w:r>
          </w:p>
        </w:tc>
      </w:tr>
      <w:tr w:rsidR="00995B97" w:rsidRPr="00995B97" w:rsidTr="00995B97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币种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人民币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95B97" w:rsidRPr="00995B97" w:rsidTr="00995B97">
        <w:trPr>
          <w:trHeight w:val="6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期末余额</w:t>
            </w:r>
            <w:r w:rsidRPr="00995B97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(2019</w:t>
            </w: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995B97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</w:t>
            </w: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995B97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期初余额（</w:t>
            </w:r>
            <w:r w:rsidRPr="00995B97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2018</w:t>
            </w: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995B97">
              <w:rPr>
                <w:rFonts w:ascii="Arial" w:eastAsia="宋体" w:hAnsi="Arial" w:cs="Arial"/>
                <w:b/>
                <w:bCs/>
                <w:kern w:val="0"/>
                <w:sz w:val="22"/>
              </w:rPr>
              <w:t>12</w:t>
            </w: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995B97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负债和所有者权益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期末余额</w:t>
            </w:r>
            <w:r w:rsidRPr="00995B97">
              <w:rPr>
                <w:rFonts w:ascii="Arial" w:eastAsia="宋体" w:hAnsi="Arial" w:cs="Arial"/>
                <w:b/>
                <w:bCs/>
                <w:kern w:val="0"/>
                <w:sz w:val="22"/>
              </w:rPr>
              <w:t>(2019</w:t>
            </w: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995B97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</w:t>
            </w: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995B97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期初余额（</w:t>
            </w:r>
            <w:r w:rsidRPr="00995B97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2018</w:t>
            </w: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年</w:t>
            </w:r>
            <w:r w:rsidRPr="00995B97">
              <w:rPr>
                <w:rFonts w:ascii="Arial" w:eastAsia="宋体" w:hAnsi="Arial" w:cs="Arial"/>
                <w:b/>
                <w:bCs/>
                <w:kern w:val="0"/>
                <w:sz w:val="22"/>
              </w:rPr>
              <w:t>12</w:t>
            </w: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月</w:t>
            </w:r>
            <w:r w:rsidRPr="00995B97">
              <w:rPr>
                <w:rFonts w:ascii="Arial" w:eastAsia="宋体" w:hAnsi="Arial" w:cs="Arial"/>
                <w:b/>
                <w:bCs/>
                <w:kern w:val="0"/>
                <w:sz w:val="22"/>
              </w:rPr>
              <w:t>31</w:t>
            </w: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日）</w:t>
            </w:r>
          </w:p>
        </w:tc>
      </w:tr>
      <w:tr w:rsidR="00995B97" w:rsidRPr="00995B97" w:rsidTr="00995B97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银行存款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5,486,076.85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2,499,933.04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拆入资金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存出保证金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交易性金融负债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拆出资金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衍生金融负债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交易性金融资产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卖出回购金融资产款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衍生金融资产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应付管理人报酬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423,448.90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100,479.40 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买入返售金融资产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应付托管费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5,102.20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368.20 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可供出售金融资产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190,000,000.00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190,000,000.00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应付销售服务费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310,323.48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73,636.08 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应收款项类投资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应交税费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持有到期投资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应付利息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应收利息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378,692.84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377,521.97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应付利润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应收股利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其他负债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其他资产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应付</w:t>
            </w:r>
            <w:proofErr w:type="gramStart"/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95B97" w:rsidRPr="00995B97" w:rsidTr="00995B97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738,874.58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174,483.68 </w:t>
            </w:r>
          </w:p>
        </w:tc>
      </w:tr>
      <w:tr w:rsidR="00995B97" w:rsidRPr="00995B97" w:rsidTr="00995B97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所有者权益：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实收资金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191,980,000.00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191,980,000.00 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资本公积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3,145,895.11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722,971.33 </w:t>
            </w:r>
          </w:p>
        </w:tc>
      </w:tr>
      <w:tr w:rsidR="00995B97" w:rsidRPr="00995B97" w:rsidTr="00995B9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>损益平准金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95B97" w:rsidRPr="00995B97" w:rsidTr="00995B97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所有者权益合计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195,125,895.11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192,702,971.33 </w:t>
            </w:r>
          </w:p>
        </w:tc>
      </w:tr>
      <w:tr w:rsidR="00995B97" w:rsidRPr="00995B97" w:rsidTr="00995B97">
        <w:trPr>
          <w:trHeight w:val="55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资产总计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195,864,769.69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192,877,455.01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2"/>
              </w:rPr>
            </w:pPr>
            <w:r w:rsidRPr="00995B97">
              <w:rPr>
                <w:rFonts w:ascii="Arial" w:eastAsia="宋体" w:hAnsi="宋体" w:cs="Arial"/>
                <w:b/>
                <w:bCs/>
                <w:kern w:val="0"/>
                <w:sz w:val="22"/>
              </w:rPr>
              <w:t>负债和所有者权益总计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195,864,769.69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B97" w:rsidRPr="00995B97" w:rsidRDefault="00995B97" w:rsidP="00995B9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95B9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192,877,455.01 </w:t>
            </w:r>
          </w:p>
        </w:tc>
      </w:tr>
    </w:tbl>
    <w:p w:rsidR="00995B97" w:rsidRPr="00056F9E" w:rsidRDefault="00995B97" w:rsidP="001A646A">
      <w:pPr>
        <w:rPr>
          <w:rFonts w:ascii="Arial" w:hAnsi="Arial" w:cs="Arial"/>
          <w:sz w:val="30"/>
          <w:szCs w:val="30"/>
        </w:rPr>
      </w:pPr>
    </w:p>
    <w:p w:rsidR="00995B97" w:rsidRPr="00056F9E" w:rsidRDefault="00995B97" w:rsidP="00995B97">
      <w:pPr>
        <w:pStyle w:val="a6"/>
        <w:numPr>
          <w:ilvl w:val="0"/>
          <w:numId w:val="3"/>
        </w:numPr>
        <w:ind w:firstLineChars="0"/>
        <w:outlineLvl w:val="1"/>
        <w:rPr>
          <w:rFonts w:ascii="Arial" w:eastAsia="宋体" w:hAnsi="Arial" w:cs="Arial"/>
          <w:b/>
          <w:sz w:val="30"/>
          <w:szCs w:val="30"/>
        </w:rPr>
      </w:pPr>
      <w:bookmarkStart w:id="11" w:name="_Toc5874823"/>
      <w:bookmarkStart w:id="12" w:name="_Toc6326727"/>
      <w:r w:rsidRPr="00056F9E">
        <w:rPr>
          <w:rFonts w:ascii="Arial" w:eastAsia="宋体" w:hAnsi="Arial" w:cs="Arial"/>
          <w:b/>
          <w:sz w:val="30"/>
          <w:szCs w:val="30"/>
        </w:rPr>
        <w:t>利润表</w:t>
      </w:r>
      <w:bookmarkEnd w:id="11"/>
      <w:bookmarkEnd w:id="12"/>
    </w:p>
    <w:p w:rsidR="00995B97" w:rsidRPr="00056F9E" w:rsidRDefault="00995B97" w:rsidP="00995B97">
      <w:pPr>
        <w:pStyle w:val="a6"/>
        <w:ind w:left="885" w:firstLineChars="0" w:firstLine="195"/>
        <w:rPr>
          <w:rFonts w:ascii="Arial" w:eastAsia="宋体" w:hAnsi="Arial" w:cs="Arial"/>
          <w:color w:val="000000"/>
          <w:kern w:val="0"/>
          <w:sz w:val="22"/>
        </w:rPr>
      </w:pPr>
      <w:r w:rsidRPr="00056F9E">
        <w:rPr>
          <w:rFonts w:ascii="Arial" w:eastAsia="宋体" w:hAnsi="Arial" w:cs="Arial"/>
          <w:sz w:val="22"/>
        </w:rPr>
        <w:t>会计主体：</w:t>
      </w:r>
      <w:r w:rsidRPr="00056F9E">
        <w:rPr>
          <w:rFonts w:ascii="Arial" w:eastAsia="宋体" w:hAnsi="Arial" w:cs="Arial"/>
          <w:sz w:val="22"/>
        </w:rPr>
        <w:t>“</w:t>
      </w:r>
      <w:r w:rsidRPr="00056F9E">
        <w:rPr>
          <w:rFonts w:ascii="Arial" w:eastAsia="宋体" w:hAnsi="Arial" w:cs="Arial"/>
          <w:sz w:val="22"/>
        </w:rPr>
        <w:t>万利宝</w:t>
      </w:r>
      <w:r w:rsidRPr="00056F9E">
        <w:rPr>
          <w:rFonts w:ascii="Arial" w:eastAsia="宋体" w:hAnsi="Arial" w:cs="Arial"/>
          <w:sz w:val="22"/>
        </w:rPr>
        <w:t>-</w:t>
      </w:r>
      <w:r w:rsidRPr="00056F9E">
        <w:rPr>
          <w:rFonts w:ascii="Arial" w:eastAsia="宋体" w:hAnsi="Arial" w:cs="Arial"/>
          <w:sz w:val="22"/>
        </w:rPr>
        <w:t>聚利</w:t>
      </w:r>
      <w:r w:rsidRPr="00056F9E">
        <w:rPr>
          <w:rFonts w:ascii="Arial" w:eastAsia="宋体" w:hAnsi="Arial" w:cs="Arial"/>
          <w:sz w:val="22"/>
        </w:rPr>
        <w:t>”2018</w:t>
      </w:r>
      <w:r w:rsidRPr="00056F9E">
        <w:rPr>
          <w:rFonts w:ascii="Arial" w:eastAsia="宋体" w:hAnsi="Arial" w:cs="Arial"/>
          <w:sz w:val="22"/>
        </w:rPr>
        <w:t>年第</w:t>
      </w:r>
      <w:r w:rsidRPr="00056F9E">
        <w:rPr>
          <w:rFonts w:ascii="Arial" w:eastAsia="宋体" w:hAnsi="Arial" w:cs="Arial"/>
          <w:sz w:val="22"/>
        </w:rPr>
        <w:t>8</w:t>
      </w:r>
      <w:r w:rsidRPr="00056F9E">
        <w:rPr>
          <w:rFonts w:ascii="Arial" w:eastAsia="宋体" w:hAnsi="Arial" w:cs="Arial"/>
          <w:sz w:val="22"/>
        </w:rPr>
        <w:t>期净值型理财产品</w:t>
      </w:r>
    </w:p>
    <w:p w:rsidR="00995B97" w:rsidRPr="00056F9E" w:rsidRDefault="00995B97" w:rsidP="00995B97">
      <w:pPr>
        <w:ind w:left="660" w:firstLine="420"/>
        <w:rPr>
          <w:rFonts w:ascii="Arial" w:eastAsia="宋体" w:hAnsi="Arial" w:cs="Arial"/>
          <w:color w:val="000000"/>
          <w:kern w:val="0"/>
          <w:sz w:val="22"/>
        </w:rPr>
      </w:pPr>
      <w:r w:rsidRPr="00056F9E">
        <w:rPr>
          <w:rFonts w:ascii="Arial" w:eastAsia="宋体" w:hAnsi="Arial" w:cs="Arial"/>
          <w:color w:val="000000"/>
          <w:kern w:val="0"/>
          <w:sz w:val="22"/>
        </w:rPr>
        <w:t>本报告期：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2019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年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1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月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1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日至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2019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年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3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月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31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日</w:t>
      </w:r>
    </w:p>
    <w:tbl>
      <w:tblPr>
        <w:tblW w:w="6580" w:type="dxa"/>
        <w:jc w:val="center"/>
        <w:tblInd w:w="93" w:type="dxa"/>
        <w:tblLook w:val="04A0"/>
      </w:tblPr>
      <w:tblGrid>
        <w:gridCol w:w="4120"/>
        <w:gridCol w:w="2460"/>
      </w:tblGrid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9A1937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9A193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A1937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本期金额</w:t>
            </w:r>
            <w:r w:rsidRPr="009A1937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一、收入</w:t>
            </w: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2,987,314.68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1.</w:t>
            </w:r>
            <w:r w:rsidRPr="009A1937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8,495.44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其中：存款利息收入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8,495.44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存出保证金利息收入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债券利息收入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拆出资金利息收入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买入返售金融资产收入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其他利息收入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lastRenderedPageBreak/>
              <w:t>2.</w:t>
            </w:r>
            <w:r w:rsidRPr="009A193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投资收益（损失以</w:t>
            </w: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9A193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2,978,819.24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其中：贵金属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交易性金融资产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衍生工具收益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可供出售金融资产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2,978,819.24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交易性金融负债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应收款项类投资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持有到期投资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其他投资收益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3.</w:t>
            </w:r>
            <w:r w:rsidRPr="009A193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公允价值变动收益（损失以</w:t>
            </w: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9A193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4.</w:t>
            </w:r>
            <w:r w:rsidRPr="009A1937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汇兑损益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5.</w:t>
            </w:r>
            <w:r w:rsidRPr="009A193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其他收入（损失以</w:t>
            </w: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“-”</w:t>
            </w:r>
            <w:r w:rsidRPr="009A193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号填列）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Verdana" w:cs="Arial"/>
                <w:b/>
                <w:bCs/>
                <w:kern w:val="0"/>
                <w:sz w:val="18"/>
                <w:szCs w:val="18"/>
              </w:rPr>
              <w:t>二、费用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564,390.90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</w:t>
            </w:r>
            <w:r w:rsidRPr="009A193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．管理人报酬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322,969.50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</w:t>
            </w: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．托管费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4,734.00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</w:t>
            </w: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．销售服务费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236,687.40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4</w:t>
            </w:r>
            <w:r w:rsidRPr="009A193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．利息支出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其中：卖出回购金融资产支出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拆入资金利息支出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其他利息支出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5</w:t>
            </w: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．其他费用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6.</w:t>
            </w:r>
            <w:r w:rsidRPr="009A1937">
              <w:rPr>
                <w:rFonts w:ascii="Arial" w:eastAsia="宋体" w:hAnsi="宋体" w:cs="Arial"/>
                <w:kern w:val="0"/>
                <w:sz w:val="18"/>
                <w:szCs w:val="18"/>
              </w:rPr>
              <w:t>资产损失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9A1937" w:rsidRPr="009A1937" w:rsidTr="009A1937">
        <w:trPr>
          <w:trHeight w:val="2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noWrap/>
            <w:hideMark/>
          </w:tcPr>
          <w:p w:rsidR="009A1937" w:rsidRPr="009A1937" w:rsidRDefault="009A1937" w:rsidP="009A1937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</w:pPr>
            <w:r w:rsidRPr="009A1937">
              <w:rPr>
                <w:rFonts w:ascii="Arial" w:eastAsia="宋体" w:hAnsi="宋体" w:cs="Arial"/>
                <w:b/>
                <w:bCs/>
                <w:kern w:val="0"/>
                <w:sz w:val="18"/>
                <w:szCs w:val="18"/>
              </w:rPr>
              <w:t>三、利润总额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37" w:rsidRPr="009A1937" w:rsidRDefault="009A1937" w:rsidP="009A1937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A1937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2,422,923.78 </w:t>
            </w:r>
          </w:p>
        </w:tc>
      </w:tr>
    </w:tbl>
    <w:p w:rsidR="00995B97" w:rsidRPr="00056F9E" w:rsidRDefault="00995B97" w:rsidP="001A646A">
      <w:pPr>
        <w:rPr>
          <w:rFonts w:ascii="Arial" w:hAnsi="Arial" w:cs="Arial"/>
          <w:sz w:val="30"/>
          <w:szCs w:val="30"/>
        </w:rPr>
      </w:pPr>
    </w:p>
    <w:p w:rsidR="009A1937" w:rsidRPr="00056F9E" w:rsidRDefault="009A1937" w:rsidP="009A1937">
      <w:pPr>
        <w:pStyle w:val="a6"/>
        <w:numPr>
          <w:ilvl w:val="0"/>
          <w:numId w:val="3"/>
        </w:numPr>
        <w:ind w:firstLineChars="0"/>
        <w:outlineLvl w:val="1"/>
        <w:rPr>
          <w:rFonts w:ascii="Arial" w:eastAsia="宋体" w:hAnsi="Arial" w:cs="Arial"/>
          <w:b/>
          <w:sz w:val="30"/>
          <w:szCs w:val="30"/>
        </w:rPr>
      </w:pPr>
      <w:bookmarkStart w:id="13" w:name="_Toc535326257"/>
      <w:bookmarkStart w:id="14" w:name="_Toc5874824"/>
      <w:bookmarkStart w:id="15" w:name="_Toc6326728"/>
      <w:r w:rsidRPr="00056F9E">
        <w:rPr>
          <w:rFonts w:ascii="Arial" w:eastAsia="宋体" w:hAnsi="Arial" w:cs="Arial"/>
          <w:b/>
          <w:sz w:val="30"/>
          <w:szCs w:val="30"/>
        </w:rPr>
        <w:t>所有者权益（产品净值）变动表</w:t>
      </w:r>
      <w:bookmarkEnd w:id="13"/>
      <w:bookmarkEnd w:id="14"/>
      <w:bookmarkEnd w:id="15"/>
    </w:p>
    <w:p w:rsidR="009A1937" w:rsidRPr="00056F9E" w:rsidRDefault="009A1937" w:rsidP="009A1937">
      <w:pPr>
        <w:pStyle w:val="a6"/>
        <w:ind w:left="885" w:firstLineChars="0" w:firstLine="195"/>
        <w:rPr>
          <w:rFonts w:ascii="Arial" w:eastAsia="宋体" w:hAnsi="Arial" w:cs="Arial"/>
          <w:color w:val="000000"/>
          <w:kern w:val="0"/>
          <w:sz w:val="22"/>
        </w:rPr>
      </w:pPr>
      <w:r w:rsidRPr="00056F9E">
        <w:rPr>
          <w:rFonts w:ascii="Arial" w:eastAsia="宋体" w:hAnsi="Arial" w:cs="Arial"/>
          <w:sz w:val="22"/>
        </w:rPr>
        <w:t>会计主体：</w:t>
      </w:r>
      <w:r w:rsidRPr="00056F9E">
        <w:rPr>
          <w:rFonts w:ascii="Arial" w:eastAsia="宋体" w:hAnsi="Arial" w:cs="Arial"/>
          <w:sz w:val="22"/>
        </w:rPr>
        <w:t>“</w:t>
      </w:r>
      <w:r w:rsidRPr="00056F9E">
        <w:rPr>
          <w:rFonts w:ascii="Arial" w:eastAsia="宋体" w:hAnsi="Arial" w:cs="Arial"/>
          <w:sz w:val="22"/>
        </w:rPr>
        <w:t>万利宝</w:t>
      </w:r>
      <w:r w:rsidRPr="00056F9E">
        <w:rPr>
          <w:rFonts w:ascii="Arial" w:eastAsia="宋体" w:hAnsi="Arial" w:cs="Arial"/>
          <w:sz w:val="22"/>
        </w:rPr>
        <w:t>-</w:t>
      </w:r>
      <w:r w:rsidRPr="00056F9E">
        <w:rPr>
          <w:rFonts w:ascii="Arial" w:eastAsia="宋体" w:hAnsi="Arial" w:cs="Arial"/>
          <w:sz w:val="22"/>
        </w:rPr>
        <w:t>聚利</w:t>
      </w:r>
      <w:r w:rsidRPr="00056F9E">
        <w:rPr>
          <w:rFonts w:ascii="Arial" w:eastAsia="宋体" w:hAnsi="Arial" w:cs="Arial"/>
          <w:sz w:val="22"/>
        </w:rPr>
        <w:t>”2018</w:t>
      </w:r>
      <w:r w:rsidRPr="00056F9E">
        <w:rPr>
          <w:rFonts w:ascii="Arial" w:eastAsia="宋体" w:hAnsi="Arial" w:cs="Arial"/>
          <w:sz w:val="22"/>
        </w:rPr>
        <w:t>年第</w:t>
      </w:r>
      <w:r w:rsidRPr="00056F9E">
        <w:rPr>
          <w:rFonts w:ascii="Arial" w:eastAsia="宋体" w:hAnsi="Arial" w:cs="Arial"/>
          <w:sz w:val="22"/>
        </w:rPr>
        <w:t>8</w:t>
      </w:r>
      <w:r w:rsidRPr="00056F9E">
        <w:rPr>
          <w:rFonts w:ascii="Arial" w:eastAsia="宋体" w:hAnsi="Arial" w:cs="Arial"/>
          <w:sz w:val="22"/>
        </w:rPr>
        <w:t>期净值型理财产品</w:t>
      </w:r>
    </w:p>
    <w:p w:rsidR="009A1937" w:rsidRPr="00056F9E" w:rsidRDefault="009A1937" w:rsidP="009A1937">
      <w:pPr>
        <w:ind w:left="660" w:firstLine="420"/>
        <w:rPr>
          <w:rFonts w:ascii="Arial" w:eastAsia="宋体" w:hAnsi="Arial" w:cs="Arial"/>
          <w:color w:val="000000"/>
          <w:kern w:val="0"/>
          <w:sz w:val="22"/>
        </w:rPr>
      </w:pPr>
      <w:r w:rsidRPr="00056F9E">
        <w:rPr>
          <w:rFonts w:ascii="Arial" w:eastAsia="宋体" w:hAnsi="Arial" w:cs="Arial"/>
          <w:color w:val="000000"/>
          <w:kern w:val="0"/>
          <w:sz w:val="22"/>
        </w:rPr>
        <w:t>本报告期：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2019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年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1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月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1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日至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2019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年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3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月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31</w:t>
      </w:r>
      <w:r w:rsidRPr="00056F9E">
        <w:rPr>
          <w:rFonts w:ascii="Arial" w:eastAsia="宋体" w:hAnsi="Arial" w:cs="Arial"/>
          <w:color w:val="000000"/>
          <w:kern w:val="0"/>
          <w:sz w:val="22"/>
        </w:rPr>
        <w:t>日</w:t>
      </w:r>
    </w:p>
    <w:tbl>
      <w:tblPr>
        <w:tblW w:w="9160" w:type="dxa"/>
        <w:jc w:val="center"/>
        <w:tblInd w:w="93" w:type="dxa"/>
        <w:tblLook w:val="04A0"/>
      </w:tblPr>
      <w:tblGrid>
        <w:gridCol w:w="3280"/>
        <w:gridCol w:w="2040"/>
        <w:gridCol w:w="1800"/>
        <w:gridCol w:w="2040"/>
      </w:tblGrid>
      <w:tr w:rsidR="007F3ECD" w:rsidRPr="007F3ECD" w:rsidTr="007F3ECD">
        <w:trPr>
          <w:trHeight w:val="240"/>
          <w:jc w:val="center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ECD" w:rsidRPr="007F3ECD" w:rsidRDefault="007F3ECD" w:rsidP="007F3EC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编制单位：兴业银行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ECD" w:rsidRPr="007F3ECD" w:rsidRDefault="007F3ECD" w:rsidP="007F3EC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ECD" w:rsidRPr="007F3ECD" w:rsidRDefault="007F3ECD" w:rsidP="007F3EC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ECD" w:rsidRPr="007F3ECD" w:rsidRDefault="007F3ECD" w:rsidP="007F3EC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 w:rsidR="007F3ECD" w:rsidRPr="007F3ECD" w:rsidTr="007F3ECD">
        <w:trPr>
          <w:trHeight w:val="24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本期金额</w:t>
            </w:r>
          </w:p>
        </w:tc>
      </w:tr>
      <w:tr w:rsidR="007F3ECD" w:rsidRPr="007F3ECD" w:rsidTr="007F3ECD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056F9E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7F3ECD" w:rsidRPr="007F3ECD" w:rsidTr="007F3ECD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一、期初所有者权益（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191,980,000.00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722,971.33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192,702,971.33 </w:t>
            </w:r>
          </w:p>
        </w:tc>
      </w:tr>
      <w:tr w:rsidR="007F3ECD" w:rsidRPr="007F3ECD" w:rsidTr="007F3ECD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二、本期经营活动产生的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净值变动数（本期净利润）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2,422,923.78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2,422,923.78 </w:t>
            </w:r>
          </w:p>
        </w:tc>
      </w:tr>
      <w:tr w:rsidR="007F3ECD" w:rsidRPr="007F3ECD" w:rsidTr="007F3ECD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三、本期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份额交易产生的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净值变动数（减少以</w:t>
            </w: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F3ECD" w:rsidRPr="007F3ECD" w:rsidTr="007F3ECD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其中：</w:t>
            </w: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申购款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F3ECD" w:rsidRPr="007F3ECD" w:rsidTr="007F3ECD">
        <w:trPr>
          <w:trHeight w:val="72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2.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F3ECD" w:rsidRPr="007F3ECD" w:rsidTr="007F3ECD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四、本期向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份额持有人分配利润产生的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F3ECD" w:rsidRPr="007F3ECD" w:rsidTr="007F3ECD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lastRenderedPageBreak/>
              <w:t>五、期末所有者权益（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191,980,000.00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3,145,895.11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195,125,895.11 </w:t>
            </w:r>
          </w:p>
        </w:tc>
      </w:tr>
      <w:tr w:rsidR="007F3ECD" w:rsidRPr="007F3ECD" w:rsidTr="007F3ECD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上期金额</w:t>
            </w:r>
          </w:p>
        </w:tc>
      </w:tr>
      <w:tr w:rsidR="007F3ECD" w:rsidRPr="007F3ECD" w:rsidTr="007F3ECD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056F9E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实收资本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未分配利润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所有者权益合计</w:t>
            </w:r>
          </w:p>
        </w:tc>
      </w:tr>
      <w:tr w:rsidR="007F3ECD" w:rsidRPr="007F3ECD" w:rsidTr="007F3ECD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一、期初所有者权益（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F3ECD" w:rsidRPr="007F3ECD" w:rsidTr="007F3ECD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二、本期经营活动产生的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净值变动数（本期净利润）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722,971.33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722,971.33 </w:t>
            </w:r>
          </w:p>
        </w:tc>
      </w:tr>
      <w:tr w:rsidR="007F3ECD" w:rsidRPr="007F3ECD" w:rsidTr="007F3ECD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三、本期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份额交易产生的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净值变动数（减少以</w:t>
            </w: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“-”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号填列）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191,980,000.00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191,980,000.00 </w:t>
            </w:r>
          </w:p>
        </w:tc>
      </w:tr>
      <w:tr w:rsidR="007F3ECD" w:rsidRPr="007F3ECD" w:rsidTr="007F3ECD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其中：</w:t>
            </w: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br/>
              <w:t xml:space="preserve">    1.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申购款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191,980,000.00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191,980,000.00 </w:t>
            </w:r>
          </w:p>
        </w:tc>
      </w:tr>
      <w:tr w:rsidR="007F3ECD" w:rsidRPr="007F3ECD" w:rsidTr="007F3ECD">
        <w:trPr>
          <w:trHeight w:val="72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ind w:firstLineChars="300" w:firstLine="60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   2.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proofErr w:type="gramStart"/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赎回款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F3ECD" w:rsidRPr="007F3ECD" w:rsidTr="007F3ECD">
        <w:trPr>
          <w:trHeight w:val="48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四、本期向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份额持有人分配利润产生的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净值变动数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7F3ECD" w:rsidRPr="007F3ECD" w:rsidTr="007F3ECD">
        <w:trPr>
          <w:trHeight w:val="240"/>
          <w:jc w:val="center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五、期末所有者权益（</w:t>
            </w:r>
            <w:r w:rsidR="00056F9E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产品</w:t>
            </w:r>
            <w:r w:rsidRPr="007F3ECD">
              <w:rPr>
                <w:rFonts w:ascii="Arial" w:eastAsia="宋体" w:hAnsi="宋体" w:cs="Arial"/>
                <w:color w:val="000000"/>
                <w:kern w:val="0"/>
                <w:sz w:val="20"/>
                <w:szCs w:val="20"/>
              </w:rPr>
              <w:t>净值）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191,980,000.00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722,971.33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ECD" w:rsidRPr="007F3ECD" w:rsidRDefault="007F3ECD" w:rsidP="007F3EC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F3EC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192,702,971.33 </w:t>
            </w:r>
          </w:p>
        </w:tc>
      </w:tr>
    </w:tbl>
    <w:p w:rsidR="009A1937" w:rsidRPr="00056F9E" w:rsidRDefault="009A1937" w:rsidP="001A646A">
      <w:pPr>
        <w:rPr>
          <w:rFonts w:ascii="Arial" w:hAnsi="Arial" w:cs="Arial"/>
          <w:sz w:val="30"/>
          <w:szCs w:val="30"/>
        </w:rPr>
      </w:pPr>
    </w:p>
    <w:p w:rsidR="001E617F" w:rsidRPr="00056F9E" w:rsidRDefault="001E617F" w:rsidP="00D165C4">
      <w:pPr>
        <w:pStyle w:val="a6"/>
        <w:numPr>
          <w:ilvl w:val="0"/>
          <w:numId w:val="1"/>
        </w:numPr>
        <w:ind w:firstLineChars="0"/>
        <w:outlineLvl w:val="0"/>
        <w:rPr>
          <w:rFonts w:ascii="Arial" w:hAnsi="Arial" w:cs="Arial"/>
          <w:b/>
          <w:sz w:val="30"/>
          <w:szCs w:val="30"/>
        </w:rPr>
      </w:pPr>
      <w:bookmarkStart w:id="16" w:name="_Toc6326729"/>
      <w:r w:rsidRPr="00056F9E">
        <w:rPr>
          <w:rFonts w:ascii="Arial" w:cs="Arial"/>
          <w:b/>
          <w:sz w:val="30"/>
          <w:szCs w:val="30"/>
        </w:rPr>
        <w:t>投资组合情况</w:t>
      </w:r>
      <w:bookmarkEnd w:id="16"/>
    </w:p>
    <w:p w:rsidR="007F3ECD" w:rsidRPr="00056F9E" w:rsidRDefault="001E617F" w:rsidP="00D165C4">
      <w:pPr>
        <w:pStyle w:val="a6"/>
        <w:numPr>
          <w:ilvl w:val="0"/>
          <w:numId w:val="6"/>
        </w:numPr>
        <w:ind w:firstLineChars="0"/>
        <w:outlineLvl w:val="1"/>
        <w:rPr>
          <w:rFonts w:ascii="Arial" w:hAnsi="Arial" w:cs="Arial"/>
          <w:b/>
          <w:sz w:val="30"/>
          <w:szCs w:val="30"/>
        </w:rPr>
      </w:pPr>
      <w:bookmarkStart w:id="17" w:name="_Toc6326730"/>
      <w:r w:rsidRPr="00056F9E">
        <w:rPr>
          <w:rFonts w:ascii="Arial" w:cs="Arial"/>
          <w:b/>
          <w:sz w:val="30"/>
          <w:szCs w:val="30"/>
        </w:rPr>
        <w:t>报告期末</w:t>
      </w:r>
      <w:r w:rsidRPr="00056F9E">
        <w:rPr>
          <w:rFonts w:ascii="Arial" w:hAnsi="Arial" w:cs="Arial"/>
          <w:b/>
          <w:sz w:val="30"/>
          <w:szCs w:val="30"/>
        </w:rPr>
        <w:t>“</w:t>
      </w:r>
      <w:r w:rsidRPr="00056F9E">
        <w:rPr>
          <w:rFonts w:ascii="Arial" w:cs="Arial"/>
          <w:b/>
          <w:sz w:val="30"/>
          <w:szCs w:val="30"/>
        </w:rPr>
        <w:t>万利宝</w:t>
      </w:r>
      <w:r w:rsidRPr="00056F9E">
        <w:rPr>
          <w:rFonts w:ascii="Arial" w:hAnsi="Arial" w:cs="Arial"/>
          <w:b/>
          <w:sz w:val="30"/>
          <w:szCs w:val="30"/>
        </w:rPr>
        <w:t>-</w:t>
      </w:r>
      <w:r w:rsidRPr="00056F9E">
        <w:rPr>
          <w:rFonts w:ascii="Arial" w:cs="Arial"/>
          <w:b/>
          <w:sz w:val="30"/>
          <w:szCs w:val="30"/>
        </w:rPr>
        <w:t>聚利</w:t>
      </w:r>
      <w:r w:rsidRPr="00056F9E">
        <w:rPr>
          <w:rFonts w:ascii="Arial" w:hAnsi="Arial" w:cs="Arial"/>
          <w:b/>
          <w:sz w:val="30"/>
          <w:szCs w:val="30"/>
        </w:rPr>
        <w:t>”2018</w:t>
      </w:r>
      <w:r w:rsidRPr="00056F9E">
        <w:rPr>
          <w:rFonts w:ascii="Arial" w:cs="Arial"/>
          <w:b/>
          <w:sz w:val="30"/>
          <w:szCs w:val="30"/>
        </w:rPr>
        <w:t>年第</w:t>
      </w:r>
      <w:r w:rsidRPr="00056F9E">
        <w:rPr>
          <w:rFonts w:ascii="Arial" w:hAnsi="Arial" w:cs="Arial"/>
          <w:b/>
          <w:sz w:val="30"/>
          <w:szCs w:val="30"/>
        </w:rPr>
        <w:t>8</w:t>
      </w:r>
      <w:r w:rsidRPr="00056F9E">
        <w:rPr>
          <w:rFonts w:ascii="Arial" w:cs="Arial"/>
          <w:b/>
          <w:sz w:val="30"/>
          <w:szCs w:val="30"/>
        </w:rPr>
        <w:t>期资产组合情况</w:t>
      </w:r>
      <w:bookmarkEnd w:id="17"/>
    </w:p>
    <w:tbl>
      <w:tblPr>
        <w:tblW w:w="4638" w:type="dxa"/>
        <w:jc w:val="center"/>
        <w:tblLook w:val="04A0"/>
      </w:tblPr>
      <w:tblGrid>
        <w:gridCol w:w="2796"/>
        <w:gridCol w:w="1842"/>
      </w:tblGrid>
      <w:tr w:rsidR="001E617F" w:rsidRPr="00056F9E" w:rsidTr="00AE318E">
        <w:trPr>
          <w:trHeight w:val="270"/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7F" w:rsidRPr="00056F9E" w:rsidRDefault="001E617F" w:rsidP="00AE318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056F9E">
              <w:rPr>
                <w:rFonts w:ascii="Arial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稳利</w:t>
            </w:r>
            <w:r w:rsidRPr="00056F9E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056F9E">
              <w:rPr>
                <w:rFonts w:ascii="Arial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  <w:proofErr w:type="gramEnd"/>
            <w:r w:rsidRPr="00056F9E">
              <w:rPr>
                <w:rFonts w:ascii="Arial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7F" w:rsidRPr="00056F9E" w:rsidRDefault="001E617F" w:rsidP="00AE318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56F9E">
              <w:rPr>
                <w:rFonts w:ascii="Arial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占总资产比例</w:t>
            </w:r>
          </w:p>
        </w:tc>
      </w:tr>
      <w:tr w:rsidR="00597FAE" w:rsidRPr="00056F9E" w:rsidTr="00AE318E">
        <w:trPr>
          <w:trHeight w:val="270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FAE" w:rsidRPr="00056F9E" w:rsidRDefault="00597FAE" w:rsidP="00AE31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6F9E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现金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FAE" w:rsidRPr="00056F9E" w:rsidRDefault="00597FAE" w:rsidP="00AE318E">
            <w:pP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6F9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2.79%</w:t>
            </w:r>
          </w:p>
        </w:tc>
      </w:tr>
      <w:tr w:rsidR="001E617F" w:rsidRPr="00056F9E" w:rsidTr="00AE318E">
        <w:trPr>
          <w:trHeight w:val="270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7F" w:rsidRPr="00056F9E" w:rsidRDefault="001E617F" w:rsidP="00AE318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6F9E">
              <w:rPr>
                <w:rFonts w:ascii="Arial" w:eastAsia="宋体" w:hAnsi="宋体" w:cs="Arial"/>
                <w:color w:val="000000"/>
                <w:kern w:val="0"/>
                <w:sz w:val="24"/>
                <w:szCs w:val="24"/>
              </w:rPr>
              <w:t>非标准化债权资产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17F" w:rsidRPr="00056F9E" w:rsidRDefault="00597FAE" w:rsidP="00AE318E">
            <w:pP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056F9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97.21%</w:t>
            </w:r>
          </w:p>
        </w:tc>
      </w:tr>
      <w:tr w:rsidR="001E617F" w:rsidRPr="00056F9E" w:rsidTr="00AE318E">
        <w:trPr>
          <w:trHeight w:val="270"/>
          <w:jc w:val="center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17F" w:rsidRPr="00056F9E" w:rsidRDefault="001E617F" w:rsidP="00AE318E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056F9E">
              <w:rPr>
                <w:rFonts w:ascii="Arial" w:eastAsia="宋体" w:hAnsi="宋体" w:cs="Arial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17F" w:rsidRPr="00056F9E" w:rsidRDefault="001E617F" w:rsidP="00AE318E">
            <w:pPr>
              <w:rPr>
                <w:rFonts w:ascii="Arial" w:hAnsi="Arial" w:cs="Arial"/>
              </w:rPr>
            </w:pPr>
            <w:r w:rsidRPr="00056F9E">
              <w:rPr>
                <w:rFonts w:ascii="Arial" w:hAnsi="Arial" w:cs="Arial"/>
              </w:rPr>
              <w:t>100.00%</w:t>
            </w:r>
          </w:p>
        </w:tc>
      </w:tr>
    </w:tbl>
    <w:p w:rsidR="001E617F" w:rsidRPr="00056F9E" w:rsidRDefault="00666F4F" w:rsidP="001E617F">
      <w:pPr>
        <w:ind w:firstLineChars="200" w:firstLine="600"/>
        <w:rPr>
          <w:rFonts w:ascii="Arial" w:hAnsi="Arial" w:cs="Arial"/>
          <w:bCs/>
          <w:sz w:val="30"/>
          <w:szCs w:val="30"/>
        </w:rPr>
      </w:pPr>
      <w:r w:rsidRPr="00056F9E">
        <w:rPr>
          <w:rFonts w:ascii="Arial" w:cs="Arial"/>
          <w:bCs/>
          <w:sz w:val="30"/>
          <w:szCs w:val="30"/>
        </w:rPr>
        <w:t>上述投资组合中，各类</w:t>
      </w:r>
      <w:r w:rsidR="001E617F" w:rsidRPr="00056F9E">
        <w:rPr>
          <w:rFonts w:ascii="Arial" w:cs="Arial"/>
          <w:bCs/>
          <w:sz w:val="30"/>
          <w:szCs w:val="30"/>
        </w:rPr>
        <w:t>资产投资比例在协议约定的范围内。</w:t>
      </w:r>
    </w:p>
    <w:p w:rsidR="00666F4F" w:rsidRPr="00056F9E" w:rsidRDefault="00666F4F" w:rsidP="001E617F">
      <w:pPr>
        <w:ind w:firstLineChars="200" w:firstLine="600"/>
        <w:rPr>
          <w:rFonts w:ascii="Arial" w:hAnsi="Arial" w:cs="Arial"/>
          <w:bCs/>
          <w:sz w:val="30"/>
          <w:szCs w:val="30"/>
        </w:rPr>
      </w:pPr>
    </w:p>
    <w:p w:rsidR="007F3ECD" w:rsidRPr="00056F9E" w:rsidRDefault="001E617F" w:rsidP="00D165C4">
      <w:pPr>
        <w:pStyle w:val="a6"/>
        <w:numPr>
          <w:ilvl w:val="0"/>
          <w:numId w:val="6"/>
        </w:numPr>
        <w:ind w:firstLineChars="0"/>
        <w:outlineLvl w:val="1"/>
        <w:rPr>
          <w:rFonts w:ascii="Arial" w:hAnsi="Arial" w:cs="Arial"/>
          <w:b/>
          <w:sz w:val="30"/>
          <w:szCs w:val="30"/>
        </w:rPr>
      </w:pPr>
      <w:bookmarkStart w:id="18" w:name="_Toc6326731"/>
      <w:r w:rsidRPr="00056F9E">
        <w:rPr>
          <w:rFonts w:ascii="Arial" w:cs="Arial"/>
          <w:b/>
          <w:sz w:val="30"/>
          <w:szCs w:val="30"/>
        </w:rPr>
        <w:t>报告期末杠杆融资情况</w:t>
      </w:r>
      <w:bookmarkEnd w:id="18"/>
    </w:p>
    <w:p w:rsidR="001E617F" w:rsidRPr="00056F9E" w:rsidRDefault="001E617F" w:rsidP="001E617F">
      <w:pPr>
        <w:ind w:firstLineChars="200" w:firstLine="600"/>
        <w:rPr>
          <w:rFonts w:ascii="Arial" w:hAnsi="Arial" w:cs="Arial"/>
          <w:sz w:val="30"/>
          <w:szCs w:val="30"/>
        </w:rPr>
      </w:pPr>
      <w:r w:rsidRPr="00056F9E">
        <w:rPr>
          <w:rFonts w:ascii="Arial" w:cs="Arial"/>
          <w:sz w:val="30"/>
          <w:szCs w:val="30"/>
        </w:rPr>
        <w:t>无。</w:t>
      </w:r>
    </w:p>
    <w:p w:rsidR="00666F4F" w:rsidRPr="00056F9E" w:rsidRDefault="00666F4F" w:rsidP="001E617F">
      <w:pPr>
        <w:ind w:firstLineChars="200" w:firstLine="600"/>
        <w:rPr>
          <w:rFonts w:ascii="Arial" w:hAnsi="Arial" w:cs="Arial"/>
          <w:sz w:val="30"/>
          <w:szCs w:val="30"/>
        </w:rPr>
      </w:pPr>
    </w:p>
    <w:p w:rsidR="00666F4F" w:rsidRPr="00056F9E" w:rsidRDefault="00666F4F" w:rsidP="00D165C4">
      <w:pPr>
        <w:pStyle w:val="a6"/>
        <w:numPr>
          <w:ilvl w:val="0"/>
          <w:numId w:val="6"/>
        </w:numPr>
        <w:ind w:firstLineChars="0"/>
        <w:outlineLvl w:val="1"/>
        <w:rPr>
          <w:rFonts w:ascii="Arial" w:hAnsi="Arial" w:cs="Arial"/>
          <w:b/>
          <w:sz w:val="30"/>
          <w:szCs w:val="30"/>
        </w:rPr>
      </w:pPr>
      <w:bookmarkStart w:id="19" w:name="_Toc535326261"/>
      <w:bookmarkStart w:id="20" w:name="_Toc5874828"/>
      <w:bookmarkStart w:id="21" w:name="_Toc6326732"/>
      <w:r w:rsidRPr="00056F9E">
        <w:rPr>
          <w:rFonts w:ascii="Arial" w:cs="Arial"/>
          <w:b/>
          <w:sz w:val="30"/>
          <w:szCs w:val="30"/>
        </w:rPr>
        <w:t>报告期末资产持仓前</w:t>
      </w:r>
      <w:proofErr w:type="gramStart"/>
      <w:r w:rsidRPr="00056F9E">
        <w:rPr>
          <w:rFonts w:ascii="Arial" w:cs="Arial"/>
          <w:b/>
          <w:sz w:val="30"/>
          <w:szCs w:val="30"/>
        </w:rPr>
        <w:t>十基本</w:t>
      </w:r>
      <w:proofErr w:type="gramEnd"/>
      <w:r w:rsidRPr="00056F9E">
        <w:rPr>
          <w:rFonts w:ascii="Arial" w:cs="Arial"/>
          <w:b/>
          <w:sz w:val="30"/>
          <w:szCs w:val="30"/>
        </w:rPr>
        <w:t>信息</w:t>
      </w:r>
      <w:bookmarkEnd w:id="19"/>
      <w:bookmarkEnd w:id="20"/>
      <w:bookmarkEnd w:id="21"/>
    </w:p>
    <w:tbl>
      <w:tblPr>
        <w:tblW w:w="8670" w:type="dxa"/>
        <w:tblInd w:w="93" w:type="dxa"/>
        <w:tblLook w:val="04A0"/>
      </w:tblPr>
      <w:tblGrid>
        <w:gridCol w:w="1365"/>
        <w:gridCol w:w="4320"/>
        <w:gridCol w:w="2038"/>
        <w:gridCol w:w="1030"/>
      </w:tblGrid>
      <w:tr w:rsidR="00666F4F" w:rsidRPr="00666F4F" w:rsidTr="00666F4F">
        <w:trPr>
          <w:trHeight w:val="2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66F4F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资产类型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66F4F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资产名称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66F4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666F4F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资产面额</w:t>
            </w:r>
            <w:r w:rsidRPr="00666F4F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66F4F">
              <w:rPr>
                <w:rFonts w:ascii="Arial" w:eastAsia="宋体" w:hAnsi="宋体" w:cs="Arial"/>
                <w:b/>
                <w:bCs/>
                <w:color w:val="000000"/>
                <w:kern w:val="0"/>
                <w:sz w:val="22"/>
              </w:rPr>
              <w:t>占比</w:t>
            </w:r>
          </w:p>
        </w:tc>
      </w:tr>
      <w:tr w:rsidR="00666F4F" w:rsidRPr="00666F4F" w:rsidTr="00666F4F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66F4F">
              <w:rPr>
                <w:rFonts w:ascii="Arial" w:eastAsia="宋体" w:hAnsi="Arial" w:cs="Arial"/>
                <w:color w:val="000000"/>
                <w:kern w:val="0"/>
                <w:sz w:val="22"/>
              </w:rPr>
              <w:t>信托贷款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66F4F">
              <w:rPr>
                <w:rFonts w:ascii="Arial" w:eastAsia="宋体" w:hAnsi="Arial" w:cs="Arial"/>
                <w:color w:val="000000"/>
                <w:kern w:val="0"/>
                <w:sz w:val="22"/>
              </w:rPr>
              <w:t>北方信托</w:t>
            </w:r>
            <w:r w:rsidRPr="00666F4F">
              <w:rPr>
                <w:rFonts w:ascii="Arial" w:eastAsia="宋体" w:hAnsi="Arial" w:cs="Arial"/>
                <w:color w:val="000000"/>
                <w:kern w:val="0"/>
                <w:sz w:val="22"/>
              </w:rPr>
              <w:t>-</w:t>
            </w:r>
            <w:r w:rsidRPr="00666F4F">
              <w:rPr>
                <w:rFonts w:ascii="Arial" w:eastAsia="宋体" w:hAnsi="Arial" w:cs="Arial"/>
                <w:color w:val="000000"/>
                <w:kern w:val="0"/>
                <w:sz w:val="22"/>
              </w:rPr>
              <w:t>山西兰花科技创业股份有限公司信托贷款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66F4F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      190,000,000.00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4F" w:rsidRPr="00666F4F" w:rsidRDefault="00666F4F" w:rsidP="00666F4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56F9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97.21%</w:t>
            </w:r>
          </w:p>
        </w:tc>
      </w:tr>
    </w:tbl>
    <w:p w:rsidR="001E617F" w:rsidRPr="00056F9E" w:rsidRDefault="001E617F" w:rsidP="001A646A">
      <w:pPr>
        <w:rPr>
          <w:rFonts w:ascii="Arial" w:hAnsi="Arial" w:cs="Arial"/>
          <w:sz w:val="30"/>
          <w:szCs w:val="30"/>
        </w:rPr>
      </w:pPr>
    </w:p>
    <w:p w:rsidR="007F4D6C" w:rsidRPr="004B3276" w:rsidRDefault="007F4D6C" w:rsidP="007F4D6C">
      <w:pPr>
        <w:pStyle w:val="a6"/>
        <w:ind w:left="435" w:right="150" w:firstLineChars="0" w:firstLine="0"/>
        <w:jc w:val="right"/>
        <w:rPr>
          <w:rFonts w:ascii="Arial" w:hAnsi="Arial" w:cs="Arial"/>
          <w:sz w:val="30"/>
          <w:szCs w:val="30"/>
        </w:rPr>
      </w:pPr>
      <w:r w:rsidRPr="004B3276">
        <w:rPr>
          <w:rFonts w:ascii="Arial" w:hAnsi="Arial" w:cs="Arial"/>
          <w:sz w:val="30"/>
          <w:szCs w:val="30"/>
        </w:rPr>
        <w:t>兴业银行股份有限公司</w:t>
      </w:r>
    </w:p>
    <w:p w:rsidR="007F4D6C" w:rsidRPr="004B3276" w:rsidRDefault="007F4D6C" w:rsidP="007F4D6C">
      <w:pPr>
        <w:pStyle w:val="a6"/>
        <w:ind w:left="435" w:right="150" w:firstLineChars="0" w:firstLine="0"/>
        <w:jc w:val="right"/>
        <w:rPr>
          <w:rFonts w:ascii="Arial" w:hAnsi="Arial" w:cs="Arial"/>
          <w:sz w:val="30"/>
          <w:szCs w:val="30"/>
        </w:rPr>
      </w:pPr>
      <w:r w:rsidRPr="004B3276">
        <w:rPr>
          <w:rFonts w:ascii="Arial" w:hAnsi="Arial" w:cs="Arial"/>
          <w:sz w:val="30"/>
          <w:szCs w:val="30"/>
        </w:rPr>
        <w:lastRenderedPageBreak/>
        <w:t>2019</w:t>
      </w:r>
      <w:r w:rsidRPr="004B3276">
        <w:rPr>
          <w:rFonts w:ascii="Arial" w:hAnsi="Arial" w:cs="Arial"/>
          <w:sz w:val="30"/>
          <w:szCs w:val="30"/>
        </w:rPr>
        <w:t>年</w:t>
      </w:r>
      <w:r w:rsidRPr="004B3276">
        <w:rPr>
          <w:rFonts w:ascii="Arial" w:hAnsi="Arial" w:cs="Arial"/>
          <w:sz w:val="30"/>
          <w:szCs w:val="30"/>
        </w:rPr>
        <w:t>4</w:t>
      </w:r>
      <w:r w:rsidRPr="004B3276">
        <w:rPr>
          <w:rFonts w:ascii="Arial" w:hAnsi="Arial" w:cs="Arial"/>
          <w:sz w:val="30"/>
          <w:szCs w:val="30"/>
        </w:rPr>
        <w:t>月</w:t>
      </w:r>
      <w:r w:rsidRPr="004B3276">
        <w:rPr>
          <w:rFonts w:ascii="Arial" w:hAnsi="Arial" w:cs="Arial"/>
          <w:sz w:val="30"/>
          <w:szCs w:val="30"/>
        </w:rPr>
        <w:t>10</w:t>
      </w:r>
      <w:r w:rsidRPr="004B3276">
        <w:rPr>
          <w:rFonts w:ascii="Arial" w:hAnsi="Arial" w:cs="Arial"/>
          <w:sz w:val="30"/>
          <w:szCs w:val="30"/>
        </w:rPr>
        <w:t>日</w:t>
      </w:r>
    </w:p>
    <w:p w:rsidR="001A646A" w:rsidRPr="00056F9E" w:rsidRDefault="001A646A" w:rsidP="001A646A">
      <w:pPr>
        <w:ind w:firstLineChars="200" w:firstLine="600"/>
        <w:rPr>
          <w:rFonts w:ascii="Arial" w:hAnsi="Arial" w:cs="Arial"/>
          <w:sz w:val="30"/>
          <w:szCs w:val="30"/>
        </w:rPr>
      </w:pPr>
    </w:p>
    <w:p w:rsidR="00932A3F" w:rsidRPr="00056F9E" w:rsidRDefault="00932A3F">
      <w:pPr>
        <w:rPr>
          <w:rFonts w:ascii="Arial" w:hAnsi="Arial" w:cs="Arial"/>
        </w:rPr>
      </w:pPr>
    </w:p>
    <w:sectPr w:rsidR="00932A3F" w:rsidRPr="00056F9E" w:rsidSect="00E4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10" w:rsidRDefault="003C1610" w:rsidP="004A6AE6">
      <w:r>
        <w:separator/>
      </w:r>
    </w:p>
  </w:endnote>
  <w:endnote w:type="continuationSeparator" w:id="0">
    <w:p w:rsidR="003C1610" w:rsidRDefault="003C1610" w:rsidP="004A6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10" w:rsidRDefault="003C1610" w:rsidP="004A6AE6">
      <w:r>
        <w:separator/>
      </w:r>
    </w:p>
  </w:footnote>
  <w:footnote w:type="continuationSeparator" w:id="0">
    <w:p w:rsidR="003C1610" w:rsidRDefault="003C1610" w:rsidP="004A6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A79"/>
    <w:multiLevelType w:val="hybridMultilevel"/>
    <w:tmpl w:val="89AE6856"/>
    <w:lvl w:ilvl="0" w:tplc="BEB23D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369412C6"/>
    <w:multiLevelType w:val="hybridMultilevel"/>
    <w:tmpl w:val="89AE6856"/>
    <w:lvl w:ilvl="0" w:tplc="BEB23D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594D1FAF"/>
    <w:multiLevelType w:val="hybridMultilevel"/>
    <w:tmpl w:val="8F5053B6"/>
    <w:lvl w:ilvl="0" w:tplc="77C43A86">
      <w:start w:val="1"/>
      <w:numFmt w:val="japaneseCounting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980267"/>
    <w:multiLevelType w:val="hybridMultilevel"/>
    <w:tmpl w:val="388A8500"/>
    <w:lvl w:ilvl="0" w:tplc="0066B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23643F"/>
    <w:multiLevelType w:val="hybridMultilevel"/>
    <w:tmpl w:val="89AE6856"/>
    <w:lvl w:ilvl="0" w:tplc="BEB23D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6A2A1CE9"/>
    <w:multiLevelType w:val="hybridMultilevel"/>
    <w:tmpl w:val="5740CCC0"/>
    <w:lvl w:ilvl="0" w:tplc="CD54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023547"/>
    <w:multiLevelType w:val="hybridMultilevel"/>
    <w:tmpl w:val="B27A6208"/>
    <w:lvl w:ilvl="0" w:tplc="B7CC88C6">
      <w:start w:val="1"/>
      <w:numFmt w:val="japaneseCounting"/>
      <w:lvlText w:val="%1.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46A"/>
    <w:rsid w:val="000079EE"/>
    <w:rsid w:val="00046A9C"/>
    <w:rsid w:val="00056F9E"/>
    <w:rsid w:val="00071880"/>
    <w:rsid w:val="000A135B"/>
    <w:rsid w:val="000B0E81"/>
    <w:rsid w:val="001A646A"/>
    <w:rsid w:val="001E617F"/>
    <w:rsid w:val="00220D51"/>
    <w:rsid w:val="0028090C"/>
    <w:rsid w:val="002A25BB"/>
    <w:rsid w:val="002A64BC"/>
    <w:rsid w:val="002F4B5C"/>
    <w:rsid w:val="00372267"/>
    <w:rsid w:val="00381E5D"/>
    <w:rsid w:val="003C1610"/>
    <w:rsid w:val="003C610D"/>
    <w:rsid w:val="003F4CA1"/>
    <w:rsid w:val="004A6AE6"/>
    <w:rsid w:val="004D430F"/>
    <w:rsid w:val="004D443D"/>
    <w:rsid w:val="00531DBA"/>
    <w:rsid w:val="005523D8"/>
    <w:rsid w:val="00597FAE"/>
    <w:rsid w:val="005D0A3D"/>
    <w:rsid w:val="00666F4F"/>
    <w:rsid w:val="00716ECA"/>
    <w:rsid w:val="00741123"/>
    <w:rsid w:val="007454D1"/>
    <w:rsid w:val="00747208"/>
    <w:rsid w:val="007E4E0D"/>
    <w:rsid w:val="007F3ECD"/>
    <w:rsid w:val="007F4D6C"/>
    <w:rsid w:val="00902D90"/>
    <w:rsid w:val="00932A3F"/>
    <w:rsid w:val="00995B97"/>
    <w:rsid w:val="009A1937"/>
    <w:rsid w:val="00A649D2"/>
    <w:rsid w:val="00AB7F75"/>
    <w:rsid w:val="00BA324F"/>
    <w:rsid w:val="00BB4F9F"/>
    <w:rsid w:val="00CE437D"/>
    <w:rsid w:val="00D165C4"/>
    <w:rsid w:val="00D641E1"/>
    <w:rsid w:val="00DE2B09"/>
    <w:rsid w:val="00E638B2"/>
    <w:rsid w:val="00EA7378"/>
    <w:rsid w:val="00EB45E3"/>
    <w:rsid w:val="00EF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46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A6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A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A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73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7378"/>
    <w:rPr>
      <w:sz w:val="18"/>
      <w:szCs w:val="18"/>
    </w:rPr>
  </w:style>
  <w:style w:type="paragraph" w:styleId="a6">
    <w:name w:val="List Paragraph"/>
    <w:basedOn w:val="a"/>
    <w:uiPriority w:val="34"/>
    <w:qFormat/>
    <w:rsid w:val="001E617F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7454D1"/>
  </w:style>
  <w:style w:type="paragraph" w:styleId="2">
    <w:name w:val="toc 2"/>
    <w:basedOn w:val="a"/>
    <w:next w:val="a"/>
    <w:autoRedefine/>
    <w:uiPriority w:val="39"/>
    <w:unhideWhenUsed/>
    <w:rsid w:val="007454D1"/>
    <w:pPr>
      <w:ind w:leftChars="200" w:left="420"/>
    </w:pPr>
  </w:style>
  <w:style w:type="character" w:styleId="a7">
    <w:name w:val="Hyperlink"/>
    <w:basedOn w:val="a0"/>
    <w:uiPriority w:val="99"/>
    <w:unhideWhenUsed/>
    <w:rsid w:val="007454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9B873-5038-4E34-BC2A-75D79145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764</Words>
  <Characters>4356</Characters>
  <Application>Microsoft Office Word</Application>
  <DocSecurity>0</DocSecurity>
  <Lines>36</Lines>
  <Paragraphs>10</Paragraphs>
  <ScaleCrop>false</ScaleCrop>
  <Company>Microsoft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</dc:creator>
  <cp:lastModifiedBy>李艺</cp:lastModifiedBy>
  <cp:revision>3</cp:revision>
  <dcterms:created xsi:type="dcterms:W3CDTF">2019-04-18T01:55:00Z</dcterms:created>
  <dcterms:modified xsi:type="dcterms:W3CDTF">2019-04-18T07:41:00Z</dcterms:modified>
</cp:coreProperties>
</file>