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B" w:rsidRPr="00735E75" w:rsidRDefault="00800FAB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35E75">
        <w:rPr>
          <w:rFonts w:ascii="宋体" w:eastAsia="宋体" w:hAnsi="宋体" w:cs="Times New Roman" w:hint="eastAsia"/>
          <w:b/>
          <w:sz w:val="30"/>
          <w:szCs w:val="30"/>
        </w:rPr>
        <w:t>兴业银行“天天万利宝稳利</w:t>
      </w:r>
      <w:r w:rsidR="003D3D71">
        <w:rPr>
          <w:rFonts w:ascii="宋体" w:eastAsia="宋体" w:hAnsi="宋体" w:cs="Times New Roman"/>
          <w:b/>
          <w:sz w:val="30"/>
          <w:szCs w:val="30"/>
        </w:rPr>
        <w:t>2</w:t>
      </w:r>
      <w:r w:rsidRPr="00735E75">
        <w:rPr>
          <w:rFonts w:ascii="宋体" w:eastAsia="宋体" w:hAnsi="宋体" w:cs="Times New Roman" w:hint="eastAsia"/>
          <w:b/>
          <w:sz w:val="30"/>
          <w:szCs w:val="30"/>
        </w:rPr>
        <w:t>号净值型理财产品C款”</w:t>
      </w:r>
    </w:p>
    <w:p w:rsidR="00800FAB" w:rsidRPr="00735E75" w:rsidRDefault="00800FAB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35E75">
        <w:rPr>
          <w:rFonts w:ascii="宋体" w:eastAsia="宋体" w:hAnsi="宋体" w:cs="Times New Roman"/>
          <w:b/>
          <w:sz w:val="30"/>
          <w:szCs w:val="30"/>
        </w:rPr>
        <w:t>2018年第</w:t>
      </w:r>
      <w:r w:rsidR="003D3D71">
        <w:rPr>
          <w:rFonts w:ascii="宋体" w:eastAsia="宋体" w:hAnsi="宋体" w:cs="Times New Roman"/>
          <w:b/>
          <w:sz w:val="30"/>
          <w:szCs w:val="30"/>
        </w:rPr>
        <w:t>4</w:t>
      </w:r>
      <w:r w:rsidRPr="00735E75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800FAB" w:rsidRDefault="005409E7" w:rsidP="00800FAB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2018年12月31日</w:t>
      </w:r>
    </w:p>
    <w:p w:rsidR="005409E7" w:rsidRDefault="005409E7" w:rsidP="00EE7CEC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35333400"/>
      <w:r w:rsidRPr="005409E7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EE7CEC" w:rsidRDefault="000162E5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r w:rsidRPr="000162E5">
        <w:rPr>
          <w:rFonts w:ascii="宋体" w:eastAsia="宋体" w:hAnsi="宋体" w:cs="Times New Roman"/>
          <w:b w:val="0"/>
          <w:sz w:val="30"/>
          <w:szCs w:val="30"/>
        </w:rPr>
        <w:fldChar w:fldCharType="begin"/>
      </w:r>
      <w:r w:rsidR="00EE7CEC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="00EE7CEC">
        <w:rPr>
          <w:rFonts w:ascii="宋体" w:eastAsia="宋体" w:hAnsi="宋体" w:cs="Times New Roman" w:hint="eastAsia"/>
          <w:b w:val="0"/>
          <w:sz w:val="30"/>
          <w:szCs w:val="30"/>
        </w:rPr>
        <w:instrText>TOC \o "1-3" \h \z \u</w:instrText>
      </w:r>
      <w:r w:rsidR="00EE7CEC">
        <w:rPr>
          <w:rFonts w:ascii="宋体" w:eastAsia="宋体" w:hAnsi="宋体" w:cs="Times New Roman"/>
          <w:b w:val="0"/>
          <w:sz w:val="30"/>
          <w:szCs w:val="30"/>
        </w:rPr>
        <w:instrText xml:space="preserve"> </w:instrText>
      </w:r>
      <w:r w:rsidRPr="000162E5">
        <w:rPr>
          <w:rFonts w:ascii="宋体" w:eastAsia="宋体" w:hAnsi="宋体" w:cs="Times New Roman"/>
          <w:b w:val="0"/>
          <w:sz w:val="30"/>
          <w:szCs w:val="30"/>
        </w:rPr>
        <w:fldChar w:fldCharType="separate"/>
      </w:r>
      <w:hyperlink w:anchor="_Toc535333400" w:history="1">
        <w:r w:rsidR="00EE7CEC" w:rsidRPr="006D65DA">
          <w:rPr>
            <w:rStyle w:val="a8"/>
            <w:rFonts w:ascii="宋体" w:eastAsia="宋体" w:hAnsi="宋体" w:cs="Times New Roman" w:hint="eastAsia"/>
            <w:noProof/>
          </w:rPr>
          <w:t>一．</w:t>
        </w:r>
        <w:r w:rsidR="00EE7CEC">
          <w:rPr>
            <w:b w:val="0"/>
            <w:bCs w:val="0"/>
            <w: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ascii="宋体" w:eastAsia="宋体" w:hAnsi="宋体" w:cs="Times New Roman" w:hint="eastAsia"/>
            <w:noProof/>
          </w:rPr>
          <w:t>目录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3401" w:history="1">
        <w:r w:rsidR="00EE7CEC" w:rsidRPr="006D65DA">
          <w:rPr>
            <w:rStyle w:val="a8"/>
            <w:rFonts w:ascii="宋体" w:eastAsia="宋体" w:hAnsi="宋体" w:cs="Times New Roman" w:hint="eastAsia"/>
            <w:noProof/>
          </w:rPr>
          <w:t>二．</w:t>
        </w:r>
        <w:r w:rsidR="00EE7CEC">
          <w:rPr>
            <w:b w:val="0"/>
            <w:bCs w:val="0"/>
            <w: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noProof/>
          </w:rPr>
          <w:t>产品基本情况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3402" w:history="1">
        <w:r w:rsidR="00EE7CEC" w:rsidRPr="006D65DA">
          <w:rPr>
            <w:rStyle w:val="a8"/>
            <w:rFonts w:ascii="宋体" w:eastAsia="宋体" w:hAnsi="宋体" w:cs="Times New Roman" w:hint="eastAsia"/>
            <w:noProof/>
          </w:rPr>
          <w:t>三．</w:t>
        </w:r>
        <w:r w:rsidR="00EE7CEC">
          <w:rPr>
            <w:b w:val="0"/>
            <w:bCs w:val="0"/>
            <w: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noProof/>
          </w:rPr>
          <w:t>产品收益</w:t>
        </w:r>
        <w:r w:rsidR="00EE7CEC" w:rsidRPr="006D65DA">
          <w:rPr>
            <w:rStyle w:val="a8"/>
            <w:noProof/>
          </w:rPr>
          <w:t>/</w:t>
        </w:r>
        <w:r w:rsidR="00EE7CEC" w:rsidRPr="006D65DA">
          <w:rPr>
            <w:rStyle w:val="a8"/>
            <w:rFonts w:hint="eastAsia"/>
            <w:noProof/>
          </w:rPr>
          <w:t>净值表现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3403" w:history="1">
        <w:r w:rsidR="00EE7CEC" w:rsidRPr="006D65DA">
          <w:rPr>
            <w:rStyle w:val="a8"/>
            <w:rFonts w:ascii="宋体" w:eastAsia="宋体" w:hAnsi="宋体" w:cs="Times New Roman" w:hint="eastAsia"/>
            <w:noProof/>
          </w:rPr>
          <w:t>四．</w:t>
        </w:r>
        <w:r w:rsidR="00EE7CEC">
          <w:rPr>
            <w:b w:val="0"/>
            <w:bCs w:val="0"/>
            <w: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noProof/>
          </w:rPr>
          <w:t>报告期内产品的投资策略和运作分析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3404" w:history="1">
        <w:r w:rsidR="00EE7CEC" w:rsidRPr="006D65DA">
          <w:rPr>
            <w:rStyle w:val="a8"/>
            <w:rFonts w:hint="eastAsia"/>
            <w:noProof/>
          </w:rPr>
          <w:t>五．</w:t>
        </w:r>
        <w:r w:rsidR="00EE7CEC">
          <w:rPr>
            <w:b w:val="0"/>
            <w:bCs w:val="0"/>
            <w: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noProof/>
          </w:rPr>
          <w:t>2018</w:t>
        </w:r>
        <w:r w:rsidR="00EE7CEC" w:rsidRPr="006D65DA">
          <w:rPr>
            <w:rStyle w:val="a8"/>
            <w:rFonts w:hint="eastAsia"/>
            <w:noProof/>
          </w:rPr>
          <w:t>年第</w:t>
        </w:r>
        <w:r w:rsidR="00EE7CEC" w:rsidRPr="006D65DA">
          <w:rPr>
            <w:rStyle w:val="a8"/>
            <w:noProof/>
          </w:rPr>
          <w:t>4</w:t>
        </w:r>
        <w:r w:rsidR="00EE7CEC" w:rsidRPr="006D65DA">
          <w:rPr>
            <w:rStyle w:val="a8"/>
            <w:rFonts w:hint="eastAsia"/>
            <w:noProof/>
          </w:rPr>
          <w:t>季度财务会计报告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3405" w:history="1">
        <w:r w:rsidR="00EE7CEC" w:rsidRPr="006D65DA">
          <w:rPr>
            <w:rStyle w:val="a8"/>
            <w:b/>
            <w:noProof/>
          </w:rPr>
          <w:t>1.</w:t>
        </w:r>
        <w:r w:rsidR="00EE7CEC">
          <w:rPr>
            <w:small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b/>
            <w:noProof/>
          </w:rPr>
          <w:t>资产负债表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3406" w:history="1">
        <w:r w:rsidR="00EE7CEC" w:rsidRPr="006D65DA">
          <w:rPr>
            <w:rStyle w:val="a8"/>
            <w:b/>
            <w:noProof/>
          </w:rPr>
          <w:t>2.</w:t>
        </w:r>
        <w:r w:rsidR="00EE7CEC">
          <w:rPr>
            <w:small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b/>
            <w:noProof/>
          </w:rPr>
          <w:t>利润表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3407" w:history="1">
        <w:r w:rsidR="00EE7CEC" w:rsidRPr="006D65DA">
          <w:rPr>
            <w:rStyle w:val="a8"/>
            <w:b/>
            <w:noProof/>
          </w:rPr>
          <w:t>3.</w:t>
        </w:r>
        <w:r w:rsidR="00EE7CEC">
          <w:rPr>
            <w:small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b/>
            <w:noProof/>
          </w:rPr>
          <w:t>所有者权益（产品净值）变动表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333408" w:history="1">
        <w:r w:rsidR="00EE7CEC" w:rsidRPr="006D65DA">
          <w:rPr>
            <w:rStyle w:val="a8"/>
            <w:rFonts w:hint="eastAsia"/>
            <w:noProof/>
          </w:rPr>
          <w:t>六．</w:t>
        </w:r>
        <w:r w:rsidR="00EE7CEC">
          <w:rPr>
            <w:b w:val="0"/>
            <w:bCs w:val="0"/>
            <w: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noProof/>
          </w:rPr>
          <w:t>投资组合情况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3409" w:history="1">
        <w:r w:rsidR="00EE7CEC" w:rsidRPr="006D65DA">
          <w:rPr>
            <w:rStyle w:val="a8"/>
            <w:b/>
            <w:noProof/>
          </w:rPr>
          <w:t>1.</w:t>
        </w:r>
        <w:r w:rsidR="00EE7CEC">
          <w:rPr>
            <w:small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b/>
            <w:noProof/>
          </w:rPr>
          <w:t>报告期末稳利</w:t>
        </w:r>
        <w:r w:rsidR="00EE7CEC" w:rsidRPr="006D65DA">
          <w:rPr>
            <w:rStyle w:val="a8"/>
            <w:b/>
            <w:noProof/>
          </w:rPr>
          <w:t>2</w:t>
        </w:r>
        <w:r w:rsidR="00EE7CEC" w:rsidRPr="006D65DA">
          <w:rPr>
            <w:rStyle w:val="a8"/>
            <w:rFonts w:hint="eastAsia"/>
            <w:b/>
            <w:noProof/>
          </w:rPr>
          <w:t>号</w:t>
        </w:r>
        <w:r w:rsidR="00EE7CEC" w:rsidRPr="006D65DA">
          <w:rPr>
            <w:rStyle w:val="a8"/>
            <w:b/>
            <w:noProof/>
          </w:rPr>
          <w:t>C</w:t>
        </w:r>
        <w:r w:rsidR="00EE7CEC" w:rsidRPr="006D65DA">
          <w:rPr>
            <w:rStyle w:val="a8"/>
            <w:rFonts w:hint="eastAsia"/>
            <w:b/>
            <w:noProof/>
          </w:rPr>
          <w:t>款资产组合情况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3410" w:history="1">
        <w:r w:rsidR="00EE7CEC" w:rsidRPr="006D65DA">
          <w:rPr>
            <w:rStyle w:val="a8"/>
            <w:b/>
            <w:noProof/>
          </w:rPr>
          <w:t>2.</w:t>
        </w:r>
        <w:r w:rsidR="00EE7CEC">
          <w:rPr>
            <w:small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b/>
            <w:noProof/>
          </w:rPr>
          <w:t>报告期末杠杆融资情况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E7CEC" w:rsidRDefault="000162E5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333411" w:history="1">
        <w:r w:rsidR="00EE7CEC" w:rsidRPr="006D65DA">
          <w:rPr>
            <w:rStyle w:val="a8"/>
            <w:b/>
            <w:noProof/>
          </w:rPr>
          <w:t>3.</w:t>
        </w:r>
        <w:r w:rsidR="00EE7CEC">
          <w:rPr>
            <w:smallCaps w:val="0"/>
            <w:noProof/>
            <w:sz w:val="21"/>
            <w:szCs w:val="22"/>
          </w:rPr>
          <w:tab/>
        </w:r>
        <w:r w:rsidR="00EE7CEC" w:rsidRPr="006D65DA">
          <w:rPr>
            <w:rStyle w:val="a8"/>
            <w:rFonts w:hint="eastAsia"/>
            <w:b/>
            <w:noProof/>
          </w:rPr>
          <w:t>报告期末资产持仓前十基本信息</w:t>
        </w:r>
        <w:r w:rsidR="00EE7C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CEC">
          <w:rPr>
            <w:noProof/>
            <w:webHidden/>
          </w:rPr>
          <w:instrText xml:space="preserve"> PAGEREF _Toc535333411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C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E7CEC" w:rsidRPr="005409E7" w:rsidRDefault="000162E5" w:rsidP="00EE7CEC">
      <w:pPr>
        <w:pStyle w:val="a3"/>
        <w:ind w:left="720" w:firstLineChars="0" w:firstLine="0"/>
        <w:outlineLvl w:val="0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800FAB" w:rsidRPr="005409E7" w:rsidRDefault="00800FAB" w:rsidP="00EE7CEC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35333401"/>
      <w:r w:rsidRPr="005409E7">
        <w:rPr>
          <w:rFonts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800FAB" w:rsidRPr="00735E75" w:rsidTr="00CC40FF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A12EA" w:rsidRDefault="00800FAB" w:rsidP="003D3D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highlight w:val="yellow"/>
              </w:rPr>
            </w:pPr>
            <w:r w:rsidRPr="003D3D7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天天</w:t>
            </w:r>
            <w:proofErr w:type="gramStart"/>
            <w:r w:rsidRPr="003D3D7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万利宝稳利</w:t>
            </w:r>
            <w:r w:rsidR="003D3D71" w:rsidRPr="003D3D71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</w:t>
            </w:r>
            <w:r w:rsidRPr="003D3D7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号</w:t>
            </w:r>
            <w:proofErr w:type="gramEnd"/>
            <w:r w:rsidRPr="003D3D7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净值型理财产品C款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A12EA" w:rsidRDefault="00800FAB" w:rsidP="003D3D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highlight w:val="yellow"/>
              </w:rPr>
            </w:pPr>
            <w:r w:rsidRPr="003D3D7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9K2180</w:t>
            </w:r>
            <w:r w:rsidR="003D3D71" w:rsidRPr="003D3D71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</w:t>
            </w:r>
            <w:r w:rsidRPr="003D3D7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BA12EA" w:rsidRDefault="000D293C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highlight w:val="yellow"/>
              </w:rPr>
            </w:pPr>
            <w:r w:rsidRPr="000D293C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C1030918000561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定期开放式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127E96" w:rsidRPr="00127E96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4,999,747,324.66</w:t>
            </w:r>
            <w:r w:rsidRPr="00127E9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份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本产品主要投资于固定收益类资产，在严格管理投资风险的基础上，追求资产的长期稳定增值。</w:t>
            </w:r>
          </w:p>
        </w:tc>
      </w:tr>
      <w:tr w:rsidR="00800FAB" w:rsidRPr="00735E75" w:rsidTr="00CC40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投资理念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本产品在严格控制风险的前提下，通过对国内外宏观经济、政策环境、市场利率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和资金供求的深入分析，预测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债券市场利率走势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并对各投资品种收益率、信用风险、流动性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、利率风险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进行分析</w:t>
            </w:r>
            <w:proofErr w:type="gramStart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</w:t>
            </w:r>
            <w:proofErr w:type="gramEnd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判，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主动构建及调整投资组合，力争获取超额收益。</w:t>
            </w:r>
          </w:p>
        </w:tc>
      </w:tr>
      <w:tr w:rsidR="00800FAB" w:rsidRPr="00735E75" w:rsidTr="00CC40FF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本产品将采取利率策略、信用策略，判断不同债券在经济周期的不同阶段的相对投资价值，并确定不同债券在组合资产中的配置比例，实现组合的稳健增值。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1D511D">
            <w:pPr>
              <w:pStyle w:val="Default"/>
              <w:rPr>
                <w:rFonts w:eastAsia="宋体"/>
                <w:b/>
                <w:sz w:val="22"/>
                <w:szCs w:val="22"/>
              </w:rPr>
            </w:pPr>
            <w:r w:rsidRPr="001D511D">
              <w:rPr>
                <w:rFonts w:eastAsia="宋体"/>
                <w:b/>
                <w:sz w:val="22"/>
                <w:szCs w:val="22"/>
              </w:rPr>
              <w:t>人民银行一年期定期存款利率(1.5%)+【3.</w:t>
            </w:r>
            <w:r w:rsidR="001D511D" w:rsidRPr="001D511D">
              <w:rPr>
                <w:rFonts w:eastAsia="宋体"/>
                <w:b/>
                <w:sz w:val="22"/>
                <w:szCs w:val="22"/>
              </w:rPr>
              <w:t>30</w:t>
            </w:r>
            <w:r w:rsidRPr="001D511D">
              <w:rPr>
                <w:rFonts w:eastAsia="宋体"/>
                <w:b/>
                <w:sz w:val="22"/>
                <w:szCs w:val="22"/>
              </w:rPr>
              <w:t>%-3.</w:t>
            </w:r>
            <w:r w:rsidR="001D511D" w:rsidRPr="001D511D">
              <w:rPr>
                <w:rFonts w:eastAsia="宋体"/>
                <w:b/>
                <w:sz w:val="22"/>
                <w:szCs w:val="22"/>
              </w:rPr>
              <w:t>55</w:t>
            </w:r>
            <w:r w:rsidRPr="001D511D">
              <w:rPr>
                <w:rFonts w:eastAsia="宋体"/>
                <w:b/>
                <w:sz w:val="22"/>
                <w:szCs w:val="22"/>
              </w:rPr>
              <w:t>%】，</w:t>
            </w:r>
            <w:r w:rsidRPr="001D511D">
              <w:rPr>
                <w:rFonts w:eastAsia="宋体"/>
                <w:b/>
                <w:sz w:val="22"/>
                <w:szCs w:val="22"/>
              </w:rPr>
              <w:lastRenderedPageBreak/>
              <w:t>即【</w:t>
            </w:r>
            <w:r w:rsidR="001D511D" w:rsidRPr="001D511D">
              <w:rPr>
                <w:rFonts w:eastAsia="宋体"/>
                <w:b/>
                <w:sz w:val="22"/>
                <w:szCs w:val="22"/>
              </w:rPr>
              <w:t>4.80</w:t>
            </w:r>
            <w:r w:rsidRPr="001D511D">
              <w:rPr>
                <w:rFonts w:eastAsia="宋体"/>
                <w:b/>
                <w:sz w:val="22"/>
                <w:szCs w:val="22"/>
              </w:rPr>
              <w:t>%-5.</w:t>
            </w:r>
            <w:r w:rsidR="001D511D" w:rsidRPr="001D511D">
              <w:rPr>
                <w:rFonts w:eastAsia="宋体" w:hint="eastAsia"/>
                <w:b/>
                <w:sz w:val="22"/>
                <w:szCs w:val="22"/>
              </w:rPr>
              <w:t>05</w:t>
            </w:r>
            <w:r w:rsidRPr="001D511D">
              <w:rPr>
                <w:rFonts w:eastAsia="宋体"/>
                <w:b/>
                <w:sz w:val="22"/>
                <w:szCs w:val="22"/>
              </w:rPr>
              <w:t>%】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本产品具有低风险、高稳定性的特征。</w:t>
            </w:r>
          </w:p>
        </w:tc>
      </w:tr>
      <w:tr w:rsidR="00800FAB" w:rsidRPr="00735E75" w:rsidTr="00CC40FF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800FAB" w:rsidRPr="00735E75" w:rsidTr="00CC40FF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800FAB" w:rsidRPr="005409E7" w:rsidRDefault="00800FAB" w:rsidP="00EE7CEC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2" w:name="_Toc535333402"/>
      <w:r w:rsidRPr="005409E7">
        <w:rPr>
          <w:rFonts w:hint="eastAsia"/>
          <w:b/>
          <w:sz w:val="30"/>
          <w:szCs w:val="30"/>
        </w:rPr>
        <w:t>产品收益</w:t>
      </w:r>
      <w:r w:rsidR="005409E7" w:rsidRPr="005409E7">
        <w:rPr>
          <w:rFonts w:hint="eastAsia"/>
          <w:b/>
          <w:sz w:val="30"/>
          <w:szCs w:val="30"/>
        </w:rPr>
        <w:t>/</w:t>
      </w:r>
      <w:r w:rsidR="005409E7" w:rsidRPr="005409E7">
        <w:rPr>
          <w:rFonts w:hint="eastAsia"/>
          <w:b/>
          <w:sz w:val="30"/>
          <w:szCs w:val="30"/>
        </w:rPr>
        <w:t>净值</w:t>
      </w:r>
      <w:r w:rsidRPr="005409E7">
        <w:rPr>
          <w:rFonts w:hint="eastAsia"/>
          <w:b/>
          <w:sz w:val="30"/>
          <w:szCs w:val="30"/>
        </w:rPr>
        <w:t>表现</w:t>
      </w:r>
      <w:bookmarkEnd w:id="2"/>
      <w:r w:rsidRPr="005409E7">
        <w:rPr>
          <w:b/>
          <w:sz w:val="30"/>
          <w:szCs w:val="30"/>
        </w:rPr>
        <w:tab/>
      </w:r>
    </w:p>
    <w:p w:rsidR="00800FAB" w:rsidRPr="005D11E6" w:rsidRDefault="00A67FF5" w:rsidP="00A67FF5">
      <w:pPr>
        <w:pStyle w:val="a3"/>
        <w:ind w:left="720" w:firstLineChars="0" w:firstLine="0"/>
        <w:rPr>
          <w:rFonts w:ascii="宋体" w:eastAsia="宋体" w:hAnsi="宋体" w:cs="Times New Roman"/>
          <w:sz w:val="30"/>
          <w:szCs w:val="30"/>
        </w:rPr>
      </w:pPr>
      <w:r w:rsidRPr="00A67FF5">
        <w:rPr>
          <w:rFonts w:ascii="宋体" w:eastAsia="宋体" w:hAnsi="宋体" w:cs="Times New Roman" w:hint="eastAsia"/>
          <w:sz w:val="30"/>
          <w:szCs w:val="30"/>
        </w:rPr>
        <w:t>产品成立以来，</w:t>
      </w:r>
      <w:r w:rsidRPr="00A67FF5">
        <w:rPr>
          <w:rFonts w:ascii="宋体" w:eastAsia="宋体" w:hAnsi="宋体" w:cs="Times New Roman"/>
          <w:sz w:val="30"/>
          <w:szCs w:val="30"/>
        </w:rPr>
        <w:t>累计</w:t>
      </w:r>
      <w:r w:rsidRPr="00A67FF5">
        <w:rPr>
          <w:rFonts w:ascii="宋体" w:eastAsia="宋体" w:hAnsi="宋体" w:cs="Times New Roman" w:hint="eastAsia"/>
          <w:sz w:val="30"/>
          <w:szCs w:val="30"/>
        </w:rPr>
        <w:t>净值增长率为</w:t>
      </w:r>
      <w:r>
        <w:rPr>
          <w:rFonts w:ascii="宋体" w:eastAsia="宋体" w:hAnsi="宋体" w:cs="Times New Roman" w:hint="eastAsia"/>
          <w:sz w:val="30"/>
          <w:szCs w:val="30"/>
        </w:rPr>
        <w:t>1.</w:t>
      </w:r>
      <w:r>
        <w:rPr>
          <w:rFonts w:ascii="宋体" w:eastAsia="宋体" w:hAnsi="宋体" w:cs="Times New Roman"/>
          <w:sz w:val="30"/>
          <w:szCs w:val="30"/>
        </w:rPr>
        <w:t>88%</w:t>
      </w:r>
      <w:r w:rsidRPr="00A67FF5">
        <w:rPr>
          <w:rFonts w:ascii="宋体" w:eastAsia="宋体" w:hAnsi="宋体" w:cs="Times New Roman" w:hint="eastAsia"/>
          <w:sz w:val="30"/>
          <w:szCs w:val="30"/>
        </w:rPr>
        <w:t>，产品净值表现曲线图如下：</w:t>
      </w:r>
    </w:p>
    <w:p w:rsidR="00800FAB" w:rsidRPr="005D11E6" w:rsidRDefault="00800FAB" w:rsidP="00800FAB">
      <w:pPr>
        <w:jc w:val="center"/>
        <w:rPr>
          <w:rFonts w:ascii="宋体" w:eastAsia="宋体" w:hAnsi="宋体" w:cs="Times New Roman"/>
          <w:sz w:val="22"/>
        </w:rPr>
      </w:pPr>
      <w:proofErr w:type="gramStart"/>
      <w:r w:rsidRPr="005D11E6">
        <w:rPr>
          <w:rFonts w:ascii="宋体" w:eastAsia="宋体" w:hAnsi="宋体" w:cs="Times New Roman" w:hint="eastAsia"/>
          <w:sz w:val="22"/>
        </w:rPr>
        <w:t>稳利</w:t>
      </w:r>
      <w:r w:rsidR="00352E39">
        <w:rPr>
          <w:rFonts w:ascii="宋体" w:eastAsia="宋体" w:hAnsi="宋体" w:cs="Times New Roman"/>
          <w:sz w:val="22"/>
        </w:rPr>
        <w:t>2</w:t>
      </w:r>
      <w:r w:rsidRPr="005D11E6">
        <w:rPr>
          <w:rFonts w:ascii="宋体" w:eastAsia="宋体" w:hAnsi="宋体" w:cs="Times New Roman"/>
          <w:sz w:val="22"/>
        </w:rPr>
        <w:t>号</w:t>
      </w:r>
      <w:proofErr w:type="gramEnd"/>
      <w:r w:rsidRPr="005D11E6">
        <w:rPr>
          <w:rFonts w:ascii="宋体" w:eastAsia="宋体" w:hAnsi="宋体" w:cs="Times New Roman" w:hint="eastAsia"/>
          <w:sz w:val="22"/>
        </w:rPr>
        <w:t>C款</w:t>
      </w:r>
      <w:r w:rsidRPr="005D11E6">
        <w:rPr>
          <w:rFonts w:ascii="宋体" w:eastAsia="宋体" w:hAnsi="宋体" w:cs="Times New Roman"/>
          <w:sz w:val="22"/>
        </w:rPr>
        <w:t>净值型理财产品</w:t>
      </w:r>
      <w:r w:rsidRPr="005D11E6">
        <w:rPr>
          <w:rFonts w:ascii="宋体" w:eastAsia="宋体" w:hAnsi="宋体" w:cs="Times New Roman" w:hint="eastAsia"/>
          <w:sz w:val="22"/>
        </w:rPr>
        <w:t>净值表现与业绩比较基准对比图</w:t>
      </w:r>
    </w:p>
    <w:p w:rsidR="00800FAB" w:rsidRPr="005D11E6" w:rsidRDefault="00800FAB" w:rsidP="00800FAB">
      <w:pPr>
        <w:jc w:val="center"/>
        <w:rPr>
          <w:sz w:val="22"/>
        </w:rPr>
      </w:pPr>
      <w:r w:rsidRPr="005D11E6">
        <w:rPr>
          <w:rFonts w:ascii="宋体" w:eastAsia="宋体" w:hAnsi="宋体" w:cs="Times New Roman" w:hint="eastAsia"/>
          <w:sz w:val="22"/>
        </w:rPr>
        <w:t>（2018年</w:t>
      </w:r>
      <w:r w:rsidR="00352E39">
        <w:rPr>
          <w:rFonts w:ascii="宋体" w:eastAsia="宋体" w:hAnsi="宋体" w:cs="Times New Roman"/>
          <w:sz w:val="22"/>
        </w:rPr>
        <w:t>9</w:t>
      </w:r>
      <w:r w:rsidRPr="005D11E6">
        <w:rPr>
          <w:rFonts w:ascii="宋体" w:eastAsia="宋体" w:hAnsi="宋体" w:cs="Times New Roman" w:hint="eastAsia"/>
          <w:sz w:val="22"/>
        </w:rPr>
        <w:t>月</w:t>
      </w:r>
      <w:r w:rsidR="00352E39">
        <w:rPr>
          <w:rFonts w:ascii="宋体" w:eastAsia="宋体" w:hAnsi="宋体" w:cs="Times New Roman"/>
          <w:sz w:val="22"/>
        </w:rPr>
        <w:t>4</w:t>
      </w:r>
      <w:r w:rsidRPr="005D11E6">
        <w:rPr>
          <w:rFonts w:ascii="宋体" w:eastAsia="宋体" w:hAnsi="宋体" w:cs="Times New Roman" w:hint="eastAsia"/>
          <w:sz w:val="22"/>
        </w:rPr>
        <w:t>日-2018年</w:t>
      </w:r>
      <w:r w:rsidR="00352E39">
        <w:rPr>
          <w:rFonts w:ascii="宋体" w:eastAsia="宋体" w:hAnsi="宋体" w:cs="Times New Roman"/>
          <w:sz w:val="22"/>
        </w:rPr>
        <w:t>12</w:t>
      </w:r>
      <w:r w:rsidRPr="005D11E6">
        <w:rPr>
          <w:rFonts w:ascii="宋体" w:eastAsia="宋体" w:hAnsi="宋体" w:cs="Times New Roman" w:hint="eastAsia"/>
          <w:sz w:val="22"/>
        </w:rPr>
        <w:t>月2</w:t>
      </w:r>
      <w:r w:rsidR="00352E39">
        <w:rPr>
          <w:rFonts w:ascii="宋体" w:eastAsia="宋体" w:hAnsi="宋体" w:cs="Times New Roman"/>
          <w:sz w:val="22"/>
        </w:rPr>
        <w:t>4</w:t>
      </w:r>
      <w:r w:rsidRPr="005D11E6">
        <w:rPr>
          <w:rFonts w:ascii="宋体" w:eastAsia="宋体" w:hAnsi="宋体" w:cs="Times New Roman" w:hint="eastAsia"/>
          <w:sz w:val="22"/>
        </w:rPr>
        <w:t>日）</w:t>
      </w:r>
    </w:p>
    <w:p w:rsidR="00800FAB" w:rsidRPr="00735E75" w:rsidRDefault="00800FAB" w:rsidP="00800FAB">
      <w:pPr>
        <w:rPr>
          <w:sz w:val="30"/>
          <w:szCs w:val="30"/>
        </w:rPr>
      </w:pPr>
    </w:p>
    <w:p w:rsidR="00800FAB" w:rsidRDefault="00A33EDE" w:rsidP="00800FAB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2101215</wp:posOffset>
            </wp:positionV>
            <wp:extent cx="504825" cy="44282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42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0"/>
          <w:szCs w:val="30"/>
        </w:rPr>
        <w:drawing>
          <wp:inline distT="0" distB="0" distL="0" distR="0">
            <wp:extent cx="5274310" cy="29006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C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F5" w:rsidRPr="007E55AF" w:rsidRDefault="00A67FF5" w:rsidP="00A67FF5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7E55AF">
        <w:rPr>
          <w:rFonts w:ascii="宋体" w:eastAsia="宋体" w:hAnsi="宋体" w:cs="Times New Roman" w:hint="eastAsia"/>
          <w:sz w:val="30"/>
          <w:szCs w:val="30"/>
        </w:rPr>
        <w:t>报告期末，产品净值表现具体如下：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48"/>
        <w:gridCol w:w="1680"/>
        <w:gridCol w:w="1976"/>
      </w:tblGrid>
      <w:tr w:rsidR="00A67FF5" w:rsidRPr="00462F45" w:rsidTr="006D3E80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F5" w:rsidRPr="00462F45" w:rsidRDefault="00A67FF5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F5" w:rsidRPr="00462F45" w:rsidRDefault="00A67FF5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F5" w:rsidRPr="00462F45" w:rsidRDefault="00A67FF5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F5" w:rsidRPr="00462F45" w:rsidRDefault="00A67FF5" w:rsidP="006D3E8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A67FF5" w:rsidRPr="00462F45" w:rsidTr="006D3E80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F5" w:rsidRPr="00462F45" w:rsidRDefault="00A67FF5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F5" w:rsidRPr="00462F45" w:rsidRDefault="00895AA3" w:rsidP="00831F5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AA3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1.020</w:t>
            </w:r>
            <w:r w:rsidR="00831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F5" w:rsidRPr="00462F45" w:rsidRDefault="00831F5E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AA3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F5" w:rsidRPr="00462F45" w:rsidRDefault="00895AA3" w:rsidP="006D3E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AA3">
              <w:rPr>
                <w:rFonts w:ascii="宋体" w:eastAsia="宋体" w:hAnsi="宋体" w:cs="宋体"/>
                <w:color w:val="000000"/>
                <w:kern w:val="0"/>
                <w:sz w:val="22"/>
              </w:rPr>
              <w:t>5,100,268,893.56</w:t>
            </w:r>
          </w:p>
        </w:tc>
      </w:tr>
    </w:tbl>
    <w:p w:rsidR="00A67FF5" w:rsidRPr="00A67FF5" w:rsidRDefault="00A67FF5" w:rsidP="00A67FF5">
      <w:pPr>
        <w:pStyle w:val="a3"/>
        <w:ind w:left="720"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A67FF5" w:rsidRPr="00A67FF5" w:rsidRDefault="00A67FF5" w:rsidP="00EE7CEC">
      <w:pPr>
        <w:pStyle w:val="a3"/>
        <w:numPr>
          <w:ilvl w:val="0"/>
          <w:numId w:val="2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3" w:name="_Toc535333403"/>
      <w:r w:rsidRPr="00A67FF5">
        <w:rPr>
          <w:rFonts w:hint="eastAsia"/>
          <w:b/>
          <w:sz w:val="30"/>
          <w:szCs w:val="30"/>
        </w:rPr>
        <w:t>报告期内产品的投资策略和运作分析</w:t>
      </w:r>
      <w:bookmarkEnd w:id="3"/>
    </w:p>
    <w:p w:rsidR="00A67FF5" w:rsidRDefault="00A67FF5" w:rsidP="00A67FF5">
      <w:pPr>
        <w:autoSpaceDE w:val="0"/>
        <w:autoSpaceDN w:val="0"/>
        <w:adjustRightInd w:val="0"/>
        <w:ind w:firstLine="600"/>
        <w:jc w:val="left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/>
          <w:color w:val="000000"/>
          <w:kern w:val="0"/>
          <w:sz w:val="30"/>
          <w:szCs w:val="30"/>
        </w:rPr>
        <w:t>2018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年四季度宏观经济下行压力</w:t>
      </w:r>
      <w:r>
        <w:rPr>
          <w:rFonts w:ascii="宋体" w:eastAsia="宋体" w:cs="宋体"/>
          <w:color w:val="000000"/>
          <w:kern w:val="0"/>
          <w:sz w:val="30"/>
          <w:szCs w:val="30"/>
        </w:rPr>
        <w:t>较大，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需求继续回落，生产再创新低，通胀压力减弱，经济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呈现“供需两弱，量价齐缩”的基本面特征。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需求端，消费疲软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地产销量低位震荡，乘用车、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家电等消费品销售</w:t>
      </w:r>
      <w:r w:rsidRPr="00AA3D39">
        <w:rPr>
          <w:rFonts w:ascii="宋体" w:eastAsia="宋体" w:cs="宋体" w:hint="eastAsia"/>
          <w:color w:val="000000"/>
          <w:kern w:val="0"/>
          <w:sz w:val="30"/>
          <w:szCs w:val="30"/>
        </w:rPr>
        <w:t>增速仍在探底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，11月进出口</w:t>
      </w:r>
      <w:r>
        <w:rPr>
          <w:rFonts w:ascii="宋体" w:eastAsia="宋体" w:cs="宋体"/>
          <w:color w:val="000000"/>
          <w:kern w:val="0"/>
          <w:sz w:val="30"/>
          <w:szCs w:val="30"/>
        </w:rPr>
        <w:t>数据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</w:t>
      </w:r>
      <w:r>
        <w:rPr>
          <w:rFonts w:ascii="宋体" w:eastAsia="宋体" w:cs="宋体"/>
          <w:color w:val="000000"/>
          <w:kern w:val="0"/>
          <w:sz w:val="30"/>
          <w:szCs w:val="30"/>
        </w:rPr>
        <w:t>前期抢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跑效应</w:t>
      </w:r>
      <w:r>
        <w:rPr>
          <w:rFonts w:ascii="宋体" w:eastAsia="宋体" w:cs="宋体"/>
          <w:color w:val="000000"/>
          <w:kern w:val="0"/>
          <w:sz w:val="30"/>
          <w:szCs w:val="30"/>
        </w:rPr>
        <w:t>后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退潮</w:t>
      </w:r>
      <w:r w:rsidRPr="00AA3D39">
        <w:rPr>
          <w:rFonts w:ascii="宋体" w:eastAsia="宋体" w:cs="宋体" w:hint="eastAsia"/>
          <w:color w:val="000000"/>
          <w:kern w:val="0"/>
          <w:sz w:val="30"/>
          <w:szCs w:val="30"/>
        </w:rPr>
        <w:t>；生产端，</w:t>
      </w:r>
      <w:r w:rsidRPr="006C4640">
        <w:rPr>
          <w:rFonts w:ascii="宋体" w:eastAsia="宋体" w:cs="宋体" w:hint="eastAsia"/>
          <w:color w:val="000000"/>
          <w:kern w:val="0"/>
          <w:sz w:val="30"/>
          <w:szCs w:val="30"/>
        </w:rPr>
        <w:t>11月规模以上工业增加值同比增长5.4%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，低于预期5.9%。</w:t>
      </w:r>
      <w:r w:rsidRPr="006C4640">
        <w:rPr>
          <w:rFonts w:ascii="宋体" w:eastAsia="宋体" w:cs="宋体" w:hint="eastAsia"/>
          <w:color w:val="000000"/>
          <w:kern w:val="0"/>
          <w:sz w:val="30"/>
          <w:szCs w:val="30"/>
        </w:rPr>
        <w:t>受工业生产销售增速放缓、工业品出厂价格涨幅回落、成本费用上升等影响，11月规模以上工业企业利润同比降1.8%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12月制造业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PMI指数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49.4%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，2年</w:t>
      </w:r>
      <w:r>
        <w:rPr>
          <w:rFonts w:ascii="宋体" w:eastAsia="宋体" w:cs="宋体"/>
          <w:color w:val="000000"/>
          <w:kern w:val="0"/>
          <w:sz w:val="30"/>
          <w:szCs w:val="30"/>
        </w:rPr>
        <w:t>多来首次</w:t>
      </w:r>
      <w:r w:rsidRPr="001911DE">
        <w:rPr>
          <w:rFonts w:ascii="宋体" w:eastAsia="宋体" w:cs="宋体" w:hint="eastAsia"/>
          <w:color w:val="000000"/>
          <w:kern w:val="0"/>
          <w:sz w:val="30"/>
          <w:szCs w:val="30"/>
        </w:rPr>
        <w:t>跌破枯荣线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，反映</w:t>
      </w:r>
      <w:r>
        <w:rPr>
          <w:rFonts w:ascii="宋体" w:eastAsia="宋体" w:cs="宋体"/>
          <w:color w:val="000000"/>
          <w:kern w:val="0"/>
          <w:sz w:val="30"/>
          <w:szCs w:val="30"/>
        </w:rPr>
        <w:t>制造业景气度持续明显回落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。金融数据方面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四季度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社融数据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继续</w:t>
      </w:r>
      <w:r>
        <w:rPr>
          <w:rFonts w:ascii="宋体" w:eastAsia="宋体" w:cs="宋体"/>
          <w:color w:val="000000"/>
          <w:kern w:val="0"/>
          <w:sz w:val="30"/>
          <w:szCs w:val="30"/>
        </w:rPr>
        <w:t>下滑，</w:t>
      </w:r>
      <w:r w:rsidRPr="00154CAB">
        <w:rPr>
          <w:rFonts w:ascii="宋体" w:eastAsia="宋体" w:cs="宋体" w:hint="eastAsia"/>
          <w:color w:val="000000"/>
          <w:kern w:val="0"/>
          <w:sz w:val="30"/>
          <w:szCs w:val="30"/>
        </w:rPr>
        <w:t>新增人民币贷款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持续回落，信用释放</w:t>
      </w:r>
      <w:r>
        <w:rPr>
          <w:rFonts w:ascii="宋体" w:eastAsia="宋体" w:cs="宋体"/>
          <w:color w:val="000000"/>
          <w:kern w:val="0"/>
          <w:sz w:val="30"/>
          <w:szCs w:val="30"/>
        </w:rPr>
        <w:t>问题仍未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改善</w:t>
      </w:r>
      <w:r w:rsidRPr="00154CAB"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此外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进入四季度随着商品价格大跌以及食品价格明显回落的影响，通胀压力有所减弱。</w:t>
      </w:r>
    </w:p>
    <w:p w:rsidR="00A67FF5" w:rsidRDefault="00A67FF5" w:rsidP="00A67FF5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资金面方面，除年末资金面有所波动外，四季度资金价格整体处于较低水平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总体</w:t>
      </w:r>
      <w:r>
        <w:rPr>
          <w:rFonts w:ascii="宋体" w:eastAsia="宋体" w:cs="宋体"/>
          <w:color w:val="000000"/>
          <w:kern w:val="0"/>
          <w:sz w:val="30"/>
          <w:szCs w:val="30"/>
        </w:rPr>
        <w:t>来看，央行呵护资金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面态度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明显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10月初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央行进行年内第四次降准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再释放增量资金约7500亿元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。12月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央行决定创设定向中期借贷便利（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TMLF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），操作利率</w:t>
      </w:r>
      <w:proofErr w:type="gramStart"/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比中期</w:t>
      </w:r>
      <w:proofErr w:type="gramEnd"/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借贷便利（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MLF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）利率优惠</w:t>
      </w:r>
      <w:r w:rsidRPr="003F3F24">
        <w:rPr>
          <w:rFonts w:ascii="宋体" w:eastAsia="宋体" w:cs="宋体"/>
          <w:color w:val="000000"/>
          <w:kern w:val="0"/>
          <w:sz w:val="30"/>
          <w:szCs w:val="30"/>
        </w:rPr>
        <w:t>15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个基点，资金可使用三年。2018年底的中央经济工作会议提出“</w:t>
      </w:r>
      <w:r w:rsidRPr="003F3F24">
        <w:rPr>
          <w:rFonts w:ascii="宋体" w:eastAsia="宋体" w:cs="宋体" w:hint="eastAsia"/>
          <w:color w:val="000000"/>
          <w:kern w:val="0"/>
          <w:sz w:val="30"/>
          <w:szCs w:val="30"/>
        </w:rPr>
        <w:t>稳健的货币政策要松紧适度，保持流动性合理充裕，改善货币政策传导机制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”。</w:t>
      </w:r>
    </w:p>
    <w:p w:rsidR="00A67FF5" w:rsidRDefault="00A67FF5" w:rsidP="00A67FF5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  <w:highlight w:val="yellow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利率走势方面，受经济基本面走弱、资金面宽松、</w:t>
      </w:r>
      <w:proofErr w:type="gramStart"/>
      <w:r w:rsidRPr="00A06DA2">
        <w:rPr>
          <w:rFonts w:ascii="宋体" w:eastAsia="宋体" w:cs="宋体" w:hint="eastAsia"/>
          <w:kern w:val="0"/>
          <w:sz w:val="30"/>
          <w:szCs w:val="30"/>
        </w:rPr>
        <w:t>社融等</w:t>
      </w:r>
      <w:proofErr w:type="gramEnd"/>
      <w:r w:rsidRPr="00A06DA2">
        <w:rPr>
          <w:rFonts w:ascii="宋体" w:eastAsia="宋体" w:cs="宋体" w:hint="eastAsia"/>
          <w:kern w:val="0"/>
          <w:sz w:val="30"/>
          <w:szCs w:val="30"/>
        </w:rPr>
        <w:t>金融数据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不及预期、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配置需求释放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等一系列利好因素影响，四季度债券收益率单边下行，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债牛趋势</w:t>
      </w:r>
      <w:proofErr w:type="gramEnd"/>
      <w:r>
        <w:rPr>
          <w:rFonts w:ascii="宋体" w:eastAsia="宋体" w:cs="宋体"/>
          <w:color w:val="000000"/>
          <w:kern w:val="0"/>
          <w:sz w:val="30"/>
          <w:szCs w:val="30"/>
        </w:rPr>
        <w:t>延续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仅</w:t>
      </w:r>
      <w:r w:rsidRPr="00D20FBB">
        <w:rPr>
          <w:rFonts w:ascii="宋体" w:eastAsia="宋体" w:cs="宋体" w:hint="eastAsia"/>
          <w:color w:val="000000"/>
          <w:kern w:val="0"/>
          <w:sz w:val="30"/>
          <w:szCs w:val="30"/>
        </w:rPr>
        <w:t>12月中旬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在发改委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发声支持优质企业发债和2</w:t>
      </w:r>
      <w:r>
        <w:rPr>
          <w:rFonts w:ascii="宋体" w:eastAsia="宋体" w:cs="宋体"/>
          <w:color w:val="000000"/>
          <w:kern w:val="0"/>
          <w:sz w:val="30"/>
          <w:szCs w:val="30"/>
        </w:rPr>
        <w:t>019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年一季度地方债提前发行等因素的扰动下，市场</w:t>
      </w:r>
      <w:r>
        <w:rPr>
          <w:rFonts w:ascii="宋体" w:eastAsia="宋体" w:cs="宋体"/>
          <w:color w:val="000000"/>
          <w:kern w:val="0"/>
          <w:sz w:val="30"/>
          <w:szCs w:val="30"/>
        </w:rPr>
        <w:t>担心供给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放量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出现过一定回调。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相较于三季度末，利率平坦化下行，</w:t>
      </w:r>
      <w:proofErr w:type="gramStart"/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国开债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1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年</w:t>
      </w:r>
      <w:proofErr w:type="gramEnd"/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32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3-5年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40-46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10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年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下行</w:t>
      </w:r>
      <w:r w:rsidRPr="005170AE">
        <w:rPr>
          <w:rFonts w:ascii="宋体" w:eastAsia="宋体" w:cs="宋体" w:hint="eastAsia"/>
          <w:color w:val="000000"/>
          <w:kern w:val="0"/>
          <w:sz w:val="30"/>
          <w:szCs w:val="30"/>
        </w:rPr>
        <w:t>56</w:t>
      </w:r>
      <w:r w:rsidRPr="005170AE">
        <w:rPr>
          <w:rFonts w:ascii="宋体" w:eastAsia="宋体" w:cs="宋体"/>
          <w:color w:val="000000"/>
          <w:kern w:val="0"/>
          <w:sz w:val="30"/>
          <w:szCs w:val="30"/>
        </w:rPr>
        <w:t>bp。</w:t>
      </w:r>
      <w:r w:rsidRPr="00486F18"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</w:t>
      </w:r>
    </w:p>
    <w:p w:rsidR="00A67FF5" w:rsidRDefault="00A67FF5" w:rsidP="00A67FF5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策略执行方面，组合继续维持杠杆套息操作，并适度参与利率债波段交易，赚取</w:t>
      </w:r>
      <w:r>
        <w:rPr>
          <w:rFonts w:ascii="宋体" w:eastAsia="宋体" w:cs="宋体"/>
          <w:color w:val="000000"/>
          <w:kern w:val="0"/>
          <w:sz w:val="30"/>
          <w:szCs w:val="30"/>
        </w:rPr>
        <w:t>曲线平坦化下行带来的超额收益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。在利率下行过快阶段注意压缩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仓位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和久期，利率回调后适度增配。组合配置中，注重结合宏观经济走势、资金面、政策面以及利率走势综合分析，选择相对投资价值更高的投资品种，注重对低评级债券充分挖掘投资价值。</w:t>
      </w:r>
    </w:p>
    <w:p w:rsidR="00A67FF5" w:rsidRPr="00A0793B" w:rsidRDefault="00A67FF5" w:rsidP="00A67FF5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bookmarkStart w:id="4" w:name="_GoBack"/>
      <w:bookmarkEnd w:id="4"/>
      <w:r w:rsidRPr="00CA5596">
        <w:rPr>
          <w:rFonts w:ascii="宋体" w:eastAsia="宋体" w:cs="宋体" w:hint="eastAsia"/>
          <w:color w:val="000000"/>
          <w:kern w:val="0"/>
          <w:sz w:val="30"/>
          <w:szCs w:val="30"/>
        </w:rPr>
        <w:t>展望2019年一季度，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经济</w:t>
      </w:r>
      <w:r>
        <w:rPr>
          <w:rFonts w:ascii="宋体" w:eastAsia="宋体" w:cs="宋体"/>
          <w:color w:val="000000"/>
          <w:kern w:val="0"/>
          <w:sz w:val="30"/>
          <w:szCs w:val="30"/>
        </w:rPr>
        <w:t>基本面尚未改善，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社融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增速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暂未</w:t>
      </w:r>
      <w:r>
        <w:rPr>
          <w:rFonts w:ascii="宋体" w:eastAsia="宋体" w:cs="宋体"/>
          <w:color w:val="000000"/>
          <w:kern w:val="0"/>
          <w:sz w:val="30"/>
          <w:szCs w:val="30"/>
        </w:rPr>
        <w:t>企稳，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“宽货币”</w:t>
      </w:r>
      <w:r>
        <w:rPr>
          <w:rFonts w:ascii="宋体" w:eastAsia="宋体" w:cs="宋体"/>
          <w:color w:val="000000"/>
          <w:kern w:val="0"/>
          <w:sz w:val="30"/>
          <w:szCs w:val="30"/>
        </w:rPr>
        <w:t>到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“宽信用”传导路径仍待</w:t>
      </w:r>
      <w:r>
        <w:rPr>
          <w:rFonts w:ascii="宋体" w:eastAsia="宋体" w:cs="宋体"/>
          <w:color w:val="000000"/>
          <w:kern w:val="0"/>
          <w:sz w:val="30"/>
          <w:szCs w:val="30"/>
        </w:rPr>
        <w:t>疏通，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加上配合地方债发行的需要，预计货币</w:t>
      </w:r>
      <w:r>
        <w:rPr>
          <w:rFonts w:ascii="宋体" w:eastAsia="宋体" w:cs="宋体"/>
          <w:color w:val="000000"/>
          <w:kern w:val="0"/>
          <w:sz w:val="30"/>
          <w:szCs w:val="30"/>
        </w:rPr>
        <w:t>政策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将维持稳健趋松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流动性保持充裕</w:t>
      </w:r>
      <w:r>
        <w:rPr>
          <w:rFonts w:ascii="宋体" w:eastAsia="宋体" w:cs="宋体"/>
          <w:color w:val="000000"/>
          <w:kern w:val="0"/>
          <w:sz w:val="30"/>
          <w:szCs w:val="30"/>
        </w:rPr>
        <w:t>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同时，外围方面</w:t>
      </w:r>
      <w:r w:rsidRPr="009C5304">
        <w:rPr>
          <w:rFonts w:ascii="宋体" w:eastAsia="宋体" w:cs="宋体" w:hint="eastAsia"/>
          <w:color w:val="000000"/>
          <w:kern w:val="0"/>
          <w:sz w:val="30"/>
          <w:szCs w:val="30"/>
        </w:rPr>
        <w:t>美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联储在12月完成2018年最后一次加息，并下调明年的经济增速和加息次数，为国内货币政策进一步打开空间。因此</w:t>
      </w:r>
      <w:r>
        <w:rPr>
          <w:rFonts w:ascii="宋体" w:eastAsia="宋体" w:cs="宋体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预计债市牛市</w:t>
      </w:r>
      <w:r>
        <w:rPr>
          <w:rFonts w:ascii="宋体" w:eastAsia="宋体" w:cs="宋体"/>
          <w:color w:val="000000"/>
          <w:kern w:val="0"/>
          <w:sz w:val="30"/>
          <w:szCs w:val="30"/>
        </w:rPr>
        <w:t>趋势仍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</w:t>
      </w:r>
      <w:r>
        <w:rPr>
          <w:rFonts w:ascii="宋体" w:eastAsia="宋体" w:cs="宋体"/>
          <w:color w:val="000000"/>
          <w:kern w:val="0"/>
          <w:sz w:val="30"/>
          <w:szCs w:val="30"/>
        </w:rPr>
        <w:t>延续。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但在</w:t>
      </w:r>
      <w:r w:rsidRPr="00FB025A">
        <w:rPr>
          <w:rFonts w:ascii="宋体" w:eastAsia="宋体" w:cs="宋体" w:hint="eastAsia"/>
          <w:color w:val="000000"/>
          <w:kern w:val="0"/>
          <w:sz w:val="30"/>
          <w:szCs w:val="30"/>
        </w:rPr>
        <w:t>地方债扩容、房地产政策可能局部放松、中美贸易冲突可能缓和等因素的影响下，短期内市场可能面临一定调整。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操作层面上，继续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享受债牛的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同时，关注从利率到信用的轮动机会，规避存在估值风险的品种，选择相对价值更高的品种并且逐步调整布局，进一步为投资者挖掘投资机会。</w:t>
      </w:r>
    </w:p>
    <w:p w:rsidR="00A67FF5" w:rsidRPr="007237FA" w:rsidRDefault="007237FA" w:rsidP="00EE7CEC">
      <w:pPr>
        <w:pStyle w:val="a3"/>
        <w:numPr>
          <w:ilvl w:val="0"/>
          <w:numId w:val="2"/>
        </w:numPr>
        <w:ind w:firstLineChars="0"/>
        <w:outlineLvl w:val="0"/>
        <w:rPr>
          <w:b/>
          <w:sz w:val="30"/>
          <w:szCs w:val="30"/>
        </w:rPr>
      </w:pPr>
      <w:bookmarkStart w:id="5" w:name="_Toc535333404"/>
      <w:r w:rsidRPr="007237FA">
        <w:rPr>
          <w:rFonts w:hint="eastAsia"/>
          <w:b/>
          <w:sz w:val="30"/>
          <w:szCs w:val="30"/>
        </w:rPr>
        <w:t>2018</w:t>
      </w:r>
      <w:r w:rsidRPr="007237FA">
        <w:rPr>
          <w:rFonts w:hint="eastAsia"/>
          <w:b/>
          <w:sz w:val="30"/>
          <w:szCs w:val="30"/>
        </w:rPr>
        <w:t>年第</w:t>
      </w:r>
      <w:r w:rsidRPr="007237FA">
        <w:rPr>
          <w:rFonts w:hint="eastAsia"/>
          <w:b/>
          <w:sz w:val="30"/>
          <w:szCs w:val="30"/>
        </w:rPr>
        <w:t>4</w:t>
      </w:r>
      <w:r w:rsidRPr="007237FA">
        <w:rPr>
          <w:rFonts w:hint="eastAsia"/>
          <w:b/>
          <w:sz w:val="30"/>
          <w:szCs w:val="30"/>
        </w:rPr>
        <w:t>季度财务会计报告</w:t>
      </w:r>
      <w:bookmarkEnd w:id="5"/>
    </w:p>
    <w:p w:rsidR="007237FA" w:rsidRPr="00EC6509" w:rsidRDefault="00EC6509" w:rsidP="00EE7CEC">
      <w:pPr>
        <w:pStyle w:val="a3"/>
        <w:numPr>
          <w:ilvl w:val="0"/>
          <w:numId w:val="4"/>
        </w:numPr>
        <w:ind w:firstLineChars="0"/>
        <w:outlineLvl w:val="1"/>
        <w:rPr>
          <w:b/>
          <w:sz w:val="30"/>
          <w:szCs w:val="30"/>
        </w:rPr>
      </w:pPr>
      <w:bookmarkStart w:id="6" w:name="_Toc535333405"/>
      <w:r w:rsidRPr="00EC6509">
        <w:rPr>
          <w:rFonts w:hint="eastAsia"/>
          <w:b/>
          <w:sz w:val="30"/>
          <w:szCs w:val="30"/>
        </w:rPr>
        <w:t>资产负债表</w:t>
      </w:r>
      <w:bookmarkEnd w:id="6"/>
    </w:p>
    <w:p w:rsidR="00EC6509" w:rsidRPr="00EC6509" w:rsidRDefault="00EC6509" w:rsidP="00EC6509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EC6509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EC6509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EC6509">
        <w:rPr>
          <w:rFonts w:ascii="宋体" w:eastAsia="宋体" w:hAnsi="宋体" w:cs="Times New Roman" w:hint="eastAsia"/>
          <w:sz w:val="22"/>
        </w:rPr>
        <w:t>净值型理财产品C款</w:t>
      </w:r>
    </w:p>
    <w:p w:rsidR="00EC6509" w:rsidRPr="00EC6509" w:rsidRDefault="00EC6509" w:rsidP="00EC6509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EC6509">
        <w:rPr>
          <w:rFonts w:ascii="宋体" w:eastAsia="宋体" w:hAnsi="宋体" w:cs="宋体" w:hint="eastAsia"/>
          <w:color w:val="000000"/>
          <w:kern w:val="0"/>
          <w:sz w:val="22"/>
        </w:rPr>
        <w:t>报告截止日：2018年12月31日</w:t>
      </w:r>
    </w:p>
    <w:tbl>
      <w:tblPr>
        <w:tblW w:w="11060" w:type="dxa"/>
        <w:jc w:val="center"/>
        <w:tblInd w:w="93" w:type="dxa"/>
        <w:tblLook w:val="04A0"/>
      </w:tblPr>
      <w:tblGrid>
        <w:gridCol w:w="1400"/>
        <w:gridCol w:w="1860"/>
        <w:gridCol w:w="1920"/>
        <w:gridCol w:w="2000"/>
        <w:gridCol w:w="1940"/>
        <w:gridCol w:w="1940"/>
      </w:tblGrid>
      <w:tr w:rsidR="0083085F" w:rsidRPr="0083085F" w:rsidTr="0083085F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83085F" w:rsidRPr="0083085F" w:rsidTr="0083085F">
        <w:trPr>
          <w:trHeight w:val="40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3085F" w:rsidRPr="0083085F" w:rsidRDefault="0083085F" w:rsidP="008308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资      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3085F" w:rsidRDefault="0083085F" w:rsidP="008308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83085F" w:rsidRPr="0083085F" w:rsidRDefault="0083085F" w:rsidP="008308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3085F" w:rsidRDefault="0083085F" w:rsidP="008308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83085F" w:rsidRPr="0083085F" w:rsidRDefault="0083085F" w:rsidP="008308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3085F" w:rsidRPr="0083085F" w:rsidRDefault="0083085F" w:rsidP="008308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3085F" w:rsidRDefault="0083085F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83085F" w:rsidRPr="0083085F" w:rsidRDefault="0083085F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3085F" w:rsidRDefault="0083085F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83085F" w:rsidRPr="0083085F" w:rsidRDefault="0083085F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>资产：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4,591,417.68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3,839,422.93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结算备付金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存出保证金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403,865.07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6,659,385,928.82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6,449,141,054.30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1,649,995,685.00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1,451,321,600.00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4,459,385,928.82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2,749,141,054.30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4,897,194.48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1,067,360.38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资产支持证券投资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29,325.42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106,736.04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同业借出投资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2,200,000,000.00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3,700,000,000.00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4,897,194.48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1,067,360.38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理财投资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46,245.54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980,480.68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205,233.31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1,943,332.45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2,099,547.19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99,954,441.29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26,790,823.12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1,662,789,458.05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1,455,867,837.30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实收资本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4,999,747,324.66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4,999,747,324.66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101,798,870.15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24,156,138.39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83085F" w:rsidRPr="0083085F" w:rsidTr="0083085F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5,101,546,194.81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5,023,903,463.05 </w:t>
            </w:r>
          </w:p>
        </w:tc>
      </w:tr>
      <w:tr w:rsidR="0083085F" w:rsidRPr="0083085F" w:rsidTr="0083085F">
        <w:trPr>
          <w:trHeight w:val="58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>资产总计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6,764,335,652.86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6,479,771,300.35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6,764,335,652.86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6,479,771,300.35 </w:t>
            </w:r>
          </w:p>
        </w:tc>
      </w:tr>
      <w:tr w:rsidR="0083085F" w:rsidRPr="0083085F" w:rsidTr="0083085F">
        <w:trPr>
          <w:trHeight w:val="645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附注：产品份额净值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5,101,546,194.81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>，产品份额总额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4,999,747,324.66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085F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F" w:rsidRPr="0083085F" w:rsidRDefault="0083085F" w:rsidP="0083085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C6509" w:rsidRPr="0083085F" w:rsidRDefault="0083085F" w:rsidP="00EE7CEC">
      <w:pPr>
        <w:pStyle w:val="a3"/>
        <w:numPr>
          <w:ilvl w:val="0"/>
          <w:numId w:val="4"/>
        </w:numPr>
        <w:ind w:firstLineChars="0"/>
        <w:outlineLvl w:val="1"/>
        <w:rPr>
          <w:b/>
          <w:sz w:val="30"/>
          <w:szCs w:val="30"/>
        </w:rPr>
      </w:pPr>
      <w:bookmarkStart w:id="7" w:name="_Toc535333406"/>
      <w:r w:rsidRPr="0083085F">
        <w:rPr>
          <w:rFonts w:hint="eastAsia"/>
          <w:b/>
          <w:sz w:val="30"/>
          <w:szCs w:val="30"/>
        </w:rPr>
        <w:t>利润表</w:t>
      </w:r>
      <w:bookmarkEnd w:id="7"/>
    </w:p>
    <w:p w:rsidR="005A1646" w:rsidRPr="00EC6509" w:rsidRDefault="005A1646" w:rsidP="005A1646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EC6509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EC6509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EC6509">
        <w:rPr>
          <w:rFonts w:ascii="宋体" w:eastAsia="宋体" w:hAnsi="宋体" w:cs="Times New Roman" w:hint="eastAsia"/>
          <w:sz w:val="22"/>
        </w:rPr>
        <w:t>净值型理财产品C款</w:t>
      </w:r>
    </w:p>
    <w:p w:rsidR="005A1646" w:rsidRPr="008938CF" w:rsidRDefault="005A1646" w:rsidP="005A1646">
      <w:pPr>
        <w:ind w:left="660" w:firstLine="4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本报告期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2018年10月1日至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2018年12月31日</w:t>
      </w:r>
    </w:p>
    <w:tbl>
      <w:tblPr>
        <w:tblW w:w="7953" w:type="dxa"/>
        <w:jc w:val="center"/>
        <w:tblInd w:w="93" w:type="dxa"/>
        <w:tblLook w:val="04A0"/>
      </w:tblPr>
      <w:tblGrid>
        <w:gridCol w:w="1090"/>
        <w:gridCol w:w="2133"/>
        <w:gridCol w:w="1967"/>
        <w:gridCol w:w="744"/>
        <w:gridCol w:w="2019"/>
      </w:tblGrid>
      <w:tr w:rsidR="00BA75C2" w:rsidRPr="00BA75C2" w:rsidTr="00BA75C2">
        <w:trPr>
          <w:trHeight w:val="300"/>
          <w:jc w:val="center"/>
        </w:trPr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98,905,780.61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86,516,174.71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23,279.78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40,526,257.71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45,966,637.22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6,606,962.63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6,606,962.63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5,782,643.27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21,263,048.85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3,829,834.10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382,983.66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3,829,834.10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27,760.43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12,473,784.96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12,473,784.96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718,851.60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77,642,731.76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A75C2" w:rsidRPr="00BA75C2" w:rsidTr="00BA75C2">
        <w:trPr>
          <w:trHeight w:val="300"/>
          <w:jc w:val="center"/>
        </w:trPr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四、净利润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C2" w:rsidRPr="00BA75C2" w:rsidRDefault="00BA75C2" w:rsidP="00BA75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5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77,642,731.76 </w:t>
            </w:r>
          </w:p>
        </w:tc>
      </w:tr>
    </w:tbl>
    <w:p w:rsidR="0083085F" w:rsidRPr="00BA75C2" w:rsidRDefault="00BA75C2" w:rsidP="00EE7CEC">
      <w:pPr>
        <w:pStyle w:val="a3"/>
        <w:numPr>
          <w:ilvl w:val="0"/>
          <w:numId w:val="4"/>
        </w:numPr>
        <w:ind w:firstLineChars="0"/>
        <w:outlineLvl w:val="1"/>
        <w:rPr>
          <w:b/>
          <w:sz w:val="30"/>
          <w:szCs w:val="30"/>
        </w:rPr>
      </w:pPr>
      <w:bookmarkStart w:id="8" w:name="_Toc535333407"/>
      <w:r w:rsidRPr="00BA75C2">
        <w:rPr>
          <w:rFonts w:hint="eastAsia"/>
          <w:b/>
          <w:sz w:val="30"/>
          <w:szCs w:val="30"/>
        </w:rPr>
        <w:t>所有者权益（产品净值）变动表</w:t>
      </w:r>
      <w:bookmarkEnd w:id="8"/>
    </w:p>
    <w:p w:rsidR="00684BB6" w:rsidRPr="00EC6509" w:rsidRDefault="00684BB6" w:rsidP="00684BB6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EC6509">
        <w:rPr>
          <w:rFonts w:ascii="宋体" w:eastAsia="宋体" w:hAnsi="宋体" w:cs="Times New Roman" w:hint="eastAsia"/>
          <w:sz w:val="22"/>
        </w:rPr>
        <w:t>会计主体：天天</w:t>
      </w:r>
      <w:proofErr w:type="gramStart"/>
      <w:r w:rsidRPr="00EC6509">
        <w:rPr>
          <w:rFonts w:ascii="宋体" w:eastAsia="宋体" w:hAnsi="宋体" w:cs="Times New Roman" w:hint="eastAsia"/>
          <w:sz w:val="22"/>
        </w:rPr>
        <w:t>万利宝稳利2号</w:t>
      </w:r>
      <w:proofErr w:type="gramEnd"/>
      <w:r w:rsidRPr="00EC6509">
        <w:rPr>
          <w:rFonts w:ascii="宋体" w:eastAsia="宋体" w:hAnsi="宋体" w:cs="Times New Roman" w:hint="eastAsia"/>
          <w:sz w:val="22"/>
        </w:rPr>
        <w:t>净值型理财产品C款</w:t>
      </w:r>
    </w:p>
    <w:p w:rsidR="00684BB6" w:rsidRPr="00684BB6" w:rsidRDefault="00684BB6" w:rsidP="00684BB6">
      <w:pPr>
        <w:pStyle w:val="a3"/>
        <w:ind w:left="108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684BB6">
        <w:rPr>
          <w:rFonts w:ascii="宋体" w:eastAsia="宋体" w:hAnsi="宋体" w:cs="宋体" w:hint="eastAsia"/>
          <w:color w:val="000000"/>
          <w:kern w:val="0"/>
          <w:sz w:val="22"/>
        </w:rPr>
        <w:t>本报告期：2018年10月1日至2018年12月31日</w:t>
      </w:r>
    </w:p>
    <w:tbl>
      <w:tblPr>
        <w:tblW w:w="9680" w:type="dxa"/>
        <w:jc w:val="center"/>
        <w:tblInd w:w="93" w:type="dxa"/>
        <w:tblLook w:val="04A0"/>
      </w:tblPr>
      <w:tblGrid>
        <w:gridCol w:w="3240"/>
        <w:gridCol w:w="2180"/>
        <w:gridCol w:w="2020"/>
        <w:gridCol w:w="2240"/>
      </w:tblGrid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981DAB" w:rsidRPr="00981DAB" w:rsidTr="00981DAB">
        <w:trPr>
          <w:trHeight w:val="40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本期金额</w:t>
            </w:r>
          </w:p>
        </w:tc>
      </w:tr>
      <w:tr w:rsidR="00981DAB" w:rsidRPr="00981DAB" w:rsidTr="00981DAB">
        <w:trPr>
          <w:trHeight w:val="402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4,999,747,324.66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24,156,138.39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5,023,903,463.05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77,642,731.76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77,642,731.76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4,999,747,324.66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101,798,870.15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5,101,546,194.81 </w:t>
            </w:r>
          </w:p>
        </w:tc>
      </w:tr>
      <w:tr w:rsidR="00981DAB" w:rsidRPr="00981DAB" w:rsidTr="00981DAB">
        <w:trPr>
          <w:trHeight w:val="402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上期金额</w:t>
            </w:r>
          </w:p>
        </w:tc>
      </w:tr>
      <w:tr w:rsidR="00981DAB" w:rsidRPr="00981DAB" w:rsidTr="00981DAB">
        <w:trPr>
          <w:trHeight w:val="402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实收资本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一、期初所有者权益（产品净值）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二、本期经营活动产生的产品净值变动数（本期净利润）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24,156,138.39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24,156,138.39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三、本期产品份额交易产生的产品净值变动数（净值减少以“-”号填列）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4,999,747,324.66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4,999,747,324.66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其中：1.产品申购款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4,999,747,324.66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4,999,747,324.66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2.产品</w:t>
            </w:r>
            <w:proofErr w:type="gramStart"/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四、本期向产品份额持有人分配利润产生的产品净值变动（净值减少以"-"号填列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981DAB" w:rsidRPr="00981DAB" w:rsidTr="00981DA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五、期末所有者权益（产品净值）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4,999,747,324.66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24,156,138.39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5,023,903,463.05 </w:t>
            </w:r>
          </w:p>
        </w:tc>
      </w:tr>
    </w:tbl>
    <w:p w:rsidR="00BA75C2" w:rsidRPr="00981DAB" w:rsidRDefault="00BA75C2" w:rsidP="00BA75C2">
      <w:pPr>
        <w:pStyle w:val="a3"/>
        <w:ind w:left="1080" w:firstLineChars="0" w:firstLine="0"/>
        <w:rPr>
          <w:sz w:val="30"/>
          <w:szCs w:val="30"/>
        </w:rPr>
      </w:pPr>
    </w:p>
    <w:p w:rsidR="00800FAB" w:rsidRPr="007237FA" w:rsidRDefault="00800FAB" w:rsidP="00EE7CEC">
      <w:pPr>
        <w:pStyle w:val="a3"/>
        <w:numPr>
          <w:ilvl w:val="0"/>
          <w:numId w:val="2"/>
        </w:numPr>
        <w:ind w:firstLineChars="0"/>
        <w:outlineLvl w:val="0"/>
        <w:rPr>
          <w:b/>
          <w:sz w:val="30"/>
          <w:szCs w:val="30"/>
        </w:rPr>
      </w:pPr>
      <w:bookmarkStart w:id="9" w:name="_Toc535333408"/>
      <w:r w:rsidRPr="007237FA">
        <w:rPr>
          <w:rFonts w:hint="eastAsia"/>
          <w:b/>
          <w:sz w:val="30"/>
          <w:szCs w:val="30"/>
        </w:rPr>
        <w:t>投资组合情况</w:t>
      </w:r>
      <w:bookmarkEnd w:id="9"/>
    </w:p>
    <w:p w:rsidR="007237FA" w:rsidRPr="007237FA" w:rsidRDefault="00800FAB" w:rsidP="00EE7CEC">
      <w:pPr>
        <w:pStyle w:val="a3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10" w:name="_Toc535333409"/>
      <w:r w:rsidRPr="007237FA">
        <w:rPr>
          <w:rFonts w:hint="eastAsia"/>
          <w:b/>
          <w:sz w:val="30"/>
          <w:szCs w:val="30"/>
        </w:rPr>
        <w:t>报告</w:t>
      </w:r>
      <w:proofErr w:type="gramStart"/>
      <w:r w:rsidRPr="007237FA">
        <w:rPr>
          <w:rFonts w:hint="eastAsia"/>
          <w:b/>
          <w:sz w:val="30"/>
          <w:szCs w:val="30"/>
        </w:rPr>
        <w:t>期末稳利</w:t>
      </w:r>
      <w:r w:rsidR="00CB2E2E" w:rsidRPr="007237FA">
        <w:rPr>
          <w:b/>
          <w:sz w:val="30"/>
          <w:szCs w:val="30"/>
        </w:rPr>
        <w:t>2</w:t>
      </w:r>
      <w:r w:rsidRPr="007237FA">
        <w:rPr>
          <w:rFonts w:hint="eastAsia"/>
          <w:b/>
          <w:sz w:val="30"/>
          <w:szCs w:val="30"/>
        </w:rPr>
        <w:t>号</w:t>
      </w:r>
      <w:proofErr w:type="gramEnd"/>
      <w:r w:rsidRPr="007237FA">
        <w:rPr>
          <w:rFonts w:hint="eastAsia"/>
          <w:b/>
          <w:sz w:val="30"/>
          <w:szCs w:val="30"/>
        </w:rPr>
        <w:t>C</w:t>
      </w:r>
      <w:proofErr w:type="gramStart"/>
      <w:r w:rsidRPr="007237FA">
        <w:rPr>
          <w:rFonts w:hint="eastAsia"/>
          <w:b/>
          <w:sz w:val="30"/>
          <w:szCs w:val="30"/>
        </w:rPr>
        <w:t>款资产</w:t>
      </w:r>
      <w:proofErr w:type="gramEnd"/>
      <w:r w:rsidRPr="007237FA">
        <w:rPr>
          <w:rFonts w:hint="eastAsia"/>
          <w:b/>
          <w:sz w:val="30"/>
          <w:szCs w:val="30"/>
        </w:rPr>
        <w:t>组合情况</w:t>
      </w:r>
      <w:bookmarkEnd w:id="10"/>
    </w:p>
    <w:tbl>
      <w:tblPr>
        <w:tblW w:w="4638" w:type="dxa"/>
        <w:jc w:val="center"/>
        <w:tblLook w:val="04A0"/>
      </w:tblPr>
      <w:tblGrid>
        <w:gridCol w:w="2796"/>
        <w:gridCol w:w="1842"/>
      </w:tblGrid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B2E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稳利</w:t>
            </w:r>
            <w:r w:rsidR="00CB2E2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proofErr w:type="gramStart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款资产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9574A3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0.07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债券投资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9574A3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35.14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9574A3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31.83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9574A3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32.96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800FAB" w:rsidRPr="00735E75" w:rsidTr="00CC40FF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800FAB" w:rsidRPr="00735E75" w:rsidRDefault="00800FAB" w:rsidP="00981DAB">
      <w:pPr>
        <w:ind w:firstLineChars="200" w:firstLine="600"/>
        <w:rPr>
          <w:bCs/>
          <w:sz w:val="30"/>
          <w:szCs w:val="30"/>
        </w:rPr>
      </w:pPr>
      <w:r w:rsidRPr="00735E75">
        <w:rPr>
          <w:rFonts w:hint="eastAsia"/>
          <w:bCs/>
          <w:sz w:val="30"/>
          <w:szCs w:val="30"/>
        </w:rPr>
        <w:t>上述资产组合中，各类</w:t>
      </w:r>
      <w:r w:rsidRPr="00735E75">
        <w:rPr>
          <w:bCs/>
          <w:sz w:val="30"/>
          <w:szCs w:val="30"/>
        </w:rPr>
        <w:t>资产</w:t>
      </w:r>
      <w:r w:rsidRPr="00735E75">
        <w:rPr>
          <w:rFonts w:hint="eastAsia"/>
          <w:bCs/>
          <w:sz w:val="30"/>
          <w:szCs w:val="30"/>
        </w:rPr>
        <w:t>投资</w:t>
      </w:r>
      <w:r w:rsidRPr="00735E75">
        <w:rPr>
          <w:bCs/>
          <w:sz w:val="30"/>
          <w:szCs w:val="30"/>
        </w:rPr>
        <w:t>比例在协议约定的范围</w:t>
      </w:r>
      <w:r w:rsidRPr="00735E75">
        <w:rPr>
          <w:rFonts w:hint="eastAsia"/>
          <w:bCs/>
          <w:sz w:val="30"/>
          <w:szCs w:val="30"/>
        </w:rPr>
        <w:t>内</w:t>
      </w:r>
      <w:r w:rsidRPr="00735E75">
        <w:rPr>
          <w:bCs/>
          <w:sz w:val="30"/>
          <w:szCs w:val="30"/>
        </w:rPr>
        <w:t>。</w:t>
      </w:r>
    </w:p>
    <w:p w:rsidR="00981DAB" w:rsidRPr="00981DAB" w:rsidRDefault="00800FAB" w:rsidP="00EE7CEC">
      <w:pPr>
        <w:pStyle w:val="a3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11" w:name="_Toc535333410"/>
      <w:r w:rsidRPr="00981DAB">
        <w:rPr>
          <w:rFonts w:hint="eastAsia"/>
          <w:b/>
          <w:sz w:val="30"/>
          <w:szCs w:val="30"/>
        </w:rPr>
        <w:t>报告期末杠杆融资情况</w:t>
      </w:r>
      <w:bookmarkEnd w:id="11"/>
    </w:p>
    <w:tbl>
      <w:tblPr>
        <w:tblW w:w="6940" w:type="dxa"/>
        <w:jc w:val="center"/>
        <w:tblLook w:val="04A0"/>
      </w:tblPr>
      <w:tblGrid>
        <w:gridCol w:w="3539"/>
        <w:gridCol w:w="1701"/>
        <w:gridCol w:w="1700"/>
      </w:tblGrid>
      <w:tr w:rsidR="00800FAB" w:rsidRPr="00735E75" w:rsidTr="00800FAB">
        <w:trPr>
          <w:trHeight w:val="2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C40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800FAB" w:rsidRPr="00735E75" w:rsidTr="00800FAB">
        <w:trPr>
          <w:trHeight w:val="270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800FAB" w:rsidP="00CB2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稳利</w:t>
            </w:r>
            <w:r w:rsidR="00CB2E2E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proofErr w:type="gramEnd"/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C款债券回购融资余额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CB2E2E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FAB" w:rsidRPr="00735E75" w:rsidRDefault="00CB2E2E" w:rsidP="00CC40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32.39</w:t>
            </w:r>
            <w:r w:rsidR="00800FAB"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</w:tbl>
    <w:p w:rsidR="00800FAB" w:rsidRDefault="00800FAB" w:rsidP="00800FAB">
      <w:pPr>
        <w:ind w:firstLineChars="200" w:firstLine="600"/>
        <w:rPr>
          <w:sz w:val="30"/>
          <w:szCs w:val="30"/>
        </w:rPr>
      </w:pPr>
      <w:r w:rsidRPr="00735E75">
        <w:rPr>
          <w:sz w:val="30"/>
          <w:szCs w:val="30"/>
        </w:rPr>
        <w:t>报告期</w:t>
      </w:r>
      <w:proofErr w:type="gramStart"/>
      <w:r w:rsidRPr="00735E75">
        <w:rPr>
          <w:sz w:val="30"/>
          <w:szCs w:val="30"/>
        </w:rPr>
        <w:t>内</w:t>
      </w:r>
      <w:r w:rsidRPr="00735E75">
        <w:rPr>
          <w:rFonts w:hint="eastAsia"/>
          <w:sz w:val="30"/>
          <w:szCs w:val="30"/>
        </w:rPr>
        <w:t>稳利</w:t>
      </w:r>
      <w:proofErr w:type="gramEnd"/>
      <w:r w:rsidR="00CB2E2E">
        <w:rPr>
          <w:sz w:val="30"/>
          <w:szCs w:val="30"/>
        </w:rPr>
        <w:t>2</w:t>
      </w:r>
      <w:r w:rsidRPr="00735E75">
        <w:rPr>
          <w:rFonts w:hint="eastAsia"/>
          <w:sz w:val="30"/>
          <w:szCs w:val="30"/>
        </w:rPr>
        <w:t>号</w:t>
      </w:r>
      <w:r w:rsidRPr="00735E75">
        <w:rPr>
          <w:rFonts w:hint="eastAsia"/>
          <w:sz w:val="30"/>
          <w:szCs w:val="30"/>
        </w:rPr>
        <w:t>C</w:t>
      </w:r>
      <w:r w:rsidRPr="00735E75">
        <w:rPr>
          <w:rFonts w:hint="eastAsia"/>
          <w:sz w:val="30"/>
          <w:szCs w:val="30"/>
        </w:rPr>
        <w:t>款债券回购融资余额未超过净资产规模的</w:t>
      </w:r>
      <w:r w:rsidRPr="00735E75">
        <w:rPr>
          <w:rFonts w:hint="eastAsia"/>
          <w:sz w:val="30"/>
          <w:szCs w:val="30"/>
        </w:rPr>
        <w:t>40%</w:t>
      </w:r>
      <w:r w:rsidRPr="00735E75">
        <w:rPr>
          <w:rFonts w:hint="eastAsia"/>
          <w:sz w:val="30"/>
          <w:szCs w:val="30"/>
        </w:rPr>
        <w:t>，</w:t>
      </w:r>
      <w:proofErr w:type="gramStart"/>
      <w:r w:rsidRPr="00735E75">
        <w:rPr>
          <w:rFonts w:hint="eastAsia"/>
          <w:sz w:val="30"/>
          <w:szCs w:val="30"/>
        </w:rPr>
        <w:t>稳利</w:t>
      </w:r>
      <w:r w:rsidR="00CB2E2E">
        <w:rPr>
          <w:sz w:val="30"/>
          <w:szCs w:val="30"/>
        </w:rPr>
        <w:t>2</w:t>
      </w:r>
      <w:r w:rsidRPr="00735E75">
        <w:rPr>
          <w:rFonts w:hint="eastAsia"/>
          <w:sz w:val="30"/>
          <w:szCs w:val="30"/>
        </w:rPr>
        <w:t>号</w:t>
      </w:r>
      <w:proofErr w:type="gramEnd"/>
      <w:r w:rsidRPr="00735E75">
        <w:rPr>
          <w:rFonts w:hint="eastAsia"/>
          <w:sz w:val="30"/>
          <w:szCs w:val="30"/>
        </w:rPr>
        <w:t>C</w:t>
      </w:r>
      <w:r w:rsidRPr="00735E75">
        <w:rPr>
          <w:rFonts w:hint="eastAsia"/>
          <w:sz w:val="30"/>
          <w:szCs w:val="30"/>
        </w:rPr>
        <w:t>款总资产未超过该产品净资产规模的</w:t>
      </w:r>
      <w:r w:rsidRPr="00735E75">
        <w:rPr>
          <w:rFonts w:hint="eastAsia"/>
          <w:sz w:val="30"/>
          <w:szCs w:val="30"/>
        </w:rPr>
        <w:t>140%</w:t>
      </w:r>
      <w:r w:rsidRPr="00735E75">
        <w:rPr>
          <w:rFonts w:hint="eastAsia"/>
          <w:sz w:val="30"/>
          <w:szCs w:val="30"/>
        </w:rPr>
        <w:t>，符合产品协议对本产品杠杆比例的要求。</w:t>
      </w:r>
    </w:p>
    <w:p w:rsidR="00981DAB" w:rsidRPr="00981DAB" w:rsidRDefault="00981DAB" w:rsidP="00981DAB">
      <w:pPr>
        <w:pStyle w:val="a3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12" w:name="_Toc535248078"/>
      <w:bookmarkStart w:id="13" w:name="_Toc534991172"/>
      <w:bookmarkStart w:id="14" w:name="_Toc535333411"/>
      <w:r w:rsidRPr="00981DAB">
        <w:rPr>
          <w:rFonts w:hint="eastAsia"/>
          <w:b/>
          <w:sz w:val="30"/>
          <w:szCs w:val="30"/>
        </w:rPr>
        <w:t>报告期末资产持仓前</w:t>
      </w:r>
      <w:proofErr w:type="gramStart"/>
      <w:r w:rsidRPr="00981DAB">
        <w:rPr>
          <w:rFonts w:hint="eastAsia"/>
          <w:b/>
          <w:sz w:val="30"/>
          <w:szCs w:val="30"/>
        </w:rPr>
        <w:t>十基本</w:t>
      </w:r>
      <w:proofErr w:type="gramEnd"/>
      <w:r w:rsidRPr="00981DAB">
        <w:rPr>
          <w:rFonts w:hint="eastAsia"/>
          <w:b/>
          <w:sz w:val="30"/>
          <w:szCs w:val="30"/>
        </w:rPr>
        <w:t>信息</w:t>
      </w:r>
      <w:bookmarkEnd w:id="12"/>
      <w:bookmarkEnd w:id="13"/>
      <w:bookmarkEnd w:id="14"/>
    </w:p>
    <w:tbl>
      <w:tblPr>
        <w:tblW w:w="7600" w:type="dxa"/>
        <w:jc w:val="center"/>
        <w:tblInd w:w="93" w:type="dxa"/>
        <w:tblLook w:val="04A0"/>
      </w:tblPr>
      <w:tblGrid>
        <w:gridCol w:w="1660"/>
        <w:gridCol w:w="2600"/>
        <w:gridCol w:w="2260"/>
        <w:gridCol w:w="1080"/>
      </w:tblGrid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资产类型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占比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同业借款20180123002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1,000,000,000.00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15.03%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同业借款20180209004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1,000,000,000.00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14.91%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18大连银行CD137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500,000,000.00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7.20%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18恒丰银行CD363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400,000,000.00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5.74%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18重庆农村商行CD083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300,000,000.00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4.36%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270,000,000.00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4.08%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18证金D27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230,000,000.00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3.46%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同业借款20180208001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3.01%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18泉州银行CD031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2.93%</w:t>
            </w:r>
          </w:p>
        </w:tc>
      </w:tr>
      <w:tr w:rsidR="00981DAB" w:rsidRPr="00981DAB" w:rsidTr="00981DAB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18宁波银行CD158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200,000,000.00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AB" w:rsidRPr="00981DAB" w:rsidRDefault="00981DAB" w:rsidP="00981D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1D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2.91%</w:t>
            </w:r>
          </w:p>
        </w:tc>
      </w:tr>
    </w:tbl>
    <w:p w:rsidR="00E30EEF" w:rsidRPr="00580FF4" w:rsidRDefault="00E30EEF" w:rsidP="00E30EEF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E30EEF" w:rsidRPr="00580FF4" w:rsidRDefault="00E30EEF" w:rsidP="00E30EEF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9</w:t>
      </w:r>
      <w:r w:rsidRPr="00580F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1</w:t>
      </w:r>
      <w:r w:rsidRPr="00580F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>10</w:t>
      </w:r>
      <w:r w:rsidRPr="00580FF4">
        <w:rPr>
          <w:rFonts w:asciiTheme="minorEastAsia" w:hAnsiTheme="minorEastAsia" w:hint="eastAsia"/>
          <w:sz w:val="30"/>
          <w:szCs w:val="30"/>
        </w:rPr>
        <w:t>日</w:t>
      </w:r>
    </w:p>
    <w:p w:rsidR="00981DAB" w:rsidRPr="00981DAB" w:rsidRDefault="00981DAB" w:rsidP="00981DAB">
      <w:pPr>
        <w:pStyle w:val="a3"/>
        <w:ind w:left="375" w:firstLineChars="0" w:firstLine="0"/>
        <w:outlineLvl w:val="1"/>
        <w:rPr>
          <w:b/>
          <w:sz w:val="30"/>
          <w:szCs w:val="30"/>
        </w:rPr>
      </w:pPr>
    </w:p>
    <w:p w:rsidR="00981DAB" w:rsidRPr="00981DAB" w:rsidRDefault="00981DAB" w:rsidP="00800FAB">
      <w:pPr>
        <w:ind w:firstLineChars="200" w:firstLine="600"/>
        <w:rPr>
          <w:sz w:val="30"/>
          <w:szCs w:val="30"/>
        </w:rPr>
      </w:pPr>
    </w:p>
    <w:sectPr w:rsidR="00981DAB" w:rsidRPr="00981DAB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5D" w:rsidRDefault="00E9685D" w:rsidP="00B76059">
      <w:r>
        <w:separator/>
      </w:r>
    </w:p>
  </w:endnote>
  <w:endnote w:type="continuationSeparator" w:id="0">
    <w:p w:rsidR="00E9685D" w:rsidRDefault="00E9685D" w:rsidP="00B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5D" w:rsidRDefault="00E9685D" w:rsidP="00B76059">
      <w:r>
        <w:separator/>
      </w:r>
    </w:p>
  </w:footnote>
  <w:footnote w:type="continuationSeparator" w:id="0">
    <w:p w:rsidR="00E9685D" w:rsidRDefault="00E9685D" w:rsidP="00B7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852"/>
    <w:multiLevelType w:val="hybridMultilevel"/>
    <w:tmpl w:val="092883E0"/>
    <w:lvl w:ilvl="0" w:tplc="112870F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3C5B55"/>
    <w:multiLevelType w:val="hybridMultilevel"/>
    <w:tmpl w:val="28360D04"/>
    <w:lvl w:ilvl="0" w:tplc="8892C4F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D5231E"/>
    <w:multiLevelType w:val="hybridMultilevel"/>
    <w:tmpl w:val="D9F4ED74"/>
    <w:lvl w:ilvl="0" w:tplc="44F61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C023547"/>
    <w:multiLevelType w:val="hybridMultilevel"/>
    <w:tmpl w:val="B27A6208"/>
    <w:lvl w:ilvl="0" w:tplc="B7CC88C6">
      <w:start w:val="1"/>
      <w:numFmt w:val="japaneseCounting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AB"/>
    <w:rsid w:val="000162E5"/>
    <w:rsid w:val="0007596C"/>
    <w:rsid w:val="000D293C"/>
    <w:rsid w:val="00127E96"/>
    <w:rsid w:val="001D511D"/>
    <w:rsid w:val="00352E39"/>
    <w:rsid w:val="003767C2"/>
    <w:rsid w:val="003D3D71"/>
    <w:rsid w:val="00471D45"/>
    <w:rsid w:val="005346BE"/>
    <w:rsid w:val="005409E7"/>
    <w:rsid w:val="005A1646"/>
    <w:rsid w:val="006254F4"/>
    <w:rsid w:val="00670924"/>
    <w:rsid w:val="00684BB6"/>
    <w:rsid w:val="006E58EE"/>
    <w:rsid w:val="007237FA"/>
    <w:rsid w:val="007C2AC4"/>
    <w:rsid w:val="00800FAB"/>
    <w:rsid w:val="0083085F"/>
    <w:rsid w:val="00831F5E"/>
    <w:rsid w:val="00895AA3"/>
    <w:rsid w:val="00932A3F"/>
    <w:rsid w:val="009574A3"/>
    <w:rsid w:val="00981DAB"/>
    <w:rsid w:val="00A0793B"/>
    <w:rsid w:val="00A33EDE"/>
    <w:rsid w:val="00A67FF5"/>
    <w:rsid w:val="00B76059"/>
    <w:rsid w:val="00BA12EA"/>
    <w:rsid w:val="00BA75C2"/>
    <w:rsid w:val="00CB2E2E"/>
    <w:rsid w:val="00D862DF"/>
    <w:rsid w:val="00E30EEF"/>
    <w:rsid w:val="00E51294"/>
    <w:rsid w:val="00E572B6"/>
    <w:rsid w:val="00E9685D"/>
    <w:rsid w:val="00EA3E6A"/>
    <w:rsid w:val="00EC5210"/>
    <w:rsid w:val="00EC6509"/>
    <w:rsid w:val="00EE7CEC"/>
    <w:rsid w:val="00FF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FA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0F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0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05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409E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409E7"/>
  </w:style>
  <w:style w:type="paragraph" w:styleId="a7">
    <w:name w:val="Balloon Text"/>
    <w:basedOn w:val="a"/>
    <w:link w:val="Char2"/>
    <w:uiPriority w:val="99"/>
    <w:semiHidden/>
    <w:unhideWhenUsed/>
    <w:rsid w:val="00A67FF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67FF5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EE7CEC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EE7CEC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E7CEC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E7CEC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E7CEC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E7CEC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E7CEC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E7CEC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E7CEC"/>
    <w:pPr>
      <w:ind w:left="1680"/>
      <w:jc w:val="left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EE7C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C9205-F8FD-46E5-94CC-51BD150F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1027</Words>
  <Characters>5860</Characters>
  <Application>Microsoft Office Word</Application>
  <DocSecurity>0</DocSecurity>
  <Lines>48</Lines>
  <Paragraphs>13</Paragraphs>
  <ScaleCrop>false</ScaleCrop>
  <Company>Microsoft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</dc:creator>
  <cp:keywords/>
  <dc:description/>
  <cp:lastModifiedBy>李艺</cp:lastModifiedBy>
  <cp:revision>29</cp:revision>
  <dcterms:created xsi:type="dcterms:W3CDTF">2018-10-17T06:23:00Z</dcterms:created>
  <dcterms:modified xsi:type="dcterms:W3CDTF">2019-01-17T08:16:00Z</dcterms:modified>
</cp:coreProperties>
</file>