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5A8" w:rsidRDefault="006B75A8" w:rsidP="006B75A8">
      <w:r>
        <w:rPr>
          <w:noProof/>
        </w:rPr>
        <w:drawing>
          <wp:inline distT="0" distB="0" distL="0" distR="0">
            <wp:extent cx="2505075" cy="609600"/>
            <wp:effectExtent l="19050" t="0" r="9525" b="0"/>
            <wp:docPr id="5" name="图片 1" descr="兴业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兴业logo"/>
                    <pic:cNvPicPr>
                      <a:picLocks noChangeAspect="1" noChangeArrowheads="1"/>
                    </pic:cNvPicPr>
                  </pic:nvPicPr>
                  <pic:blipFill>
                    <a:blip r:embed="rId8" cstate="print"/>
                    <a:srcRect/>
                    <a:stretch>
                      <a:fillRect/>
                    </a:stretch>
                  </pic:blipFill>
                  <pic:spPr bwMode="auto">
                    <a:xfrm>
                      <a:off x="0" y="0"/>
                      <a:ext cx="2505075" cy="609600"/>
                    </a:xfrm>
                    <a:prstGeom prst="rect">
                      <a:avLst/>
                    </a:prstGeom>
                    <a:noFill/>
                    <a:ln w="9525">
                      <a:noFill/>
                      <a:miter lim="800000"/>
                      <a:headEnd/>
                      <a:tailEnd/>
                    </a:ln>
                  </pic:spPr>
                </pic:pic>
              </a:graphicData>
            </a:graphic>
          </wp:inline>
        </w:drawing>
      </w:r>
    </w:p>
    <w:p w:rsidR="006B75A8" w:rsidRDefault="006B75A8" w:rsidP="006B75A8">
      <w:pPr>
        <w:jc w:val="left"/>
      </w:pPr>
    </w:p>
    <w:p w:rsidR="006B75A8" w:rsidRDefault="006B75A8" w:rsidP="006B75A8"/>
    <w:p w:rsidR="006B75A8" w:rsidRDefault="006B75A8" w:rsidP="006B75A8">
      <w:pPr>
        <w:jc w:val="center"/>
        <w:rPr>
          <w:sz w:val="32"/>
          <w:szCs w:val="32"/>
        </w:rPr>
      </w:pPr>
    </w:p>
    <w:p w:rsidR="006B75A8" w:rsidRDefault="00443049" w:rsidP="006B75A8">
      <w:pPr>
        <w:jc w:val="center"/>
        <w:rPr>
          <w:sz w:val="32"/>
          <w:szCs w:val="32"/>
        </w:rPr>
      </w:pPr>
      <w:r w:rsidRPr="00443049">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9" type="#_x0000_t136" style="position:absolute;left:0;text-align:left;margin-left:51.75pt;margin-top:10.8pt;width:315pt;height:33.75pt;z-index:-251641344" wrapcoords="2931 0 360 1920 -51 3360 -51 18720 3240 21120 21343 21120 21343 15360 21600 14400 21600 12000 21343 7680 21600 7680 21600 5760 21343 0 2931 0" fillcolor="#5f5f5f" strokecolor="#5f5f5f">
            <v:shadow color="#868686"/>
            <v:textpath style="font-family:&quot;黑体&quot;;v-text-kern:t" trim="t" fitpath="t" string="2015年第一次临时股东大会会议文件"/>
            <w10:wrap type="tight"/>
          </v:shape>
        </w:pict>
      </w:r>
    </w:p>
    <w:p w:rsidR="006B75A8" w:rsidRDefault="006B75A8" w:rsidP="006B75A8">
      <w:pPr>
        <w:jc w:val="center"/>
        <w:rPr>
          <w:sz w:val="32"/>
          <w:szCs w:val="32"/>
        </w:rPr>
      </w:pPr>
    </w:p>
    <w:p w:rsidR="006B75A8" w:rsidRDefault="006B75A8" w:rsidP="006B75A8">
      <w:pPr>
        <w:jc w:val="center"/>
        <w:rPr>
          <w:rFonts w:ascii="仿宋_GB2312" w:eastAsia="仿宋_GB2312"/>
          <w:sz w:val="32"/>
          <w:szCs w:val="32"/>
        </w:rPr>
      </w:pPr>
    </w:p>
    <w:p w:rsidR="006B75A8" w:rsidRDefault="006B75A8" w:rsidP="006B75A8">
      <w:pPr>
        <w:jc w:val="center"/>
        <w:rPr>
          <w:rFonts w:ascii="仿宋_GB2312" w:eastAsia="仿宋_GB2312"/>
          <w:sz w:val="32"/>
          <w:szCs w:val="32"/>
        </w:rPr>
      </w:pPr>
    </w:p>
    <w:p w:rsidR="006B75A8" w:rsidRDefault="006B75A8" w:rsidP="006B75A8">
      <w:pPr>
        <w:jc w:val="center"/>
        <w:rPr>
          <w:rFonts w:ascii="仿宋_GB2312" w:eastAsia="仿宋_GB2312"/>
          <w:sz w:val="32"/>
          <w:szCs w:val="32"/>
        </w:rPr>
      </w:pPr>
    </w:p>
    <w:p w:rsidR="006B75A8" w:rsidRDefault="006B75A8" w:rsidP="006B75A8">
      <w:pPr>
        <w:jc w:val="center"/>
        <w:rPr>
          <w:rFonts w:ascii="仿宋_GB2312" w:eastAsia="仿宋_GB2312"/>
          <w:sz w:val="32"/>
          <w:szCs w:val="32"/>
        </w:rPr>
      </w:pPr>
    </w:p>
    <w:p w:rsidR="006B75A8" w:rsidRDefault="006B75A8" w:rsidP="006B75A8">
      <w:pPr>
        <w:jc w:val="center"/>
        <w:rPr>
          <w:rFonts w:ascii="仿宋_GB2312" w:eastAsia="仿宋_GB2312"/>
          <w:sz w:val="32"/>
          <w:szCs w:val="32"/>
        </w:rPr>
      </w:pPr>
    </w:p>
    <w:p w:rsidR="006B75A8" w:rsidRDefault="006B75A8" w:rsidP="006B75A8">
      <w:pPr>
        <w:jc w:val="center"/>
        <w:rPr>
          <w:rFonts w:ascii="仿宋_GB2312" w:eastAsia="仿宋_GB2312"/>
          <w:sz w:val="32"/>
          <w:szCs w:val="32"/>
        </w:rPr>
      </w:pPr>
    </w:p>
    <w:p w:rsidR="006B75A8" w:rsidRDefault="006B75A8" w:rsidP="006B75A8">
      <w:pPr>
        <w:jc w:val="center"/>
        <w:rPr>
          <w:rFonts w:ascii="仿宋_GB2312" w:eastAsia="仿宋_GB2312"/>
          <w:sz w:val="32"/>
          <w:szCs w:val="32"/>
        </w:rPr>
      </w:pPr>
    </w:p>
    <w:p w:rsidR="006B75A8" w:rsidRDefault="006B75A8" w:rsidP="006B75A8">
      <w:pPr>
        <w:jc w:val="center"/>
        <w:rPr>
          <w:rFonts w:ascii="仿宋_GB2312" w:eastAsia="仿宋_GB2312"/>
          <w:sz w:val="32"/>
          <w:szCs w:val="32"/>
        </w:rPr>
      </w:pPr>
    </w:p>
    <w:p w:rsidR="006B75A8" w:rsidRDefault="006B75A8" w:rsidP="006B75A8">
      <w:pPr>
        <w:jc w:val="center"/>
        <w:rPr>
          <w:rFonts w:ascii="仿宋_GB2312" w:eastAsia="仿宋_GB2312"/>
          <w:sz w:val="32"/>
          <w:szCs w:val="32"/>
        </w:rPr>
      </w:pPr>
    </w:p>
    <w:p w:rsidR="006B75A8" w:rsidRDefault="006B75A8" w:rsidP="006B75A8">
      <w:pPr>
        <w:jc w:val="center"/>
        <w:rPr>
          <w:rFonts w:ascii="仿宋_GB2312" w:eastAsia="仿宋_GB2312"/>
          <w:sz w:val="32"/>
          <w:szCs w:val="32"/>
        </w:rPr>
      </w:pPr>
    </w:p>
    <w:p w:rsidR="006B75A8" w:rsidRDefault="006B75A8" w:rsidP="006B75A8">
      <w:pPr>
        <w:jc w:val="center"/>
        <w:rPr>
          <w:rFonts w:ascii="仿宋_GB2312" w:eastAsia="仿宋_GB2312"/>
          <w:sz w:val="32"/>
          <w:szCs w:val="32"/>
        </w:rPr>
      </w:pPr>
    </w:p>
    <w:p w:rsidR="006B75A8" w:rsidRDefault="006B75A8" w:rsidP="006B75A8">
      <w:pPr>
        <w:jc w:val="center"/>
        <w:rPr>
          <w:rFonts w:ascii="仿宋_GB2312" w:eastAsia="仿宋_GB2312"/>
          <w:sz w:val="32"/>
          <w:szCs w:val="32"/>
        </w:rPr>
      </w:pPr>
    </w:p>
    <w:p w:rsidR="006B75A8" w:rsidRDefault="006B75A8" w:rsidP="006B75A8">
      <w:pPr>
        <w:jc w:val="center"/>
        <w:rPr>
          <w:rFonts w:ascii="仿宋_GB2312"/>
          <w:sz w:val="32"/>
          <w:szCs w:val="32"/>
        </w:rPr>
      </w:pPr>
      <w:r>
        <w:rPr>
          <w:rFonts w:ascii="仿宋_GB2312" w:eastAsia="仿宋_GB2312" w:hint="eastAsia"/>
          <w:sz w:val="32"/>
          <w:szCs w:val="32"/>
        </w:rPr>
        <w:t>2015年</w:t>
      </w:r>
      <w:r w:rsidR="008A61D5">
        <w:rPr>
          <w:rFonts w:ascii="仿宋_GB2312" w:eastAsia="仿宋_GB2312" w:hint="eastAsia"/>
          <w:sz w:val="32"/>
          <w:szCs w:val="32"/>
        </w:rPr>
        <w:t>10</w:t>
      </w:r>
      <w:r>
        <w:rPr>
          <w:rFonts w:ascii="仿宋_GB2312" w:eastAsia="仿宋_GB2312" w:hint="eastAsia"/>
          <w:sz w:val="32"/>
          <w:szCs w:val="32"/>
        </w:rPr>
        <w:t>月1</w:t>
      </w:r>
      <w:r w:rsidR="008A61D5">
        <w:rPr>
          <w:rFonts w:ascii="仿宋_GB2312" w:eastAsia="仿宋_GB2312" w:hint="eastAsia"/>
          <w:sz w:val="32"/>
          <w:szCs w:val="32"/>
        </w:rPr>
        <w:t>3</w:t>
      </w:r>
      <w:r>
        <w:rPr>
          <w:rFonts w:ascii="仿宋_GB2312" w:eastAsia="仿宋_GB2312" w:hint="eastAsia"/>
          <w:sz w:val="32"/>
          <w:szCs w:val="32"/>
        </w:rPr>
        <w:t>日</w:t>
      </w:r>
    </w:p>
    <w:p w:rsidR="006B75A8" w:rsidRDefault="006B75A8" w:rsidP="006B75A8">
      <w:pPr>
        <w:jc w:val="center"/>
        <w:rPr>
          <w:rFonts w:ascii="黑体" w:eastAsia="黑体"/>
          <w:sz w:val="36"/>
          <w:szCs w:val="36"/>
        </w:rPr>
      </w:pPr>
    </w:p>
    <w:p w:rsidR="006B75A8" w:rsidRPr="006B64F7" w:rsidRDefault="006B75A8" w:rsidP="006B75A8">
      <w:pPr>
        <w:spacing w:line="520" w:lineRule="exact"/>
        <w:jc w:val="center"/>
        <w:rPr>
          <w:rFonts w:ascii="黑体" w:eastAsia="黑体"/>
          <w:sz w:val="36"/>
          <w:szCs w:val="36"/>
        </w:rPr>
      </w:pPr>
      <w:r>
        <w:rPr>
          <w:rFonts w:ascii="黑体" w:eastAsia="黑体" w:hint="eastAsia"/>
          <w:sz w:val="36"/>
          <w:szCs w:val="36"/>
        </w:rPr>
        <w:br w:type="page"/>
      </w:r>
      <w:r w:rsidRPr="006B64F7">
        <w:rPr>
          <w:rFonts w:ascii="黑体" w:eastAsia="黑体" w:hint="eastAsia"/>
          <w:sz w:val="36"/>
          <w:szCs w:val="36"/>
        </w:rPr>
        <w:lastRenderedPageBreak/>
        <w:t>兴业银行股份有限公司</w:t>
      </w:r>
    </w:p>
    <w:p w:rsidR="006B75A8" w:rsidRPr="006B64F7" w:rsidRDefault="006B75A8" w:rsidP="006B75A8">
      <w:pPr>
        <w:spacing w:line="520" w:lineRule="exact"/>
        <w:jc w:val="center"/>
        <w:rPr>
          <w:rFonts w:ascii="黑体" w:eastAsia="黑体"/>
          <w:sz w:val="36"/>
          <w:szCs w:val="36"/>
        </w:rPr>
      </w:pPr>
      <w:r>
        <w:rPr>
          <w:rFonts w:ascii="黑体" w:eastAsia="黑体" w:hint="eastAsia"/>
          <w:sz w:val="36"/>
          <w:szCs w:val="36"/>
        </w:rPr>
        <w:t>201</w:t>
      </w:r>
      <w:r w:rsidR="008A61D5">
        <w:rPr>
          <w:rFonts w:ascii="黑体" w:eastAsia="黑体" w:hint="eastAsia"/>
          <w:sz w:val="36"/>
          <w:szCs w:val="36"/>
        </w:rPr>
        <w:t>5</w:t>
      </w:r>
      <w:r>
        <w:rPr>
          <w:rFonts w:ascii="黑体" w:eastAsia="黑体" w:hint="eastAsia"/>
          <w:sz w:val="36"/>
          <w:szCs w:val="36"/>
        </w:rPr>
        <w:t>年</w:t>
      </w:r>
      <w:r w:rsidR="008A61D5">
        <w:rPr>
          <w:rFonts w:ascii="黑体" w:eastAsia="黑体" w:hint="eastAsia"/>
          <w:sz w:val="36"/>
          <w:szCs w:val="36"/>
        </w:rPr>
        <w:t>第一次临时股东</w:t>
      </w:r>
      <w:r>
        <w:rPr>
          <w:rFonts w:ascii="黑体" w:eastAsia="黑体" w:hint="eastAsia"/>
          <w:sz w:val="36"/>
          <w:szCs w:val="36"/>
        </w:rPr>
        <w:t>大会</w:t>
      </w:r>
      <w:r w:rsidRPr="006B64F7">
        <w:rPr>
          <w:rFonts w:ascii="黑体" w:eastAsia="黑体" w:hint="eastAsia"/>
          <w:sz w:val="36"/>
          <w:szCs w:val="36"/>
        </w:rPr>
        <w:t>议程</w:t>
      </w:r>
    </w:p>
    <w:p w:rsidR="006B75A8" w:rsidRDefault="006B75A8" w:rsidP="006B75A8">
      <w:pPr>
        <w:tabs>
          <w:tab w:val="left" w:pos="416"/>
          <w:tab w:val="left" w:pos="1086"/>
          <w:tab w:val="center" w:pos="4156"/>
        </w:tabs>
        <w:spacing w:line="520" w:lineRule="exact"/>
        <w:ind w:right="318"/>
        <w:rPr>
          <w:rFonts w:ascii="仿宋_GB2312"/>
          <w:szCs w:val="28"/>
        </w:rPr>
      </w:pPr>
    </w:p>
    <w:p w:rsidR="006B75A8" w:rsidRPr="00ED1D5E" w:rsidRDefault="006B75A8" w:rsidP="006B75A8">
      <w:pPr>
        <w:tabs>
          <w:tab w:val="left" w:pos="416"/>
          <w:tab w:val="left" w:pos="1086"/>
          <w:tab w:val="center" w:pos="4156"/>
        </w:tabs>
        <w:spacing w:line="520" w:lineRule="exact"/>
        <w:ind w:right="318"/>
        <w:rPr>
          <w:rFonts w:ascii="仿宋_GB2312" w:eastAsia="仿宋_GB2312"/>
          <w:sz w:val="28"/>
          <w:szCs w:val="28"/>
        </w:rPr>
      </w:pPr>
      <w:r>
        <w:rPr>
          <w:rFonts w:ascii="仿宋_GB2312" w:eastAsia="仿宋_GB2312" w:hint="eastAsia"/>
          <w:sz w:val="28"/>
          <w:szCs w:val="28"/>
        </w:rPr>
        <w:t>现场</w:t>
      </w:r>
      <w:r w:rsidRPr="00ED1D5E">
        <w:rPr>
          <w:rFonts w:ascii="仿宋_GB2312" w:eastAsia="仿宋_GB2312" w:hint="eastAsia"/>
          <w:sz w:val="28"/>
          <w:szCs w:val="28"/>
        </w:rPr>
        <w:t>会议时间：</w:t>
      </w:r>
      <w:r>
        <w:rPr>
          <w:rFonts w:ascii="仿宋_GB2312" w:eastAsia="仿宋_GB2312" w:hint="eastAsia"/>
          <w:sz w:val="28"/>
          <w:szCs w:val="28"/>
        </w:rPr>
        <w:t>2015年</w:t>
      </w:r>
      <w:r w:rsidR="008A61D5">
        <w:rPr>
          <w:rFonts w:ascii="仿宋_GB2312" w:eastAsia="仿宋_GB2312" w:hint="eastAsia"/>
          <w:sz w:val="28"/>
          <w:szCs w:val="28"/>
        </w:rPr>
        <w:t>10月13日</w:t>
      </w:r>
      <w:r w:rsidR="000D07E7">
        <w:rPr>
          <w:rFonts w:ascii="仿宋_GB2312" w:eastAsia="仿宋_GB2312" w:hint="eastAsia"/>
          <w:sz w:val="28"/>
          <w:szCs w:val="28"/>
        </w:rPr>
        <w:t>（上午</w:t>
      </w:r>
      <w:r w:rsidRPr="00ED1D5E">
        <w:rPr>
          <w:rFonts w:ascii="仿宋_GB2312" w:eastAsia="仿宋_GB2312" w:hint="eastAsia"/>
          <w:sz w:val="28"/>
          <w:szCs w:val="28"/>
        </w:rPr>
        <w:t>9:00</w:t>
      </w:r>
      <w:r w:rsidR="000D07E7">
        <w:rPr>
          <w:rFonts w:ascii="仿宋_GB2312" w:eastAsia="仿宋_GB2312" w:hint="eastAsia"/>
          <w:sz w:val="28"/>
          <w:szCs w:val="28"/>
        </w:rPr>
        <w:t>会议开始）</w:t>
      </w:r>
    </w:p>
    <w:p w:rsidR="006B75A8" w:rsidRDefault="006B75A8" w:rsidP="006B75A8">
      <w:pPr>
        <w:tabs>
          <w:tab w:val="left" w:pos="416"/>
          <w:tab w:val="left" w:pos="1086"/>
          <w:tab w:val="center" w:pos="4156"/>
        </w:tabs>
        <w:spacing w:line="520" w:lineRule="exact"/>
        <w:ind w:right="-32"/>
        <w:rPr>
          <w:rFonts w:ascii="仿宋_GB2312" w:eastAsia="仿宋_GB2312"/>
          <w:sz w:val="28"/>
          <w:szCs w:val="28"/>
        </w:rPr>
      </w:pPr>
      <w:r>
        <w:rPr>
          <w:rFonts w:ascii="仿宋_GB2312" w:eastAsia="仿宋_GB2312" w:hint="eastAsia"/>
          <w:sz w:val="28"/>
          <w:szCs w:val="28"/>
        </w:rPr>
        <w:t>网络投票时间：2015年</w:t>
      </w:r>
      <w:r w:rsidR="008A61D5">
        <w:rPr>
          <w:rFonts w:ascii="仿宋_GB2312" w:eastAsia="仿宋_GB2312" w:hint="eastAsia"/>
          <w:sz w:val="28"/>
          <w:szCs w:val="28"/>
        </w:rPr>
        <w:t>10月13日</w:t>
      </w:r>
      <w:r>
        <w:rPr>
          <w:rFonts w:ascii="仿宋_GB2312" w:eastAsia="仿宋_GB2312" w:hint="eastAsia"/>
          <w:sz w:val="28"/>
          <w:szCs w:val="28"/>
        </w:rPr>
        <w:t>9:30-11:30，13:00-15:00。</w:t>
      </w:r>
    </w:p>
    <w:p w:rsidR="006B75A8" w:rsidRPr="00ED1D5E" w:rsidRDefault="006B75A8" w:rsidP="006B75A8">
      <w:pPr>
        <w:tabs>
          <w:tab w:val="left" w:pos="416"/>
          <w:tab w:val="left" w:pos="1086"/>
          <w:tab w:val="center" w:pos="4156"/>
        </w:tabs>
        <w:spacing w:line="520" w:lineRule="exact"/>
        <w:ind w:right="-32"/>
        <w:rPr>
          <w:rFonts w:ascii="仿宋_GB2312" w:eastAsia="仿宋_GB2312"/>
          <w:sz w:val="28"/>
          <w:szCs w:val="28"/>
        </w:rPr>
      </w:pPr>
      <w:r w:rsidRPr="00ED1D5E">
        <w:rPr>
          <w:rFonts w:ascii="仿宋_GB2312" w:eastAsia="仿宋_GB2312" w:hint="eastAsia"/>
          <w:sz w:val="28"/>
          <w:szCs w:val="28"/>
        </w:rPr>
        <w:t>会议地点：福州市湖东路154号中山大厦A座三</w:t>
      </w:r>
      <w:r>
        <w:rPr>
          <w:rFonts w:ascii="仿宋_GB2312" w:eastAsia="仿宋_GB2312" w:hint="eastAsia"/>
          <w:sz w:val="28"/>
          <w:szCs w:val="28"/>
        </w:rPr>
        <w:t>层</w:t>
      </w:r>
      <w:r w:rsidRPr="00ED1D5E">
        <w:rPr>
          <w:rFonts w:ascii="仿宋_GB2312" w:eastAsia="仿宋_GB2312" w:hint="eastAsia"/>
          <w:sz w:val="28"/>
          <w:szCs w:val="28"/>
        </w:rPr>
        <w:t>会议室</w:t>
      </w:r>
    </w:p>
    <w:p w:rsidR="006B75A8" w:rsidRPr="00ED1D5E" w:rsidRDefault="006B75A8" w:rsidP="006B75A8">
      <w:pPr>
        <w:tabs>
          <w:tab w:val="left" w:pos="416"/>
          <w:tab w:val="left" w:pos="1086"/>
          <w:tab w:val="center" w:pos="4156"/>
        </w:tabs>
        <w:spacing w:line="520" w:lineRule="exact"/>
        <w:ind w:right="318"/>
        <w:rPr>
          <w:rFonts w:ascii="仿宋_GB2312" w:eastAsia="仿宋_GB2312"/>
          <w:sz w:val="28"/>
          <w:szCs w:val="28"/>
        </w:rPr>
      </w:pPr>
      <w:r w:rsidRPr="00ED1D5E">
        <w:rPr>
          <w:rFonts w:ascii="仿宋_GB2312" w:eastAsia="仿宋_GB2312" w:hint="eastAsia"/>
          <w:sz w:val="28"/>
          <w:szCs w:val="28"/>
        </w:rPr>
        <w:t>主持人：高建平董事长</w:t>
      </w:r>
    </w:p>
    <w:p w:rsidR="006B75A8" w:rsidRPr="00ED1D5E" w:rsidRDefault="006B75A8" w:rsidP="006B75A8">
      <w:pPr>
        <w:tabs>
          <w:tab w:val="left" w:pos="416"/>
          <w:tab w:val="left" w:pos="1086"/>
          <w:tab w:val="center" w:pos="4156"/>
        </w:tabs>
        <w:spacing w:line="520" w:lineRule="exact"/>
        <w:ind w:right="318"/>
        <w:rPr>
          <w:rFonts w:ascii="仿宋_GB2312" w:eastAsia="仿宋_GB2312"/>
          <w:sz w:val="28"/>
          <w:szCs w:val="28"/>
        </w:rPr>
      </w:pPr>
      <w:r w:rsidRPr="00ED1D5E">
        <w:rPr>
          <w:rFonts w:ascii="仿宋_GB2312" w:eastAsia="仿宋_GB2312" w:hint="eastAsia"/>
          <w:sz w:val="28"/>
          <w:szCs w:val="28"/>
        </w:rPr>
        <w:t>一、宣读股东大会注意事项</w:t>
      </w:r>
    </w:p>
    <w:p w:rsidR="006B75A8" w:rsidRPr="00ED1D5E" w:rsidRDefault="006B75A8" w:rsidP="006B75A8">
      <w:pPr>
        <w:tabs>
          <w:tab w:val="left" w:pos="416"/>
          <w:tab w:val="left" w:pos="1086"/>
          <w:tab w:val="center" w:pos="4156"/>
        </w:tabs>
        <w:spacing w:line="520" w:lineRule="exact"/>
        <w:ind w:right="318"/>
        <w:rPr>
          <w:rFonts w:ascii="仿宋_GB2312" w:eastAsia="仿宋_GB2312"/>
          <w:sz w:val="28"/>
          <w:szCs w:val="28"/>
        </w:rPr>
      </w:pPr>
      <w:r w:rsidRPr="00ED1D5E">
        <w:rPr>
          <w:rFonts w:ascii="仿宋_GB2312" w:eastAsia="仿宋_GB2312" w:hint="eastAsia"/>
          <w:sz w:val="28"/>
          <w:szCs w:val="28"/>
        </w:rPr>
        <w:t>二、宣布会议开始</w:t>
      </w:r>
    </w:p>
    <w:sdt>
      <w:sdtPr>
        <w:rPr>
          <w:rFonts w:ascii="楷体_GB2312" w:eastAsia="楷体_GB2312"/>
          <w:noProof/>
          <w:sz w:val="28"/>
          <w:szCs w:val="28"/>
          <w:lang w:val="zh-CN"/>
        </w:rPr>
        <w:id w:val="4737204"/>
        <w:docPartObj>
          <w:docPartGallery w:val="Table of Contents"/>
          <w:docPartUnique/>
        </w:docPartObj>
      </w:sdtPr>
      <w:sdtEndPr>
        <w:rPr>
          <w:rFonts w:ascii="仿宋_GB2312" w:eastAsia="仿宋_GB2312" w:hint="eastAsia"/>
          <w:lang w:val="en-US"/>
        </w:rPr>
      </w:sdtEndPr>
      <w:sdtContent>
        <w:p w:rsidR="008A61D5" w:rsidRPr="008A61D5" w:rsidRDefault="006B75A8" w:rsidP="0083240D">
          <w:pPr>
            <w:tabs>
              <w:tab w:val="left" w:pos="416"/>
              <w:tab w:val="left" w:pos="1086"/>
              <w:tab w:val="center" w:pos="4156"/>
            </w:tabs>
            <w:spacing w:line="500" w:lineRule="exact"/>
            <w:ind w:right="318"/>
            <w:rPr>
              <w:noProof/>
            </w:rPr>
          </w:pPr>
          <w:r w:rsidRPr="00ED1D5E">
            <w:rPr>
              <w:rFonts w:ascii="仿宋_GB2312" w:eastAsia="仿宋_GB2312" w:hint="eastAsia"/>
              <w:sz w:val="28"/>
              <w:szCs w:val="28"/>
            </w:rPr>
            <w:t>三、报告并审议议案</w:t>
          </w:r>
          <w:r w:rsidR="00443049" w:rsidRPr="00443049">
            <w:rPr>
              <w:rFonts w:ascii="仿宋_GB2312" w:eastAsia="仿宋_GB2312" w:hint="eastAsia"/>
              <w:b/>
              <w:bCs/>
              <w:caps/>
            </w:rPr>
            <w:fldChar w:fldCharType="begin"/>
          </w:r>
          <w:r w:rsidRPr="008A61D5">
            <w:rPr>
              <w:rFonts w:ascii="仿宋_GB2312" w:eastAsia="仿宋_GB2312" w:hint="eastAsia"/>
            </w:rPr>
            <w:instrText xml:space="preserve"> TOC \o "1-3" \h \z \u </w:instrText>
          </w:r>
          <w:r w:rsidR="00443049" w:rsidRPr="00443049">
            <w:rPr>
              <w:rFonts w:ascii="仿宋_GB2312" w:eastAsia="仿宋_GB2312" w:hint="eastAsia"/>
              <w:b/>
              <w:bCs/>
              <w:caps/>
            </w:rPr>
            <w:fldChar w:fldCharType="separate"/>
          </w:r>
        </w:p>
        <w:p w:rsidR="008A61D5" w:rsidRPr="008A61D5" w:rsidRDefault="008A61D5">
          <w:pPr>
            <w:pStyle w:val="10"/>
            <w:rPr>
              <w:rFonts w:asciiTheme="minorHAnsi" w:eastAsiaTheme="minorEastAsia" w:hAnsiTheme="minorHAnsi" w:cstheme="minorBidi"/>
              <w:sz w:val="21"/>
              <w:szCs w:val="22"/>
            </w:rPr>
          </w:pPr>
          <w:r w:rsidRPr="008A61D5">
            <w:rPr>
              <w:rStyle w:val="a3"/>
              <w:rFonts w:hint="eastAsia"/>
              <w:color w:val="auto"/>
              <w:u w:val="none"/>
            </w:rPr>
            <w:t>（一）</w:t>
          </w:r>
          <w:hyperlink w:anchor="_Toc429579501" w:history="1">
            <w:r w:rsidRPr="008A61D5">
              <w:rPr>
                <w:rStyle w:val="a3"/>
                <w:rFonts w:hint="eastAsia"/>
                <w:bCs/>
                <w:color w:val="auto"/>
                <w:u w:val="none"/>
              </w:rPr>
              <w:t>关于发行二级资本债券的议案</w:t>
            </w:r>
            <w:r w:rsidRPr="008A61D5">
              <w:rPr>
                <w:webHidden/>
              </w:rPr>
              <w:tab/>
            </w:r>
            <w:r w:rsidR="00443049" w:rsidRPr="008A61D5">
              <w:rPr>
                <w:webHidden/>
              </w:rPr>
              <w:fldChar w:fldCharType="begin"/>
            </w:r>
            <w:r w:rsidRPr="008A61D5">
              <w:rPr>
                <w:webHidden/>
              </w:rPr>
              <w:instrText xml:space="preserve"> PAGEREF _Toc429579501 \h </w:instrText>
            </w:r>
            <w:r w:rsidR="00443049" w:rsidRPr="008A61D5">
              <w:rPr>
                <w:webHidden/>
              </w:rPr>
            </w:r>
            <w:r w:rsidR="00443049" w:rsidRPr="008A61D5">
              <w:rPr>
                <w:webHidden/>
              </w:rPr>
              <w:fldChar w:fldCharType="separate"/>
            </w:r>
            <w:r w:rsidRPr="008A61D5">
              <w:rPr>
                <w:webHidden/>
              </w:rPr>
              <w:t>5</w:t>
            </w:r>
            <w:r w:rsidR="00443049" w:rsidRPr="008A61D5">
              <w:rPr>
                <w:webHidden/>
              </w:rPr>
              <w:fldChar w:fldCharType="end"/>
            </w:r>
          </w:hyperlink>
        </w:p>
        <w:p w:rsidR="008A61D5" w:rsidRPr="008A61D5" w:rsidRDefault="008A61D5">
          <w:pPr>
            <w:pStyle w:val="10"/>
            <w:rPr>
              <w:rFonts w:asciiTheme="minorHAnsi" w:eastAsiaTheme="minorEastAsia" w:hAnsiTheme="minorHAnsi" w:cstheme="minorBidi"/>
              <w:sz w:val="21"/>
              <w:szCs w:val="22"/>
            </w:rPr>
          </w:pPr>
          <w:r w:rsidRPr="008A61D5">
            <w:rPr>
              <w:rStyle w:val="a3"/>
              <w:rFonts w:hint="eastAsia"/>
              <w:color w:val="auto"/>
              <w:u w:val="none"/>
            </w:rPr>
            <w:t>（二）</w:t>
          </w:r>
          <w:hyperlink w:anchor="_Toc429579502" w:history="1">
            <w:r w:rsidRPr="008A61D5">
              <w:rPr>
                <w:rStyle w:val="a3"/>
                <w:rFonts w:hint="eastAsia"/>
                <w:bCs/>
                <w:color w:val="auto"/>
                <w:u w:val="none"/>
              </w:rPr>
              <w:t>关于修订《中期资本管理规划（</w:t>
            </w:r>
            <w:r w:rsidRPr="008A61D5">
              <w:rPr>
                <w:rStyle w:val="a3"/>
                <w:bCs/>
                <w:color w:val="auto"/>
                <w:u w:val="none"/>
              </w:rPr>
              <w:t>2014-2016</w:t>
            </w:r>
            <w:r w:rsidRPr="008A61D5">
              <w:rPr>
                <w:rStyle w:val="a3"/>
                <w:rFonts w:hint="eastAsia"/>
                <w:bCs/>
                <w:color w:val="auto"/>
                <w:u w:val="none"/>
              </w:rPr>
              <w:t>年）》的议案</w:t>
            </w:r>
            <w:r w:rsidRPr="008A61D5">
              <w:rPr>
                <w:webHidden/>
              </w:rPr>
              <w:tab/>
            </w:r>
            <w:r w:rsidR="00443049" w:rsidRPr="008A61D5">
              <w:rPr>
                <w:webHidden/>
              </w:rPr>
              <w:fldChar w:fldCharType="begin"/>
            </w:r>
            <w:r w:rsidRPr="008A61D5">
              <w:rPr>
                <w:webHidden/>
              </w:rPr>
              <w:instrText xml:space="preserve"> PAGEREF _Toc429579502 \h </w:instrText>
            </w:r>
            <w:r w:rsidR="00443049" w:rsidRPr="008A61D5">
              <w:rPr>
                <w:webHidden/>
              </w:rPr>
            </w:r>
            <w:r w:rsidR="00443049" w:rsidRPr="008A61D5">
              <w:rPr>
                <w:webHidden/>
              </w:rPr>
              <w:fldChar w:fldCharType="separate"/>
            </w:r>
            <w:r w:rsidRPr="008A61D5">
              <w:rPr>
                <w:webHidden/>
              </w:rPr>
              <w:t>8</w:t>
            </w:r>
            <w:r w:rsidR="00443049" w:rsidRPr="008A61D5">
              <w:rPr>
                <w:webHidden/>
              </w:rPr>
              <w:fldChar w:fldCharType="end"/>
            </w:r>
          </w:hyperlink>
        </w:p>
        <w:p w:rsidR="006B75A8" w:rsidRPr="0083240D" w:rsidRDefault="00443049" w:rsidP="0083240D">
          <w:pPr>
            <w:pStyle w:val="10"/>
            <w:rPr>
              <w:rFonts w:ascii="仿宋_GB2312" w:eastAsia="仿宋_GB2312"/>
            </w:rPr>
          </w:pPr>
          <w:r w:rsidRPr="008A61D5">
            <w:rPr>
              <w:rFonts w:ascii="仿宋_GB2312" w:eastAsia="仿宋_GB2312" w:hint="eastAsia"/>
            </w:rPr>
            <w:fldChar w:fldCharType="end"/>
          </w:r>
        </w:p>
      </w:sdtContent>
    </w:sdt>
    <w:p w:rsidR="006B75A8" w:rsidRPr="00ED1D5E" w:rsidRDefault="006B75A8" w:rsidP="006B75A8">
      <w:pPr>
        <w:tabs>
          <w:tab w:val="left" w:pos="416"/>
          <w:tab w:val="left" w:pos="1086"/>
          <w:tab w:val="center" w:pos="4156"/>
        </w:tabs>
        <w:spacing w:line="520" w:lineRule="exact"/>
        <w:ind w:right="318"/>
        <w:rPr>
          <w:rFonts w:ascii="仿宋_GB2312" w:eastAsia="仿宋_GB2312"/>
          <w:sz w:val="28"/>
          <w:szCs w:val="28"/>
        </w:rPr>
      </w:pPr>
      <w:r w:rsidRPr="00ED1D5E">
        <w:rPr>
          <w:rFonts w:ascii="仿宋_GB2312" w:eastAsia="仿宋_GB2312" w:hint="eastAsia"/>
          <w:sz w:val="28"/>
          <w:szCs w:val="28"/>
        </w:rPr>
        <w:t>四、集中回答股东提问</w:t>
      </w:r>
    </w:p>
    <w:p w:rsidR="006B75A8" w:rsidRPr="00ED1D5E" w:rsidRDefault="006B75A8" w:rsidP="006B75A8">
      <w:pPr>
        <w:tabs>
          <w:tab w:val="left" w:pos="416"/>
          <w:tab w:val="left" w:pos="1086"/>
          <w:tab w:val="center" w:pos="4156"/>
        </w:tabs>
        <w:spacing w:line="520" w:lineRule="exact"/>
        <w:ind w:right="318"/>
        <w:rPr>
          <w:rFonts w:ascii="仿宋_GB2312" w:eastAsia="仿宋_GB2312"/>
          <w:sz w:val="28"/>
          <w:szCs w:val="28"/>
        </w:rPr>
      </w:pPr>
      <w:r w:rsidRPr="00ED1D5E">
        <w:rPr>
          <w:rFonts w:ascii="仿宋_GB2312" w:eastAsia="仿宋_GB2312" w:hint="eastAsia"/>
          <w:sz w:val="28"/>
          <w:szCs w:val="28"/>
        </w:rPr>
        <w:t>五、议案表决</w:t>
      </w:r>
    </w:p>
    <w:p w:rsidR="006B75A8" w:rsidRDefault="006B75A8" w:rsidP="006B75A8">
      <w:pPr>
        <w:widowControl/>
        <w:jc w:val="left"/>
        <w:rPr>
          <w:rFonts w:ascii="黑体" w:eastAsia="黑体"/>
          <w:sz w:val="32"/>
          <w:szCs w:val="32"/>
        </w:rPr>
        <w:sectPr w:rsidR="006B75A8">
          <w:footerReference w:type="even" r:id="rId9"/>
          <w:footerReference w:type="default" r:id="rId10"/>
          <w:pgSz w:w="11906" w:h="16838"/>
          <w:pgMar w:top="1440" w:right="1610" w:bottom="1440" w:left="1800" w:header="851" w:footer="992" w:gutter="0"/>
          <w:cols w:space="720"/>
          <w:docGrid w:type="lines" w:linePitch="312"/>
        </w:sectPr>
      </w:pPr>
    </w:p>
    <w:p w:rsidR="006B75A8" w:rsidRDefault="006B75A8" w:rsidP="006B75A8">
      <w:pPr>
        <w:tabs>
          <w:tab w:val="left" w:pos="416"/>
          <w:tab w:val="left" w:pos="1086"/>
          <w:tab w:val="center" w:pos="4156"/>
        </w:tabs>
        <w:spacing w:line="500" w:lineRule="exact"/>
        <w:ind w:right="318"/>
        <w:jc w:val="center"/>
        <w:rPr>
          <w:rFonts w:ascii="黑体" w:eastAsia="黑体"/>
          <w:sz w:val="32"/>
          <w:szCs w:val="32"/>
        </w:rPr>
      </w:pPr>
      <w:r>
        <w:rPr>
          <w:rFonts w:ascii="黑体" w:eastAsia="黑体" w:hint="eastAsia"/>
          <w:sz w:val="32"/>
          <w:szCs w:val="32"/>
        </w:rPr>
        <w:lastRenderedPageBreak/>
        <w:t>兴业银行股份有限公司</w:t>
      </w:r>
    </w:p>
    <w:p w:rsidR="006B75A8" w:rsidRDefault="008A61D5" w:rsidP="006B75A8">
      <w:pPr>
        <w:tabs>
          <w:tab w:val="left" w:pos="416"/>
          <w:tab w:val="left" w:pos="1086"/>
          <w:tab w:val="center" w:pos="4156"/>
        </w:tabs>
        <w:spacing w:line="500" w:lineRule="exact"/>
        <w:ind w:right="318"/>
        <w:jc w:val="center"/>
        <w:rPr>
          <w:rFonts w:ascii="黑体" w:eastAsia="黑体"/>
          <w:sz w:val="32"/>
          <w:szCs w:val="32"/>
        </w:rPr>
      </w:pPr>
      <w:r>
        <w:rPr>
          <w:rFonts w:ascii="黑体" w:eastAsia="黑体" w:hint="eastAsia"/>
          <w:sz w:val="32"/>
          <w:szCs w:val="32"/>
        </w:rPr>
        <w:t>2015年第一次临时股东大会</w:t>
      </w:r>
      <w:r w:rsidR="006B75A8">
        <w:rPr>
          <w:rFonts w:ascii="黑体" w:eastAsia="黑体" w:hint="eastAsia"/>
          <w:sz w:val="32"/>
          <w:szCs w:val="32"/>
        </w:rPr>
        <w:t>会议须知</w:t>
      </w:r>
    </w:p>
    <w:p w:rsidR="006B75A8" w:rsidRDefault="006B75A8" w:rsidP="006B75A8">
      <w:pPr>
        <w:tabs>
          <w:tab w:val="left" w:pos="416"/>
          <w:tab w:val="left" w:pos="1086"/>
          <w:tab w:val="center" w:pos="4156"/>
        </w:tabs>
        <w:spacing w:line="500" w:lineRule="exact"/>
        <w:ind w:right="318"/>
        <w:rPr>
          <w:rFonts w:ascii="黑体" w:eastAsia="黑体"/>
          <w:sz w:val="32"/>
          <w:szCs w:val="32"/>
        </w:rPr>
      </w:pPr>
      <w:r>
        <w:rPr>
          <w:rFonts w:ascii="黑体" w:eastAsia="黑体" w:hint="eastAsia"/>
          <w:sz w:val="32"/>
          <w:szCs w:val="32"/>
        </w:rPr>
        <w:t xml:space="preserve">　　</w:t>
      </w:r>
    </w:p>
    <w:p w:rsidR="006B75A8" w:rsidRPr="00ED1D5E" w:rsidRDefault="006B75A8" w:rsidP="006B75A8">
      <w:pPr>
        <w:tabs>
          <w:tab w:val="left" w:pos="416"/>
          <w:tab w:val="left" w:pos="1086"/>
          <w:tab w:val="center" w:pos="4156"/>
        </w:tabs>
        <w:spacing w:line="500" w:lineRule="exact"/>
        <w:ind w:right="318" w:firstLineChars="200" w:firstLine="560"/>
        <w:rPr>
          <w:rFonts w:ascii="仿宋_GB2312" w:eastAsia="仿宋_GB2312"/>
          <w:sz w:val="28"/>
          <w:szCs w:val="28"/>
        </w:rPr>
      </w:pPr>
      <w:r w:rsidRPr="00ED1D5E">
        <w:rPr>
          <w:rFonts w:ascii="仿宋_GB2312" w:eastAsia="仿宋_GB2312" w:hint="eastAsia"/>
          <w:sz w:val="28"/>
          <w:szCs w:val="28"/>
        </w:rPr>
        <w:t>为维护全体股东的合法权益，确保股东大会的正常秩序和议事效率，保证大会的顺利召开，根据中国证监会《上市公司股东大会规则》、公司章程和公司股东大会议事规则等规定，特制定本须知。</w:t>
      </w:r>
    </w:p>
    <w:p w:rsidR="006B75A8" w:rsidRPr="00ED1D5E" w:rsidRDefault="006B75A8" w:rsidP="006B75A8">
      <w:pPr>
        <w:tabs>
          <w:tab w:val="left" w:pos="416"/>
          <w:tab w:val="left" w:pos="1086"/>
          <w:tab w:val="center" w:pos="4156"/>
        </w:tabs>
        <w:spacing w:line="500" w:lineRule="exact"/>
        <w:ind w:right="318" w:firstLineChars="200" w:firstLine="560"/>
        <w:rPr>
          <w:rFonts w:ascii="仿宋_GB2312" w:eastAsia="仿宋_GB2312"/>
          <w:sz w:val="28"/>
          <w:szCs w:val="28"/>
        </w:rPr>
      </w:pPr>
      <w:r w:rsidRPr="00ED1D5E">
        <w:rPr>
          <w:rFonts w:ascii="仿宋_GB2312" w:eastAsia="仿宋_GB2312" w:hint="eastAsia"/>
          <w:sz w:val="28"/>
          <w:szCs w:val="28"/>
        </w:rPr>
        <w:t>一、本公司根据《公司法》、《证券法》、《上市公司股东大会规则》和公司章程的规定，认真做好召开股东大会的各项工作。</w:t>
      </w:r>
    </w:p>
    <w:p w:rsidR="006B75A8" w:rsidRPr="00ED1D5E" w:rsidRDefault="006B75A8" w:rsidP="006B75A8">
      <w:pPr>
        <w:tabs>
          <w:tab w:val="left" w:pos="416"/>
          <w:tab w:val="left" w:pos="1086"/>
          <w:tab w:val="center" w:pos="4156"/>
        </w:tabs>
        <w:spacing w:line="500" w:lineRule="exact"/>
        <w:ind w:right="318" w:firstLineChars="200" w:firstLine="560"/>
        <w:rPr>
          <w:rFonts w:ascii="仿宋_GB2312" w:eastAsia="仿宋_GB2312"/>
          <w:sz w:val="28"/>
          <w:szCs w:val="28"/>
        </w:rPr>
      </w:pPr>
      <w:r w:rsidRPr="00ED1D5E">
        <w:rPr>
          <w:rFonts w:ascii="仿宋_GB2312" w:eastAsia="仿宋_GB2312" w:hint="eastAsia"/>
          <w:sz w:val="28"/>
          <w:szCs w:val="28"/>
        </w:rPr>
        <w:t>二、本公司设大会秘书处，具体负责大会有关程序方面的事宜。</w:t>
      </w:r>
    </w:p>
    <w:p w:rsidR="006B75A8" w:rsidRPr="00ED1D5E" w:rsidRDefault="006B75A8" w:rsidP="006B75A8">
      <w:pPr>
        <w:tabs>
          <w:tab w:val="left" w:pos="416"/>
          <w:tab w:val="left" w:pos="1086"/>
          <w:tab w:val="center" w:pos="4156"/>
        </w:tabs>
        <w:spacing w:line="500" w:lineRule="exact"/>
        <w:ind w:right="318" w:firstLineChars="200" w:firstLine="560"/>
        <w:rPr>
          <w:rFonts w:ascii="仿宋_GB2312" w:eastAsia="仿宋_GB2312"/>
          <w:sz w:val="28"/>
          <w:szCs w:val="28"/>
        </w:rPr>
      </w:pPr>
      <w:r w:rsidRPr="00ED1D5E">
        <w:rPr>
          <w:rFonts w:ascii="仿宋_GB2312" w:eastAsia="仿宋_GB2312" w:hint="eastAsia"/>
          <w:sz w:val="28"/>
          <w:szCs w:val="28"/>
        </w:rPr>
        <w:t>三、股东参加股东大会依法享有发言权、质询权、表决权等权利。</w:t>
      </w:r>
    </w:p>
    <w:p w:rsidR="006B75A8" w:rsidRPr="00ED1D5E" w:rsidRDefault="006B75A8" w:rsidP="006B75A8">
      <w:pPr>
        <w:tabs>
          <w:tab w:val="left" w:pos="416"/>
          <w:tab w:val="left" w:pos="1086"/>
          <w:tab w:val="center" w:pos="4156"/>
        </w:tabs>
        <w:spacing w:line="500" w:lineRule="exact"/>
        <w:ind w:right="318" w:firstLineChars="200" w:firstLine="560"/>
        <w:rPr>
          <w:rFonts w:ascii="仿宋_GB2312" w:eastAsia="仿宋_GB2312"/>
          <w:sz w:val="28"/>
          <w:szCs w:val="28"/>
        </w:rPr>
      </w:pPr>
      <w:r w:rsidRPr="00ED1D5E">
        <w:rPr>
          <w:rFonts w:ascii="仿宋_GB2312" w:eastAsia="仿宋_GB2312" w:hint="eastAsia"/>
          <w:sz w:val="28"/>
          <w:szCs w:val="28"/>
        </w:rPr>
        <w:t>四、股东要求在股东大会上发言，应在股东大会召开两个工作日前，向董事会办公室登记，发言顺序按照登记时间先后安排。股东在会前及会议现场要求发言的，应当先向大会秘书处报名，</w:t>
      </w:r>
      <w:r>
        <w:rPr>
          <w:rFonts w:ascii="仿宋_GB2312" w:eastAsia="仿宋_GB2312" w:hint="eastAsia"/>
          <w:sz w:val="28"/>
          <w:szCs w:val="28"/>
        </w:rPr>
        <w:t>并通过书面方式提交发言或质询问题。</w:t>
      </w:r>
    </w:p>
    <w:p w:rsidR="006B75A8" w:rsidRDefault="006B75A8" w:rsidP="006B75A8">
      <w:pPr>
        <w:tabs>
          <w:tab w:val="left" w:pos="416"/>
          <w:tab w:val="left" w:pos="1086"/>
          <w:tab w:val="center" w:pos="4156"/>
        </w:tabs>
        <w:spacing w:line="500" w:lineRule="exact"/>
        <w:ind w:right="318" w:firstLineChars="200" w:firstLine="560"/>
        <w:rPr>
          <w:rFonts w:ascii="仿宋_GB2312" w:eastAsia="仿宋_GB2312"/>
          <w:sz w:val="28"/>
          <w:szCs w:val="28"/>
        </w:rPr>
      </w:pPr>
      <w:r w:rsidRPr="00ED1D5E">
        <w:rPr>
          <w:rFonts w:ascii="仿宋_GB2312" w:eastAsia="仿宋_GB2312" w:hint="eastAsia"/>
          <w:sz w:val="28"/>
          <w:szCs w:val="28"/>
        </w:rPr>
        <w:t>股东</w:t>
      </w:r>
      <w:r>
        <w:rPr>
          <w:rFonts w:ascii="仿宋_GB2312" w:eastAsia="仿宋_GB2312" w:hint="eastAsia"/>
          <w:sz w:val="28"/>
          <w:szCs w:val="28"/>
        </w:rPr>
        <w:t>提交的</w:t>
      </w:r>
      <w:r w:rsidRPr="00ED1D5E">
        <w:rPr>
          <w:rFonts w:ascii="仿宋_GB2312" w:eastAsia="仿宋_GB2312" w:hint="eastAsia"/>
          <w:sz w:val="28"/>
          <w:szCs w:val="28"/>
        </w:rPr>
        <w:t>发言</w:t>
      </w:r>
      <w:r>
        <w:rPr>
          <w:rFonts w:ascii="仿宋_GB2312" w:eastAsia="仿宋_GB2312" w:hint="eastAsia"/>
          <w:sz w:val="28"/>
          <w:szCs w:val="28"/>
        </w:rPr>
        <w:t>应包括股东</w:t>
      </w:r>
      <w:r w:rsidRPr="00ED1D5E">
        <w:rPr>
          <w:rFonts w:ascii="仿宋_GB2312" w:eastAsia="仿宋_GB2312" w:hint="eastAsia"/>
          <w:sz w:val="28"/>
          <w:szCs w:val="28"/>
        </w:rPr>
        <w:t>姓名或代表的股东和所持有的股份数，发言主题应与会议议题相关。</w:t>
      </w:r>
    </w:p>
    <w:p w:rsidR="006B75A8" w:rsidRPr="00ED1D5E" w:rsidRDefault="006B75A8" w:rsidP="006B75A8">
      <w:pPr>
        <w:tabs>
          <w:tab w:val="left" w:pos="416"/>
          <w:tab w:val="left" w:pos="1086"/>
          <w:tab w:val="center" w:pos="4156"/>
        </w:tabs>
        <w:spacing w:line="500" w:lineRule="exact"/>
        <w:ind w:right="318" w:firstLineChars="200" w:firstLine="560"/>
        <w:rPr>
          <w:rFonts w:ascii="仿宋_GB2312" w:eastAsia="仿宋_GB2312"/>
          <w:sz w:val="28"/>
          <w:szCs w:val="28"/>
        </w:rPr>
      </w:pPr>
      <w:r w:rsidRPr="00ED1D5E">
        <w:rPr>
          <w:rFonts w:ascii="仿宋_GB2312" w:eastAsia="仿宋_GB2312" w:hint="eastAsia"/>
          <w:sz w:val="28"/>
          <w:szCs w:val="28"/>
        </w:rPr>
        <w:t>五、公司董事和高级管理人员应当认真负责地、有针对性地集中回答股东的问题。全部回答问题的时间控制在</w:t>
      </w:r>
      <w:r>
        <w:rPr>
          <w:rFonts w:ascii="仿宋_GB2312" w:eastAsia="仿宋_GB2312" w:hint="eastAsia"/>
          <w:sz w:val="28"/>
          <w:szCs w:val="28"/>
        </w:rPr>
        <w:t>3</w:t>
      </w:r>
      <w:r w:rsidRPr="00ED1D5E">
        <w:rPr>
          <w:rFonts w:ascii="仿宋_GB2312" w:eastAsia="仿宋_GB2312" w:hint="eastAsia"/>
          <w:sz w:val="28"/>
          <w:szCs w:val="28"/>
        </w:rPr>
        <w:t>0分钟</w:t>
      </w:r>
      <w:r>
        <w:rPr>
          <w:rFonts w:ascii="仿宋_GB2312" w:eastAsia="仿宋_GB2312" w:hint="eastAsia"/>
          <w:sz w:val="28"/>
          <w:szCs w:val="28"/>
        </w:rPr>
        <w:t>左右</w:t>
      </w:r>
      <w:r w:rsidRPr="00ED1D5E">
        <w:rPr>
          <w:rFonts w:ascii="仿宋_GB2312" w:eastAsia="仿宋_GB2312" w:hint="eastAsia"/>
          <w:sz w:val="28"/>
          <w:szCs w:val="28"/>
        </w:rPr>
        <w:t>。</w:t>
      </w:r>
    </w:p>
    <w:p w:rsidR="006B75A8" w:rsidRPr="00ED1D5E" w:rsidRDefault="006B75A8" w:rsidP="006B75A8">
      <w:pPr>
        <w:tabs>
          <w:tab w:val="left" w:pos="416"/>
          <w:tab w:val="left" w:pos="1086"/>
          <w:tab w:val="center" w:pos="4156"/>
        </w:tabs>
        <w:spacing w:line="500" w:lineRule="exact"/>
        <w:ind w:right="318" w:firstLineChars="200" w:firstLine="560"/>
        <w:rPr>
          <w:rFonts w:ascii="仿宋_GB2312" w:eastAsia="仿宋_GB2312"/>
          <w:sz w:val="28"/>
          <w:szCs w:val="28"/>
        </w:rPr>
      </w:pPr>
      <w:r w:rsidRPr="00ED1D5E">
        <w:rPr>
          <w:rFonts w:ascii="仿宋_GB2312" w:eastAsia="仿宋_GB2312" w:hint="eastAsia"/>
          <w:sz w:val="28"/>
          <w:szCs w:val="28"/>
        </w:rPr>
        <w:t>六、为提高大会议事效率，在股东就本次会议议案相关的问题回答结束后，即可进行大会表决。</w:t>
      </w:r>
    </w:p>
    <w:p w:rsidR="006B75A8" w:rsidRPr="00ED1D5E" w:rsidRDefault="006B75A8" w:rsidP="006B75A8">
      <w:pPr>
        <w:tabs>
          <w:tab w:val="left" w:pos="416"/>
          <w:tab w:val="left" w:pos="1086"/>
          <w:tab w:val="center" w:pos="4156"/>
        </w:tabs>
        <w:spacing w:line="500" w:lineRule="exact"/>
        <w:ind w:right="318" w:firstLineChars="200" w:firstLine="560"/>
        <w:rPr>
          <w:rFonts w:ascii="仿宋_GB2312" w:eastAsia="仿宋_GB2312"/>
          <w:sz w:val="28"/>
          <w:szCs w:val="28"/>
        </w:rPr>
      </w:pPr>
      <w:r w:rsidRPr="00ED1D5E">
        <w:rPr>
          <w:rFonts w:ascii="仿宋_GB2312" w:eastAsia="仿宋_GB2312" w:hint="eastAsia"/>
          <w:sz w:val="28"/>
          <w:szCs w:val="28"/>
        </w:rPr>
        <w:t>七、大会表决前，会议登记终止，并由会议主持人宣布现场出席会议的股东和代理人数及其所持有股份总数。</w:t>
      </w:r>
    </w:p>
    <w:p w:rsidR="006B75A8" w:rsidRPr="00ED1D5E" w:rsidRDefault="006B75A8" w:rsidP="006B75A8">
      <w:pPr>
        <w:tabs>
          <w:tab w:val="left" w:pos="416"/>
          <w:tab w:val="left" w:pos="1086"/>
          <w:tab w:val="center" w:pos="4156"/>
        </w:tabs>
        <w:spacing w:line="500" w:lineRule="exact"/>
        <w:ind w:right="318" w:firstLineChars="200" w:firstLine="560"/>
        <w:rPr>
          <w:rFonts w:ascii="仿宋_GB2312" w:eastAsia="仿宋_GB2312"/>
          <w:sz w:val="28"/>
          <w:szCs w:val="28"/>
        </w:rPr>
      </w:pPr>
      <w:r w:rsidRPr="00ED1D5E">
        <w:rPr>
          <w:rFonts w:ascii="仿宋_GB2312" w:eastAsia="仿宋_GB2312" w:hint="eastAsia"/>
          <w:sz w:val="28"/>
          <w:szCs w:val="28"/>
        </w:rPr>
        <w:t>八、股东大会</w:t>
      </w:r>
      <w:r w:rsidRPr="008E4896">
        <w:rPr>
          <w:rFonts w:ascii="仿宋_GB2312" w:eastAsia="仿宋_GB2312" w:hint="eastAsia"/>
          <w:sz w:val="28"/>
          <w:szCs w:val="28"/>
        </w:rPr>
        <w:t>会议采用现场会议投票和网络投票相结合方式召开。公司将通过上海证券交易所交易系统向股东提供网络形式</w:t>
      </w:r>
      <w:r w:rsidRPr="008E4896">
        <w:rPr>
          <w:rFonts w:ascii="仿宋_GB2312" w:eastAsia="仿宋_GB2312" w:hint="eastAsia"/>
          <w:sz w:val="28"/>
          <w:szCs w:val="28"/>
        </w:rPr>
        <w:lastRenderedPageBreak/>
        <w:t>的投票平台，股东可以在网络投票规定的时间内通过上述系统行使表决权</w:t>
      </w:r>
      <w:r>
        <w:rPr>
          <w:rFonts w:ascii="仿宋_GB2312" w:eastAsia="仿宋_GB2312" w:hint="eastAsia"/>
          <w:sz w:val="28"/>
          <w:szCs w:val="28"/>
        </w:rPr>
        <w:t>（网络投票规则详见公司在上海证券交易所网站公告的</w:t>
      </w:r>
      <w:r w:rsidR="008A61D5">
        <w:rPr>
          <w:rFonts w:ascii="仿宋_GB2312" w:eastAsia="仿宋_GB2312" w:hint="eastAsia"/>
          <w:sz w:val="28"/>
          <w:szCs w:val="28"/>
        </w:rPr>
        <w:t>2015年第一次临时股东大会</w:t>
      </w:r>
      <w:r>
        <w:rPr>
          <w:rFonts w:ascii="仿宋_GB2312" w:eastAsia="仿宋_GB2312" w:hint="eastAsia"/>
          <w:sz w:val="28"/>
          <w:szCs w:val="28"/>
        </w:rPr>
        <w:t>通知）</w:t>
      </w:r>
      <w:r w:rsidRPr="008E4896">
        <w:rPr>
          <w:rFonts w:ascii="仿宋_GB2312" w:eastAsia="仿宋_GB2312" w:hint="eastAsia"/>
          <w:sz w:val="28"/>
          <w:szCs w:val="28"/>
        </w:rPr>
        <w:t>。同一表决权只能选择现场或网络表决方式中的一种，若同一表决权出现现场和网络重复表决的，以第一次表决结果为准。</w:t>
      </w:r>
    </w:p>
    <w:p w:rsidR="006B75A8" w:rsidRDefault="006B75A8" w:rsidP="006B75A8">
      <w:pPr>
        <w:tabs>
          <w:tab w:val="left" w:pos="416"/>
          <w:tab w:val="left" w:pos="1086"/>
          <w:tab w:val="center" w:pos="4156"/>
        </w:tabs>
        <w:spacing w:line="500" w:lineRule="exact"/>
        <w:ind w:right="318" w:firstLineChars="200" w:firstLine="560"/>
        <w:rPr>
          <w:rFonts w:ascii="仿宋_GB2312" w:eastAsia="仿宋_GB2312"/>
          <w:sz w:val="28"/>
          <w:szCs w:val="28"/>
        </w:rPr>
      </w:pPr>
      <w:r w:rsidRPr="00ED1D5E">
        <w:rPr>
          <w:rFonts w:ascii="仿宋_GB2312" w:eastAsia="仿宋_GB2312" w:hint="eastAsia"/>
          <w:sz w:val="28"/>
          <w:szCs w:val="28"/>
        </w:rPr>
        <w:t>股东</w:t>
      </w:r>
      <w:r>
        <w:rPr>
          <w:rFonts w:ascii="仿宋_GB2312" w:eastAsia="仿宋_GB2312" w:hint="eastAsia"/>
          <w:sz w:val="28"/>
          <w:szCs w:val="28"/>
        </w:rPr>
        <w:t>在会议现场投票的，</w:t>
      </w:r>
      <w:r w:rsidRPr="00ED1D5E">
        <w:rPr>
          <w:rFonts w:ascii="仿宋_GB2312" w:eastAsia="仿宋_GB2312" w:hint="eastAsia"/>
          <w:sz w:val="28"/>
          <w:szCs w:val="28"/>
        </w:rPr>
        <w:t>以其所持有的股份数额行使表决权，每一股份享有一票表决权。股东在投票表决时，应在表决单中每项议案下设的“同意”、“反对”、“弃权”三项中任选一项，并以打“√”表示，未填、填错、字迹无法辨认的表决票或未投的</w:t>
      </w:r>
      <w:proofErr w:type="gramStart"/>
      <w:r w:rsidRPr="00ED1D5E">
        <w:rPr>
          <w:rFonts w:ascii="仿宋_GB2312" w:eastAsia="仿宋_GB2312" w:hint="eastAsia"/>
          <w:sz w:val="28"/>
          <w:szCs w:val="28"/>
        </w:rPr>
        <w:t>表决票均视为</w:t>
      </w:r>
      <w:proofErr w:type="gramEnd"/>
      <w:r w:rsidRPr="00ED1D5E">
        <w:rPr>
          <w:rFonts w:ascii="仿宋_GB2312" w:eastAsia="仿宋_GB2312" w:hint="eastAsia"/>
          <w:sz w:val="28"/>
          <w:szCs w:val="28"/>
        </w:rPr>
        <w:t>“弃权”。</w:t>
      </w:r>
    </w:p>
    <w:p w:rsidR="006B75A8" w:rsidRPr="00ED1D5E" w:rsidRDefault="006B75A8" w:rsidP="006B75A8">
      <w:pPr>
        <w:tabs>
          <w:tab w:val="left" w:pos="416"/>
          <w:tab w:val="left" w:pos="1086"/>
          <w:tab w:val="center" w:pos="4156"/>
        </w:tabs>
        <w:spacing w:line="500" w:lineRule="exact"/>
        <w:ind w:right="318" w:firstLineChars="200" w:firstLine="560"/>
        <w:rPr>
          <w:rFonts w:ascii="仿宋_GB2312" w:eastAsia="仿宋_GB2312"/>
          <w:sz w:val="28"/>
          <w:szCs w:val="28"/>
        </w:rPr>
      </w:pPr>
      <w:r w:rsidRPr="00ED1D5E">
        <w:rPr>
          <w:rFonts w:ascii="仿宋_GB2312" w:eastAsia="仿宋_GB2312" w:hint="eastAsia"/>
          <w:sz w:val="28"/>
          <w:szCs w:val="28"/>
        </w:rPr>
        <w:t>九、本次股东大会</w:t>
      </w:r>
      <w:r w:rsidRPr="00F0198C">
        <w:rPr>
          <w:rFonts w:ascii="仿宋_GB2312" w:eastAsia="仿宋_GB2312" w:hint="eastAsia"/>
          <w:sz w:val="28"/>
          <w:szCs w:val="28"/>
        </w:rPr>
        <w:t>议案</w:t>
      </w:r>
      <w:r w:rsidR="008A61D5">
        <w:rPr>
          <w:rFonts w:ascii="仿宋_GB2312" w:eastAsia="仿宋_GB2312" w:hint="eastAsia"/>
          <w:sz w:val="28"/>
          <w:szCs w:val="28"/>
        </w:rPr>
        <w:t>一</w:t>
      </w:r>
      <w:r w:rsidRPr="00E74533">
        <w:rPr>
          <w:rFonts w:ascii="仿宋_GB2312" w:eastAsia="仿宋_GB2312" w:hint="eastAsia"/>
          <w:sz w:val="28"/>
          <w:szCs w:val="28"/>
        </w:rPr>
        <w:t>为</w:t>
      </w:r>
      <w:r>
        <w:rPr>
          <w:rFonts w:ascii="仿宋_GB2312" w:eastAsia="仿宋_GB2312" w:hint="eastAsia"/>
          <w:sz w:val="28"/>
          <w:szCs w:val="28"/>
        </w:rPr>
        <w:t>特别决议事项，由出席会议的有表决权股东（包括股东代理人）所持股份总数的三分之二以上通过；其它议案</w:t>
      </w:r>
      <w:r w:rsidRPr="00ED1D5E">
        <w:rPr>
          <w:rFonts w:ascii="仿宋_GB2312" w:eastAsia="仿宋_GB2312" w:hint="eastAsia"/>
          <w:sz w:val="28"/>
          <w:szCs w:val="28"/>
        </w:rPr>
        <w:t>为普通决议事项，由出席会议的</w:t>
      </w:r>
      <w:r>
        <w:rPr>
          <w:rFonts w:ascii="仿宋_GB2312" w:eastAsia="仿宋_GB2312" w:hint="eastAsia"/>
          <w:sz w:val="28"/>
          <w:szCs w:val="28"/>
        </w:rPr>
        <w:t>有表决权</w:t>
      </w:r>
      <w:r w:rsidRPr="00ED1D5E">
        <w:rPr>
          <w:rFonts w:ascii="仿宋_GB2312" w:eastAsia="仿宋_GB2312" w:hint="eastAsia"/>
          <w:sz w:val="28"/>
          <w:szCs w:val="28"/>
        </w:rPr>
        <w:t>股东（包括股东代理人）所持股份总数的二分之一以上通过</w:t>
      </w:r>
      <w:r>
        <w:rPr>
          <w:rFonts w:ascii="仿宋_GB2312" w:eastAsia="仿宋_GB2312" w:hint="eastAsia"/>
          <w:sz w:val="28"/>
          <w:szCs w:val="28"/>
        </w:rPr>
        <w:t>。</w:t>
      </w:r>
    </w:p>
    <w:p w:rsidR="006B75A8" w:rsidRPr="00ED1D5E" w:rsidRDefault="006B75A8" w:rsidP="006B75A8">
      <w:pPr>
        <w:tabs>
          <w:tab w:val="left" w:pos="416"/>
          <w:tab w:val="left" w:pos="1086"/>
          <w:tab w:val="center" w:pos="4156"/>
        </w:tabs>
        <w:spacing w:line="500" w:lineRule="exact"/>
        <w:ind w:right="318" w:firstLineChars="200" w:firstLine="560"/>
        <w:rPr>
          <w:rFonts w:ascii="仿宋_GB2312" w:eastAsia="仿宋_GB2312"/>
          <w:sz w:val="28"/>
          <w:szCs w:val="28"/>
        </w:rPr>
      </w:pPr>
      <w:r w:rsidRPr="00ED1D5E">
        <w:rPr>
          <w:rFonts w:ascii="仿宋_GB2312" w:eastAsia="仿宋_GB2312" w:hint="eastAsia"/>
          <w:sz w:val="28"/>
          <w:szCs w:val="28"/>
        </w:rPr>
        <w:t>十、股东参加股东大会，应当认真履行其法定义务，会议开始后应将手机铃声置于无声状态，</w:t>
      </w:r>
      <w:r w:rsidRPr="00FF6C89">
        <w:rPr>
          <w:rFonts w:ascii="仿宋_GB2312" w:eastAsia="仿宋_GB2312" w:hint="eastAsia"/>
          <w:sz w:val="28"/>
          <w:szCs w:val="28"/>
        </w:rPr>
        <w:t>会议进行过程中不得拍照，</w:t>
      </w:r>
      <w:r w:rsidRPr="00ED1D5E">
        <w:rPr>
          <w:rFonts w:ascii="仿宋_GB2312" w:eastAsia="仿宋_GB2312" w:hint="eastAsia"/>
          <w:sz w:val="28"/>
          <w:szCs w:val="28"/>
        </w:rPr>
        <w:t>尊重和维护其他股东合法权益，保障大会的正常秩序。</w:t>
      </w:r>
    </w:p>
    <w:p w:rsidR="006B75A8" w:rsidRPr="00ED1D5E" w:rsidRDefault="006B75A8" w:rsidP="006B75A8">
      <w:pPr>
        <w:tabs>
          <w:tab w:val="left" w:pos="416"/>
          <w:tab w:val="left" w:pos="1086"/>
          <w:tab w:val="center" w:pos="4156"/>
        </w:tabs>
        <w:spacing w:line="500" w:lineRule="exact"/>
        <w:ind w:right="318" w:firstLineChars="200" w:firstLine="560"/>
        <w:rPr>
          <w:rFonts w:ascii="仿宋_GB2312" w:eastAsia="仿宋_GB2312"/>
          <w:sz w:val="28"/>
          <w:szCs w:val="28"/>
        </w:rPr>
      </w:pPr>
      <w:r w:rsidRPr="00ED1D5E">
        <w:rPr>
          <w:rFonts w:ascii="仿宋_GB2312" w:eastAsia="仿宋_GB2312" w:hint="eastAsia"/>
          <w:sz w:val="28"/>
          <w:szCs w:val="28"/>
        </w:rPr>
        <w:t>十一、本公司不向参加股东大会的股东发放礼品，不负责安排参加股东大会股东的住宿和接送等事项，以平等对待所有股东。</w:t>
      </w:r>
    </w:p>
    <w:p w:rsidR="006B75A8" w:rsidRDefault="006B75A8" w:rsidP="006B75A8">
      <w:pPr>
        <w:tabs>
          <w:tab w:val="left" w:pos="416"/>
          <w:tab w:val="left" w:pos="1086"/>
          <w:tab w:val="center" w:pos="4156"/>
        </w:tabs>
        <w:spacing w:line="500" w:lineRule="exact"/>
        <w:ind w:right="318" w:firstLineChars="200" w:firstLine="560"/>
        <w:rPr>
          <w:rFonts w:ascii="仿宋_GB2312" w:eastAsia="仿宋_GB2312"/>
          <w:sz w:val="28"/>
          <w:szCs w:val="28"/>
        </w:rPr>
        <w:sectPr w:rsidR="006B75A8" w:rsidSect="006B75A8">
          <w:footerReference w:type="even" r:id="rId11"/>
          <w:footerReference w:type="default" r:id="rId12"/>
          <w:pgSz w:w="11906" w:h="16838" w:code="9"/>
          <w:pgMar w:top="1440" w:right="1797" w:bottom="1440" w:left="1797" w:header="851" w:footer="992" w:gutter="0"/>
          <w:cols w:space="425"/>
          <w:docGrid w:type="linesAndChars" w:linePitch="312"/>
        </w:sectPr>
      </w:pPr>
      <w:r w:rsidRPr="00ED1D5E">
        <w:rPr>
          <w:rFonts w:ascii="仿宋_GB2312" w:eastAsia="仿宋_GB2312" w:hint="eastAsia"/>
          <w:sz w:val="28"/>
          <w:szCs w:val="28"/>
        </w:rPr>
        <w:t>十二、公司董事会聘请律师事务所执业律师参加本次股东大会</w:t>
      </w:r>
      <w:r>
        <w:rPr>
          <w:rFonts w:ascii="仿宋_GB2312" w:eastAsia="仿宋_GB2312" w:hint="eastAsia"/>
          <w:sz w:val="28"/>
          <w:szCs w:val="28"/>
        </w:rPr>
        <w:t>进行见证</w:t>
      </w:r>
      <w:r w:rsidRPr="00ED1D5E">
        <w:rPr>
          <w:rFonts w:ascii="仿宋_GB2312" w:eastAsia="仿宋_GB2312" w:hint="eastAsia"/>
          <w:sz w:val="28"/>
          <w:szCs w:val="28"/>
        </w:rPr>
        <w:t>，并出具法律意见。</w:t>
      </w:r>
    </w:p>
    <w:p w:rsidR="00DB4DF1" w:rsidRDefault="00443049" w:rsidP="00DB4DF1">
      <w:pPr>
        <w:widowControl/>
        <w:spacing w:line="500" w:lineRule="exact"/>
        <w:jc w:val="left"/>
      </w:pPr>
      <w:r>
        <w:lastRenderedPageBreak/>
        <w:pict>
          <v:shapetype id="_x0000_t202" coordsize="21600,21600" o:spt="202" path="m,l,21600r21600,l21600,xe">
            <v:stroke joinstyle="miter"/>
            <v:path gradientshapeok="t" o:connecttype="rect"/>
          </v:shapetype>
          <v:shape id="_x0000_s1026" type="#_x0000_t202" style="position:absolute;margin-left:-9pt;margin-top:1pt;width:142.5pt;height:48.1pt;z-index:251643392">
            <v:textbox style="mso-next-textbox:#_x0000_s1026">
              <w:txbxContent>
                <w:p w:rsidR="008265DD" w:rsidRDefault="008A61D5" w:rsidP="00DB4DF1">
                  <w:pPr>
                    <w:spacing w:line="400" w:lineRule="exact"/>
                    <w:jc w:val="center"/>
                    <w:rPr>
                      <w:rFonts w:ascii="宋体"/>
                      <w:color w:val="000000"/>
                      <w:szCs w:val="21"/>
                    </w:rPr>
                  </w:pPr>
                  <w:r>
                    <w:rPr>
                      <w:rFonts w:ascii="宋体" w:hint="eastAsia"/>
                      <w:color w:val="000000"/>
                      <w:szCs w:val="21"/>
                    </w:rPr>
                    <w:t>2015年</w:t>
                  </w:r>
                  <w:r w:rsidR="001034B7">
                    <w:rPr>
                      <w:rFonts w:ascii="宋体" w:hint="eastAsia"/>
                      <w:color w:val="000000"/>
                      <w:szCs w:val="21"/>
                    </w:rPr>
                    <w:t>第</w:t>
                  </w:r>
                  <w:r>
                    <w:rPr>
                      <w:rFonts w:ascii="宋体" w:hint="eastAsia"/>
                      <w:color w:val="000000"/>
                      <w:szCs w:val="21"/>
                    </w:rPr>
                    <w:t>一次临时股东大会</w:t>
                  </w:r>
                </w:p>
                <w:p w:rsidR="008265DD" w:rsidRDefault="008265DD" w:rsidP="00DB4DF1">
                  <w:pPr>
                    <w:spacing w:line="400" w:lineRule="exact"/>
                    <w:jc w:val="center"/>
                    <w:rPr>
                      <w:rFonts w:ascii="宋体"/>
                      <w:color w:val="000000"/>
                      <w:szCs w:val="21"/>
                    </w:rPr>
                  </w:pPr>
                  <w:r>
                    <w:rPr>
                      <w:rFonts w:ascii="宋体" w:hint="eastAsia"/>
                      <w:color w:val="000000"/>
                      <w:szCs w:val="21"/>
                    </w:rPr>
                    <w:t>文件</w:t>
                  </w:r>
                  <w:proofErr w:type="gramStart"/>
                  <w:r>
                    <w:rPr>
                      <w:rFonts w:ascii="宋体" w:hint="eastAsia"/>
                      <w:color w:val="000000"/>
                      <w:szCs w:val="21"/>
                    </w:rPr>
                    <w:t>一</w:t>
                  </w:r>
                  <w:proofErr w:type="gramEnd"/>
                  <w:r>
                    <w:rPr>
                      <w:rFonts w:ascii="宋体" w:hint="eastAsia"/>
                      <w:color w:val="000000"/>
                      <w:szCs w:val="21"/>
                    </w:rPr>
                    <w:t xml:space="preserve">　审议议案</w:t>
                  </w:r>
                </w:p>
                <w:p w:rsidR="008265DD" w:rsidRDefault="008265DD" w:rsidP="00DB4DF1">
                  <w:pPr>
                    <w:rPr>
                      <w:szCs w:val="21"/>
                    </w:rPr>
                  </w:pPr>
                </w:p>
              </w:txbxContent>
            </v:textbox>
            <w10:wrap type="square"/>
          </v:shape>
        </w:pict>
      </w:r>
    </w:p>
    <w:p w:rsidR="00DB4DF1" w:rsidRDefault="00DB4DF1" w:rsidP="00DB4DF1">
      <w:pPr>
        <w:widowControl/>
        <w:spacing w:line="500" w:lineRule="exact"/>
        <w:jc w:val="left"/>
      </w:pPr>
    </w:p>
    <w:p w:rsidR="00DB4DF1" w:rsidRDefault="00DB4DF1" w:rsidP="00DB4DF1">
      <w:pPr>
        <w:widowControl/>
        <w:spacing w:line="500" w:lineRule="exact"/>
        <w:jc w:val="center"/>
        <w:rPr>
          <w:rFonts w:ascii="黑体" w:eastAsia="黑体"/>
          <w:sz w:val="32"/>
          <w:szCs w:val="32"/>
        </w:rPr>
      </w:pPr>
      <w:r>
        <w:rPr>
          <w:rFonts w:ascii="黑体" w:eastAsia="黑体" w:hint="eastAsia"/>
          <w:sz w:val="32"/>
          <w:szCs w:val="32"/>
        </w:rPr>
        <w:t>兴业银行股份有限公司</w:t>
      </w:r>
    </w:p>
    <w:p w:rsidR="008A61D5" w:rsidRPr="00952A16" w:rsidRDefault="008A61D5" w:rsidP="008A61D5">
      <w:pPr>
        <w:pStyle w:val="1"/>
        <w:spacing w:before="0" w:after="0" w:line="500" w:lineRule="exact"/>
        <w:ind w:left="431" w:hanging="431"/>
        <w:rPr>
          <w:b/>
          <w:szCs w:val="32"/>
        </w:rPr>
      </w:pPr>
      <w:bookmarkStart w:id="0" w:name="_Toc429466416"/>
      <w:bookmarkStart w:id="1" w:name="_Toc429579501"/>
      <w:r w:rsidRPr="00D76CCA">
        <w:rPr>
          <w:rFonts w:hint="eastAsia"/>
          <w:bCs/>
          <w:szCs w:val="32"/>
        </w:rPr>
        <w:t>关于发行二级资本债券</w:t>
      </w:r>
      <w:r>
        <w:rPr>
          <w:rFonts w:hint="eastAsia"/>
          <w:bCs/>
          <w:szCs w:val="32"/>
        </w:rPr>
        <w:t>的议案</w:t>
      </w:r>
      <w:bookmarkEnd w:id="0"/>
      <w:bookmarkEnd w:id="1"/>
    </w:p>
    <w:p w:rsidR="008A61D5" w:rsidRPr="00952A16" w:rsidRDefault="008A61D5" w:rsidP="008A61D5">
      <w:pPr>
        <w:spacing w:line="500" w:lineRule="exact"/>
        <w:jc w:val="center"/>
        <w:rPr>
          <w:rFonts w:ascii="仿宋_GB2312" w:eastAsia="仿宋_GB2312"/>
          <w:sz w:val="28"/>
          <w:szCs w:val="28"/>
        </w:rPr>
      </w:pPr>
      <w:r>
        <w:rPr>
          <w:rFonts w:ascii="仿宋_GB2312" w:eastAsia="仿宋_GB2312" w:hint="eastAsia"/>
          <w:sz w:val="28"/>
          <w:szCs w:val="28"/>
        </w:rPr>
        <w:t>报告人</w:t>
      </w:r>
      <w:r w:rsidRPr="00952A16">
        <w:rPr>
          <w:rFonts w:ascii="仿宋_GB2312" w:eastAsia="仿宋_GB2312" w:hint="eastAsia"/>
          <w:sz w:val="28"/>
          <w:szCs w:val="28"/>
        </w:rPr>
        <w:t>：</w:t>
      </w:r>
      <w:r>
        <w:rPr>
          <w:rFonts w:ascii="仿宋_GB2312" w:eastAsia="仿宋_GB2312" w:hint="eastAsia"/>
          <w:sz w:val="28"/>
          <w:szCs w:val="28"/>
        </w:rPr>
        <w:t>李　健</w:t>
      </w:r>
    </w:p>
    <w:p w:rsidR="008A61D5" w:rsidRDefault="008A61D5" w:rsidP="008A61D5">
      <w:pPr>
        <w:spacing w:line="500" w:lineRule="exact"/>
        <w:rPr>
          <w:rFonts w:ascii="仿宋_GB2312" w:eastAsia="仿宋_GB2312"/>
          <w:sz w:val="28"/>
          <w:szCs w:val="28"/>
        </w:rPr>
      </w:pPr>
    </w:p>
    <w:p w:rsidR="008A61D5" w:rsidRPr="00952A16" w:rsidRDefault="008A61D5" w:rsidP="008A61D5">
      <w:pPr>
        <w:spacing w:line="500" w:lineRule="exact"/>
        <w:rPr>
          <w:rFonts w:ascii="仿宋_GB2312" w:eastAsia="仿宋_GB2312"/>
          <w:sz w:val="28"/>
          <w:szCs w:val="28"/>
        </w:rPr>
      </w:pPr>
      <w:r>
        <w:rPr>
          <w:rFonts w:ascii="仿宋_GB2312" w:eastAsia="仿宋_GB2312" w:hint="eastAsia"/>
          <w:sz w:val="28"/>
          <w:szCs w:val="28"/>
        </w:rPr>
        <w:t>各位股东：</w:t>
      </w:r>
    </w:p>
    <w:p w:rsidR="008A61D5" w:rsidRPr="00A70750" w:rsidRDefault="008A61D5" w:rsidP="008A61D5">
      <w:pPr>
        <w:spacing w:line="500" w:lineRule="exact"/>
        <w:ind w:firstLineChars="200" w:firstLine="560"/>
        <w:rPr>
          <w:rFonts w:ascii="仿宋_GB2312" w:eastAsia="仿宋_GB2312"/>
          <w:color w:val="000000"/>
          <w:sz w:val="28"/>
          <w:szCs w:val="28"/>
        </w:rPr>
      </w:pPr>
      <w:r w:rsidRPr="00A70750">
        <w:rPr>
          <w:rFonts w:ascii="仿宋_GB2312" w:eastAsia="仿宋_GB2312" w:hint="eastAsia"/>
          <w:color w:val="000000"/>
          <w:sz w:val="28"/>
          <w:szCs w:val="28"/>
        </w:rPr>
        <w:t>为增强</w:t>
      </w:r>
      <w:r>
        <w:rPr>
          <w:rFonts w:ascii="仿宋_GB2312" w:eastAsia="仿宋_GB2312" w:hint="eastAsia"/>
          <w:color w:val="000000"/>
          <w:sz w:val="28"/>
          <w:szCs w:val="28"/>
        </w:rPr>
        <w:t>本</w:t>
      </w:r>
      <w:r w:rsidRPr="00A70750">
        <w:rPr>
          <w:rFonts w:ascii="仿宋_GB2312" w:eastAsia="仿宋_GB2312" w:hint="eastAsia"/>
          <w:color w:val="000000"/>
          <w:sz w:val="28"/>
          <w:szCs w:val="28"/>
        </w:rPr>
        <w:t>行运营实力，提高抗风险能力，支持各项业务持续稳健发展，</w:t>
      </w:r>
      <w:r>
        <w:rPr>
          <w:rFonts w:ascii="仿宋_GB2312" w:eastAsia="仿宋_GB2312" w:hint="eastAsia"/>
          <w:color w:val="000000"/>
          <w:sz w:val="28"/>
          <w:szCs w:val="28"/>
        </w:rPr>
        <w:t>本行</w:t>
      </w:r>
      <w:r w:rsidRPr="00A70750">
        <w:rPr>
          <w:rFonts w:ascii="仿宋_GB2312" w:eastAsia="仿宋_GB2312" w:hint="eastAsia"/>
          <w:color w:val="000000"/>
          <w:sz w:val="28"/>
          <w:szCs w:val="28"/>
        </w:rPr>
        <w:t>拟在2016年底前视监管导向和市场情况，一次或分期在境内外市场发行不超过</w:t>
      </w:r>
      <w:r>
        <w:rPr>
          <w:rFonts w:ascii="仿宋_GB2312" w:eastAsia="仿宋_GB2312" w:hint="eastAsia"/>
          <w:color w:val="000000"/>
          <w:sz w:val="28"/>
          <w:szCs w:val="28"/>
        </w:rPr>
        <w:t>3</w:t>
      </w:r>
      <w:r w:rsidRPr="00A70750">
        <w:rPr>
          <w:rFonts w:ascii="仿宋_GB2312" w:eastAsia="仿宋_GB2312" w:hint="eastAsia"/>
          <w:color w:val="000000"/>
          <w:sz w:val="28"/>
          <w:szCs w:val="28"/>
        </w:rPr>
        <w:t>00亿元</w:t>
      </w:r>
      <w:r>
        <w:rPr>
          <w:rFonts w:ascii="仿宋_GB2312" w:eastAsia="仿宋_GB2312" w:hint="eastAsia"/>
          <w:color w:val="000000"/>
          <w:sz w:val="28"/>
          <w:szCs w:val="28"/>
        </w:rPr>
        <w:t>人民币的</w:t>
      </w:r>
      <w:r w:rsidRPr="00A70750">
        <w:rPr>
          <w:rFonts w:ascii="仿宋_GB2312" w:eastAsia="仿宋_GB2312" w:hint="eastAsia"/>
          <w:color w:val="000000"/>
          <w:sz w:val="28"/>
          <w:szCs w:val="28"/>
        </w:rPr>
        <w:t>合格二级资本债券，募集资金将用于充实二级资本，提高资本充足率水平。</w:t>
      </w:r>
    </w:p>
    <w:p w:rsidR="008A61D5" w:rsidRPr="00BE1F44" w:rsidRDefault="008A61D5" w:rsidP="008A61D5">
      <w:pPr>
        <w:spacing w:line="500" w:lineRule="exact"/>
        <w:ind w:firstLineChars="200" w:firstLine="562"/>
        <w:rPr>
          <w:rFonts w:ascii="仿宋_GB2312" w:eastAsia="仿宋_GB2312"/>
          <w:b/>
          <w:sz w:val="28"/>
          <w:szCs w:val="28"/>
        </w:rPr>
      </w:pPr>
      <w:r w:rsidRPr="00BE1F44">
        <w:rPr>
          <w:rFonts w:ascii="仿宋_GB2312" w:eastAsia="仿宋_GB2312" w:hint="eastAsia"/>
          <w:b/>
          <w:sz w:val="28"/>
          <w:szCs w:val="28"/>
        </w:rPr>
        <w:t>一</w:t>
      </w:r>
      <w:r>
        <w:rPr>
          <w:rFonts w:ascii="仿宋_GB2312" w:eastAsia="仿宋_GB2312" w:hint="eastAsia"/>
          <w:b/>
          <w:sz w:val="28"/>
          <w:szCs w:val="28"/>
        </w:rPr>
        <w:t>、</w:t>
      </w:r>
      <w:r w:rsidRPr="00BE1F44">
        <w:rPr>
          <w:rFonts w:ascii="仿宋_GB2312" w:eastAsia="仿宋_GB2312" w:hint="eastAsia"/>
          <w:b/>
          <w:sz w:val="28"/>
          <w:szCs w:val="28"/>
        </w:rPr>
        <w:t>发行二级资本债券补充资本的必要性</w:t>
      </w:r>
    </w:p>
    <w:p w:rsidR="008A61D5" w:rsidRPr="00A70750" w:rsidRDefault="008A61D5" w:rsidP="008A61D5">
      <w:pPr>
        <w:spacing w:line="500" w:lineRule="exact"/>
        <w:ind w:firstLineChars="200" w:firstLine="560"/>
        <w:rPr>
          <w:rFonts w:ascii="仿宋_GB2312" w:eastAsia="仿宋_GB2312"/>
          <w:color w:val="000000"/>
          <w:sz w:val="28"/>
          <w:szCs w:val="28"/>
        </w:rPr>
      </w:pPr>
      <w:r w:rsidRPr="00A70750">
        <w:rPr>
          <w:rFonts w:ascii="仿宋_GB2312" w:eastAsia="仿宋_GB2312" w:hint="eastAsia"/>
          <w:color w:val="000000"/>
          <w:sz w:val="28"/>
          <w:szCs w:val="28"/>
        </w:rPr>
        <w:t>（一）有利于保证业务稳健发展，增强对实体经济的支持</w:t>
      </w:r>
    </w:p>
    <w:p w:rsidR="008A61D5" w:rsidRPr="00A70750" w:rsidRDefault="008A61D5" w:rsidP="008A61D5">
      <w:pPr>
        <w:spacing w:line="500" w:lineRule="exact"/>
        <w:ind w:firstLineChars="200" w:firstLine="560"/>
        <w:rPr>
          <w:rFonts w:ascii="仿宋_GB2312" w:eastAsia="仿宋_GB2312"/>
          <w:color w:val="000000"/>
          <w:sz w:val="28"/>
          <w:szCs w:val="28"/>
        </w:rPr>
      </w:pPr>
      <w:r w:rsidRPr="00A70750">
        <w:rPr>
          <w:rFonts w:ascii="仿宋_GB2312" w:eastAsia="仿宋_GB2312" w:hint="eastAsia"/>
          <w:color w:val="000000"/>
          <w:sz w:val="28"/>
          <w:szCs w:val="28"/>
        </w:rPr>
        <w:t>目前，中国经济发展已进入新常态，</w:t>
      </w:r>
      <w:r>
        <w:rPr>
          <w:rFonts w:ascii="仿宋_GB2312" w:eastAsia="仿宋_GB2312" w:hint="eastAsia"/>
          <w:color w:val="000000"/>
          <w:sz w:val="28"/>
          <w:szCs w:val="28"/>
        </w:rPr>
        <w:t>适度</w:t>
      </w:r>
      <w:proofErr w:type="gramStart"/>
      <w:r w:rsidRPr="00A70750">
        <w:rPr>
          <w:rFonts w:ascii="仿宋_GB2312" w:eastAsia="仿宋_GB2312" w:hint="eastAsia"/>
          <w:color w:val="000000"/>
          <w:sz w:val="28"/>
          <w:szCs w:val="28"/>
        </w:rPr>
        <w:t>宽松将</w:t>
      </w:r>
      <w:proofErr w:type="gramEnd"/>
      <w:r w:rsidRPr="00A70750">
        <w:rPr>
          <w:rFonts w:ascii="仿宋_GB2312" w:eastAsia="仿宋_GB2312" w:hint="eastAsia"/>
          <w:color w:val="000000"/>
          <w:sz w:val="28"/>
          <w:szCs w:val="28"/>
        </w:rPr>
        <w:t>是未来宏观调控政策的主基调，政府正通过改革攻坚和创新驱动培育新的增长点，多项经济刺激政策和改革战略</w:t>
      </w:r>
      <w:r>
        <w:rPr>
          <w:rFonts w:ascii="仿宋_GB2312" w:eastAsia="仿宋_GB2312" w:hint="eastAsia"/>
          <w:color w:val="000000"/>
          <w:sz w:val="28"/>
          <w:szCs w:val="28"/>
        </w:rPr>
        <w:t>将</w:t>
      </w:r>
      <w:r w:rsidRPr="00A70750">
        <w:rPr>
          <w:rFonts w:ascii="仿宋_GB2312" w:eastAsia="仿宋_GB2312" w:hint="eastAsia"/>
          <w:color w:val="000000"/>
          <w:sz w:val="28"/>
          <w:szCs w:val="28"/>
        </w:rPr>
        <w:t>给银行业发展带来新的机遇，预计未来</w:t>
      </w:r>
      <w:r>
        <w:rPr>
          <w:rFonts w:ascii="仿宋_GB2312" w:eastAsia="仿宋_GB2312" w:hint="eastAsia"/>
          <w:color w:val="000000"/>
          <w:sz w:val="28"/>
          <w:szCs w:val="28"/>
        </w:rPr>
        <w:t>本</w:t>
      </w:r>
      <w:r w:rsidRPr="00A70750">
        <w:rPr>
          <w:rFonts w:ascii="仿宋_GB2312" w:eastAsia="仿宋_GB2312" w:hint="eastAsia"/>
          <w:color w:val="000000"/>
          <w:sz w:val="28"/>
          <w:szCs w:val="28"/>
        </w:rPr>
        <w:t>行的业务发展仍可保持较稳定的增长速度。</w:t>
      </w:r>
    </w:p>
    <w:p w:rsidR="008A61D5" w:rsidRPr="00A70750" w:rsidRDefault="008A61D5" w:rsidP="008A61D5">
      <w:pPr>
        <w:spacing w:line="500" w:lineRule="exact"/>
        <w:ind w:firstLineChars="200" w:firstLine="560"/>
        <w:rPr>
          <w:rFonts w:ascii="仿宋_GB2312" w:eastAsia="仿宋_GB2312"/>
          <w:color w:val="000000"/>
          <w:sz w:val="28"/>
          <w:szCs w:val="28"/>
        </w:rPr>
      </w:pPr>
      <w:r w:rsidRPr="00A70750">
        <w:rPr>
          <w:rFonts w:ascii="仿宋_GB2312" w:eastAsia="仿宋_GB2312" w:hint="eastAsia"/>
          <w:color w:val="000000"/>
          <w:sz w:val="28"/>
          <w:szCs w:val="28"/>
        </w:rPr>
        <w:t>《商业银行资本管理办法（试行）》规定商业银行总资本包括核心一级资本、其</w:t>
      </w:r>
      <w:r w:rsidR="00D0760A">
        <w:rPr>
          <w:rFonts w:ascii="仿宋_GB2312" w:eastAsia="仿宋_GB2312" w:hint="eastAsia"/>
          <w:color w:val="000000"/>
          <w:sz w:val="28"/>
          <w:szCs w:val="28"/>
        </w:rPr>
        <w:t>他</w:t>
      </w:r>
      <w:r w:rsidRPr="00A70750">
        <w:rPr>
          <w:rFonts w:ascii="仿宋_GB2312" w:eastAsia="仿宋_GB2312" w:hint="eastAsia"/>
          <w:color w:val="000000"/>
          <w:sz w:val="28"/>
          <w:szCs w:val="28"/>
        </w:rPr>
        <w:t>一级资本和二级资本，商业银行核心一级资本充足率、一级资本充足率、资本充足率的最低达标要求分别为7.5%、8.5%、10.5%。在利率市场化加速推进，商业银行利差逐步缩窄的外部环境下，依靠自身利润积累补充资本并支撑业务发展将面临更</w:t>
      </w:r>
      <w:r>
        <w:rPr>
          <w:rFonts w:ascii="仿宋_GB2312" w:eastAsia="仿宋_GB2312" w:hint="eastAsia"/>
          <w:color w:val="000000"/>
          <w:sz w:val="28"/>
          <w:szCs w:val="28"/>
        </w:rPr>
        <w:t>多</w:t>
      </w:r>
      <w:r w:rsidRPr="00A70750">
        <w:rPr>
          <w:rFonts w:ascii="仿宋_GB2312" w:eastAsia="仿宋_GB2312" w:hint="eastAsia"/>
          <w:color w:val="000000"/>
          <w:sz w:val="28"/>
          <w:szCs w:val="28"/>
        </w:rPr>
        <w:t>困难，因此适度的外源性资本补充将能够保证</w:t>
      </w:r>
      <w:r>
        <w:rPr>
          <w:rFonts w:ascii="仿宋_GB2312" w:eastAsia="仿宋_GB2312" w:hint="eastAsia"/>
          <w:color w:val="000000"/>
          <w:sz w:val="28"/>
          <w:szCs w:val="28"/>
        </w:rPr>
        <w:t>本</w:t>
      </w:r>
      <w:r w:rsidRPr="00A70750">
        <w:rPr>
          <w:rFonts w:ascii="仿宋_GB2312" w:eastAsia="仿宋_GB2312" w:hint="eastAsia"/>
          <w:color w:val="000000"/>
          <w:sz w:val="28"/>
          <w:szCs w:val="28"/>
        </w:rPr>
        <w:t>行各项业务稳健发展，增强对实体经济的支持。</w:t>
      </w:r>
    </w:p>
    <w:p w:rsidR="008A61D5" w:rsidRPr="00A70750" w:rsidRDefault="008A61D5" w:rsidP="008A61D5">
      <w:pPr>
        <w:spacing w:line="500" w:lineRule="exact"/>
        <w:ind w:firstLineChars="200" w:firstLine="560"/>
        <w:rPr>
          <w:rFonts w:ascii="仿宋_GB2312" w:eastAsia="仿宋_GB2312"/>
          <w:color w:val="000000"/>
          <w:sz w:val="28"/>
          <w:szCs w:val="28"/>
        </w:rPr>
      </w:pPr>
      <w:r w:rsidRPr="00A70750">
        <w:rPr>
          <w:rFonts w:ascii="仿宋_GB2312" w:eastAsia="仿宋_GB2312" w:hint="eastAsia"/>
          <w:color w:val="000000"/>
          <w:sz w:val="28"/>
          <w:szCs w:val="28"/>
        </w:rPr>
        <w:t>（二）有利于改善资本结构，提升股东回报水平</w:t>
      </w:r>
    </w:p>
    <w:p w:rsidR="008A61D5" w:rsidRPr="00A70750" w:rsidRDefault="008A61D5" w:rsidP="008A61D5">
      <w:pPr>
        <w:spacing w:line="500" w:lineRule="exact"/>
        <w:ind w:firstLineChars="200" w:firstLine="560"/>
        <w:rPr>
          <w:rFonts w:ascii="仿宋_GB2312" w:eastAsia="仿宋_GB2312"/>
          <w:color w:val="000000"/>
          <w:sz w:val="28"/>
          <w:szCs w:val="28"/>
        </w:rPr>
      </w:pPr>
      <w:r w:rsidRPr="00A70750">
        <w:rPr>
          <w:rFonts w:ascii="仿宋_GB2312" w:eastAsia="仿宋_GB2312" w:hint="eastAsia"/>
          <w:color w:val="000000"/>
          <w:sz w:val="28"/>
          <w:szCs w:val="28"/>
        </w:rPr>
        <w:t>在商业银行资本构成中，除核心一级资本、</w:t>
      </w:r>
      <w:r w:rsidR="00D0760A">
        <w:rPr>
          <w:rFonts w:ascii="仿宋_GB2312" w:eastAsia="仿宋_GB2312" w:hint="eastAsia"/>
          <w:color w:val="000000"/>
          <w:sz w:val="28"/>
          <w:szCs w:val="28"/>
        </w:rPr>
        <w:t>其他</w:t>
      </w:r>
      <w:r w:rsidRPr="00A70750">
        <w:rPr>
          <w:rFonts w:ascii="仿宋_GB2312" w:eastAsia="仿宋_GB2312" w:hint="eastAsia"/>
          <w:color w:val="000000"/>
          <w:sz w:val="28"/>
          <w:szCs w:val="28"/>
        </w:rPr>
        <w:t>一级资本等权益类工具外，在资本结构中适度引入二级资本工具补充资本，有利于在</w:t>
      </w:r>
      <w:r w:rsidRPr="00A70750">
        <w:rPr>
          <w:rFonts w:ascii="仿宋_GB2312" w:eastAsia="仿宋_GB2312" w:hint="eastAsia"/>
          <w:color w:val="000000"/>
          <w:sz w:val="28"/>
          <w:szCs w:val="28"/>
        </w:rPr>
        <w:lastRenderedPageBreak/>
        <w:t>资本结构上保持适当的杠杆，提高股东回报水平。</w:t>
      </w:r>
    </w:p>
    <w:p w:rsidR="008A61D5" w:rsidRPr="00A70750" w:rsidRDefault="008A61D5" w:rsidP="008A61D5">
      <w:pPr>
        <w:spacing w:line="500" w:lineRule="exact"/>
        <w:ind w:firstLineChars="200" w:firstLine="560"/>
        <w:rPr>
          <w:rFonts w:ascii="仿宋_GB2312" w:eastAsia="仿宋_GB2312"/>
          <w:color w:val="000000"/>
          <w:sz w:val="28"/>
          <w:szCs w:val="28"/>
        </w:rPr>
      </w:pPr>
      <w:r w:rsidRPr="00A70750">
        <w:rPr>
          <w:rFonts w:ascii="仿宋_GB2312" w:eastAsia="仿宋_GB2312" w:hint="eastAsia"/>
          <w:color w:val="000000"/>
          <w:sz w:val="28"/>
          <w:szCs w:val="28"/>
        </w:rPr>
        <w:t>根据《商业银行资本管理办法（试行）》，二级资本主要由二级资本债券和超额拨备（拨备余额扣减不良贷款）两部分构成。一方面，在宏观经济下行的环境下，预计未来</w:t>
      </w:r>
      <w:r>
        <w:rPr>
          <w:rFonts w:ascii="仿宋_GB2312" w:eastAsia="仿宋_GB2312" w:hint="eastAsia"/>
          <w:color w:val="000000"/>
          <w:sz w:val="28"/>
          <w:szCs w:val="28"/>
        </w:rPr>
        <w:t>本</w:t>
      </w:r>
      <w:r w:rsidRPr="00A70750">
        <w:rPr>
          <w:rFonts w:ascii="仿宋_GB2312" w:eastAsia="仿宋_GB2312" w:hint="eastAsia"/>
          <w:color w:val="000000"/>
          <w:sz w:val="28"/>
          <w:szCs w:val="28"/>
        </w:rPr>
        <w:t>行将面临</w:t>
      </w:r>
      <w:r w:rsidRPr="00A70750">
        <w:rPr>
          <w:rFonts w:ascii="仿宋_GB2312" w:eastAsia="仿宋_GB2312" w:hint="eastAsia"/>
          <w:sz w:val="28"/>
          <w:szCs w:val="28"/>
        </w:rPr>
        <w:t>不良贷款</w:t>
      </w:r>
      <w:r>
        <w:rPr>
          <w:rFonts w:ascii="仿宋_GB2312" w:eastAsia="仿宋_GB2312" w:hint="eastAsia"/>
          <w:sz w:val="28"/>
          <w:szCs w:val="28"/>
        </w:rPr>
        <w:t>增长</w:t>
      </w:r>
      <w:r w:rsidRPr="00A70750">
        <w:rPr>
          <w:rFonts w:ascii="仿宋_GB2312" w:eastAsia="仿宋_GB2312" w:hint="eastAsia"/>
          <w:sz w:val="28"/>
          <w:szCs w:val="28"/>
        </w:rPr>
        <w:t>的压力，超额拨备计入二级资本的数量将不大可能有较大幅度增长。另一方面，根据</w:t>
      </w:r>
      <w:r w:rsidRPr="00A70750">
        <w:rPr>
          <w:rFonts w:ascii="仿宋_GB2312" w:eastAsia="仿宋_GB2312" w:hint="eastAsia"/>
          <w:color w:val="000000"/>
          <w:sz w:val="28"/>
          <w:szCs w:val="28"/>
        </w:rPr>
        <w:t>《商业银行资本管理办法（试行）》规定，</w:t>
      </w:r>
      <w:r>
        <w:rPr>
          <w:rFonts w:ascii="仿宋_GB2312" w:eastAsia="仿宋_GB2312" w:hint="eastAsia"/>
          <w:color w:val="000000"/>
          <w:sz w:val="28"/>
          <w:szCs w:val="28"/>
        </w:rPr>
        <w:t>本</w:t>
      </w:r>
      <w:r w:rsidRPr="00A70750">
        <w:rPr>
          <w:rFonts w:ascii="仿宋_GB2312" w:eastAsia="仿宋_GB2312" w:hint="eastAsia"/>
          <w:color w:val="000000"/>
          <w:sz w:val="28"/>
          <w:szCs w:val="28"/>
        </w:rPr>
        <w:t>行2013年以前发行的次级债和混合</w:t>
      </w:r>
      <w:proofErr w:type="gramStart"/>
      <w:r w:rsidRPr="00A70750">
        <w:rPr>
          <w:rFonts w:ascii="仿宋_GB2312" w:eastAsia="仿宋_GB2312" w:hint="eastAsia"/>
          <w:color w:val="000000"/>
          <w:sz w:val="28"/>
          <w:szCs w:val="28"/>
        </w:rPr>
        <w:t>资本债共270亿元</w:t>
      </w:r>
      <w:proofErr w:type="gramEnd"/>
      <w:r w:rsidRPr="00A70750">
        <w:rPr>
          <w:rFonts w:ascii="仿宋_GB2312" w:eastAsia="仿宋_GB2312" w:hint="eastAsia"/>
          <w:color w:val="000000"/>
          <w:sz w:val="28"/>
          <w:szCs w:val="28"/>
        </w:rPr>
        <w:t>都属不合格二级资本工具，从2013年起需按年递减10%计入监管资本，经测算，到2017年存量债券型资本工具（次级债和混合资本债）中将有135亿元不能计入二级资本。因此，通过新发行一定量的二级资本债券，填补未来可能发生的二级资本缺口，将有利于</w:t>
      </w:r>
      <w:r>
        <w:rPr>
          <w:rFonts w:ascii="仿宋_GB2312" w:eastAsia="仿宋_GB2312" w:hint="eastAsia"/>
          <w:color w:val="000000"/>
          <w:sz w:val="28"/>
          <w:szCs w:val="28"/>
        </w:rPr>
        <w:t>本</w:t>
      </w:r>
      <w:r w:rsidRPr="00A70750">
        <w:rPr>
          <w:rFonts w:ascii="仿宋_GB2312" w:eastAsia="仿宋_GB2312" w:hint="eastAsia"/>
          <w:color w:val="000000"/>
          <w:sz w:val="28"/>
          <w:szCs w:val="28"/>
        </w:rPr>
        <w:t>行资本结构的改善，提升股东回报水平。</w:t>
      </w:r>
    </w:p>
    <w:p w:rsidR="008A61D5" w:rsidRPr="00113397" w:rsidRDefault="008A61D5" w:rsidP="008A61D5">
      <w:pPr>
        <w:spacing w:line="500" w:lineRule="exact"/>
        <w:ind w:firstLineChars="200" w:firstLine="562"/>
        <w:rPr>
          <w:rFonts w:ascii="仿宋_GB2312" w:eastAsia="仿宋_GB2312"/>
          <w:b/>
          <w:color w:val="000000"/>
          <w:sz w:val="28"/>
          <w:szCs w:val="28"/>
        </w:rPr>
      </w:pPr>
      <w:r w:rsidRPr="00113397">
        <w:rPr>
          <w:rFonts w:ascii="仿宋_GB2312" w:eastAsia="仿宋_GB2312" w:hint="eastAsia"/>
          <w:b/>
          <w:color w:val="000000"/>
          <w:sz w:val="28"/>
          <w:szCs w:val="28"/>
        </w:rPr>
        <w:t>二、发行二级资本债券补充资本的可行性</w:t>
      </w:r>
    </w:p>
    <w:p w:rsidR="008A61D5" w:rsidRPr="00A70750" w:rsidRDefault="008A61D5" w:rsidP="008A61D5">
      <w:pPr>
        <w:spacing w:line="500" w:lineRule="exact"/>
        <w:ind w:firstLineChars="200" w:firstLine="560"/>
        <w:rPr>
          <w:rFonts w:ascii="仿宋_GB2312" w:eastAsia="仿宋_GB2312"/>
          <w:color w:val="000000"/>
          <w:sz w:val="28"/>
          <w:szCs w:val="28"/>
        </w:rPr>
      </w:pPr>
      <w:r w:rsidRPr="00A70750">
        <w:rPr>
          <w:rFonts w:ascii="仿宋_GB2312" w:eastAsia="仿宋_GB2312" w:hint="eastAsia"/>
          <w:color w:val="000000"/>
          <w:sz w:val="28"/>
          <w:szCs w:val="28"/>
        </w:rPr>
        <w:t>（一）监管部门鼓励资本工具创新</w:t>
      </w:r>
    </w:p>
    <w:p w:rsidR="008A61D5" w:rsidRPr="00A70750" w:rsidRDefault="008A61D5" w:rsidP="008A61D5">
      <w:pPr>
        <w:spacing w:line="500" w:lineRule="exact"/>
        <w:ind w:firstLineChars="200" w:firstLine="560"/>
        <w:rPr>
          <w:rFonts w:ascii="仿宋_GB2312" w:eastAsia="仿宋_GB2312"/>
          <w:color w:val="000000"/>
          <w:sz w:val="28"/>
          <w:szCs w:val="28"/>
        </w:rPr>
      </w:pPr>
      <w:r w:rsidRPr="00A70750">
        <w:rPr>
          <w:rFonts w:ascii="仿宋_GB2312" w:eastAsia="仿宋_GB2312" w:hint="eastAsia"/>
          <w:color w:val="000000"/>
          <w:sz w:val="28"/>
          <w:szCs w:val="28"/>
        </w:rPr>
        <w:t>从监管政策角度，中国银监会在2012年11月下发了《关于商业银行资本工具创新的指导意见》（银监发［2012］56号），提出推进商业银行资本工具创新的基本原则，确定合格资本工具的认定标准。在2013年4月下发的《关于做好&lt;商业银行资本管理办法（试行）&gt;实施工作的指导意见》（银监发［2013］11号）中也提出推动商业银行资本工具创新，银监会将重点推动</w:t>
      </w:r>
      <w:proofErr w:type="gramStart"/>
      <w:r w:rsidRPr="00A70750">
        <w:rPr>
          <w:rFonts w:ascii="仿宋_GB2312" w:eastAsia="仿宋_GB2312" w:hint="eastAsia"/>
          <w:color w:val="000000"/>
          <w:sz w:val="28"/>
          <w:szCs w:val="28"/>
        </w:rPr>
        <w:t>减记型</w:t>
      </w:r>
      <w:proofErr w:type="gramEnd"/>
      <w:r w:rsidRPr="00A70750">
        <w:rPr>
          <w:rFonts w:ascii="仿宋_GB2312" w:eastAsia="仿宋_GB2312" w:hint="eastAsia"/>
          <w:color w:val="000000"/>
          <w:sz w:val="28"/>
          <w:szCs w:val="28"/>
        </w:rPr>
        <w:t>二级资本工具的试点发行。从实际执行情况看，目前国有银行、股份制银行和部分城商行的二级资本债券发行申请都获得监管部门批准，</w:t>
      </w:r>
      <w:r>
        <w:rPr>
          <w:rFonts w:ascii="仿宋_GB2312" w:eastAsia="仿宋_GB2312" w:hint="eastAsia"/>
          <w:color w:val="000000"/>
          <w:sz w:val="28"/>
          <w:szCs w:val="28"/>
        </w:rPr>
        <w:t>本行</w:t>
      </w:r>
      <w:r w:rsidRPr="00A70750">
        <w:rPr>
          <w:rFonts w:ascii="仿宋_GB2312" w:eastAsia="仿宋_GB2312" w:hint="eastAsia"/>
          <w:color w:val="000000"/>
          <w:sz w:val="28"/>
          <w:szCs w:val="28"/>
        </w:rPr>
        <w:t>在2014年6月也成功发行200亿元</w:t>
      </w:r>
      <w:proofErr w:type="gramStart"/>
      <w:r>
        <w:rPr>
          <w:rFonts w:ascii="仿宋_GB2312" w:eastAsia="仿宋_GB2312" w:hint="eastAsia"/>
          <w:color w:val="000000"/>
          <w:sz w:val="28"/>
          <w:szCs w:val="28"/>
        </w:rPr>
        <w:t>减记型</w:t>
      </w:r>
      <w:proofErr w:type="gramEnd"/>
      <w:r w:rsidRPr="00A70750">
        <w:rPr>
          <w:rFonts w:ascii="仿宋_GB2312" w:eastAsia="仿宋_GB2312" w:hint="eastAsia"/>
          <w:color w:val="000000"/>
          <w:sz w:val="28"/>
          <w:szCs w:val="28"/>
        </w:rPr>
        <w:t>二级资本债券。</w:t>
      </w:r>
    </w:p>
    <w:p w:rsidR="008A61D5" w:rsidRPr="00A70750" w:rsidRDefault="008A61D5" w:rsidP="008A61D5">
      <w:pPr>
        <w:spacing w:line="500" w:lineRule="exact"/>
        <w:ind w:firstLineChars="200" w:firstLine="560"/>
        <w:rPr>
          <w:rFonts w:ascii="仿宋_GB2312" w:eastAsia="仿宋_GB2312"/>
          <w:color w:val="000000"/>
          <w:sz w:val="28"/>
          <w:szCs w:val="28"/>
        </w:rPr>
      </w:pPr>
      <w:r w:rsidRPr="00A70750">
        <w:rPr>
          <w:rFonts w:ascii="仿宋_GB2312" w:eastAsia="仿宋_GB2312" w:hint="eastAsia"/>
          <w:color w:val="000000"/>
          <w:sz w:val="28"/>
          <w:szCs w:val="28"/>
        </w:rPr>
        <w:t>（二）二级资本债发行成本可控，目前面临较好的发行窗口</w:t>
      </w:r>
    </w:p>
    <w:p w:rsidR="008A61D5" w:rsidRPr="00A70750" w:rsidRDefault="008A61D5" w:rsidP="008A61D5">
      <w:pPr>
        <w:spacing w:line="500" w:lineRule="exact"/>
        <w:ind w:firstLineChars="200" w:firstLine="560"/>
        <w:rPr>
          <w:rFonts w:ascii="仿宋_GB2312" w:eastAsia="仿宋_GB2312"/>
          <w:color w:val="000000"/>
          <w:sz w:val="28"/>
          <w:szCs w:val="28"/>
        </w:rPr>
      </w:pPr>
      <w:r w:rsidRPr="00A70750">
        <w:rPr>
          <w:rFonts w:ascii="仿宋_GB2312" w:eastAsia="仿宋_GB2312" w:hint="eastAsia"/>
          <w:color w:val="000000"/>
          <w:sz w:val="28"/>
          <w:szCs w:val="28"/>
        </w:rPr>
        <w:t>2014年6月</w:t>
      </w:r>
      <w:r>
        <w:rPr>
          <w:rFonts w:ascii="仿宋_GB2312" w:eastAsia="仿宋_GB2312" w:hint="eastAsia"/>
          <w:color w:val="000000"/>
          <w:sz w:val="28"/>
          <w:szCs w:val="28"/>
        </w:rPr>
        <w:t>本</w:t>
      </w:r>
      <w:r w:rsidRPr="00A70750">
        <w:rPr>
          <w:rFonts w:ascii="仿宋_GB2312" w:eastAsia="仿宋_GB2312" w:hint="eastAsia"/>
          <w:color w:val="000000"/>
          <w:sz w:val="28"/>
          <w:szCs w:val="28"/>
        </w:rPr>
        <w:t>行成功发行200亿元10年</w:t>
      </w:r>
      <w:proofErr w:type="gramStart"/>
      <w:r w:rsidRPr="00A70750">
        <w:rPr>
          <w:rFonts w:ascii="仿宋_GB2312" w:eastAsia="仿宋_GB2312" w:hint="eastAsia"/>
          <w:color w:val="000000"/>
          <w:sz w:val="28"/>
          <w:szCs w:val="28"/>
        </w:rPr>
        <w:t>期</w:t>
      </w:r>
      <w:r>
        <w:rPr>
          <w:rFonts w:ascii="仿宋_GB2312" w:eastAsia="仿宋_GB2312" w:hint="eastAsia"/>
          <w:color w:val="000000"/>
          <w:sz w:val="28"/>
          <w:szCs w:val="28"/>
        </w:rPr>
        <w:t>减记型</w:t>
      </w:r>
      <w:proofErr w:type="gramEnd"/>
      <w:r w:rsidRPr="00A70750">
        <w:rPr>
          <w:rFonts w:ascii="仿宋_GB2312" w:eastAsia="仿宋_GB2312" w:hint="eastAsia"/>
          <w:color w:val="000000"/>
          <w:sz w:val="28"/>
          <w:szCs w:val="28"/>
        </w:rPr>
        <w:t>二级资本债券，发行利率为6.15%，发行成本低于权益类资本工具。2015年，在</w:t>
      </w:r>
      <w:r>
        <w:rPr>
          <w:rFonts w:ascii="仿宋_GB2312" w:eastAsia="仿宋_GB2312" w:hint="eastAsia"/>
          <w:color w:val="000000"/>
          <w:sz w:val="28"/>
          <w:szCs w:val="28"/>
        </w:rPr>
        <w:t>宽松货币政策影响下，二级资本债券的发行成本进一步降低，目前二级资本债券发行利率仅比普通金融债券高30-50个BP，</w:t>
      </w:r>
      <w:r w:rsidRPr="00A70750">
        <w:rPr>
          <w:rFonts w:ascii="仿宋_GB2312" w:eastAsia="仿宋_GB2312" w:hint="eastAsia"/>
          <w:color w:val="000000"/>
          <w:sz w:val="28"/>
          <w:szCs w:val="28"/>
        </w:rPr>
        <w:t>预计未来</w:t>
      </w:r>
      <w:r>
        <w:rPr>
          <w:rFonts w:ascii="仿宋_GB2312" w:eastAsia="仿宋_GB2312" w:hint="eastAsia"/>
          <w:color w:val="000000"/>
          <w:sz w:val="28"/>
          <w:szCs w:val="28"/>
        </w:rPr>
        <w:t>一段时</w:t>
      </w:r>
      <w:r>
        <w:rPr>
          <w:rFonts w:ascii="仿宋_GB2312" w:eastAsia="仿宋_GB2312" w:hint="eastAsia"/>
          <w:color w:val="000000"/>
          <w:sz w:val="28"/>
          <w:szCs w:val="28"/>
        </w:rPr>
        <w:lastRenderedPageBreak/>
        <w:t>间</w:t>
      </w:r>
      <w:r w:rsidRPr="00A70750">
        <w:rPr>
          <w:rFonts w:ascii="仿宋_GB2312" w:eastAsia="仿宋_GB2312" w:hint="eastAsia"/>
          <w:color w:val="000000"/>
          <w:sz w:val="28"/>
          <w:szCs w:val="28"/>
        </w:rPr>
        <w:t>二级资本债券的发行成本仍将继续维持在相对低位。</w:t>
      </w:r>
    </w:p>
    <w:p w:rsidR="008A61D5" w:rsidRPr="00A13ED2" w:rsidRDefault="008A61D5" w:rsidP="008A61D5">
      <w:pPr>
        <w:spacing w:line="500" w:lineRule="exact"/>
        <w:ind w:firstLineChars="200" w:firstLine="562"/>
        <w:rPr>
          <w:rFonts w:ascii="仿宋_GB2312" w:eastAsia="仿宋_GB2312"/>
          <w:b/>
          <w:sz w:val="28"/>
          <w:szCs w:val="28"/>
        </w:rPr>
      </w:pPr>
      <w:r w:rsidRPr="00A13ED2">
        <w:rPr>
          <w:rFonts w:ascii="仿宋_GB2312" w:eastAsia="仿宋_GB2312" w:hint="eastAsia"/>
          <w:b/>
          <w:sz w:val="28"/>
          <w:szCs w:val="28"/>
        </w:rPr>
        <w:t>三、</w:t>
      </w:r>
      <w:r>
        <w:rPr>
          <w:rFonts w:ascii="仿宋_GB2312" w:eastAsia="仿宋_GB2312" w:hint="eastAsia"/>
          <w:b/>
          <w:sz w:val="28"/>
          <w:szCs w:val="28"/>
        </w:rPr>
        <w:t>二级</w:t>
      </w:r>
      <w:r w:rsidRPr="002E21A9">
        <w:rPr>
          <w:rFonts w:ascii="仿宋_GB2312" w:eastAsia="仿宋_GB2312" w:hint="eastAsia"/>
          <w:b/>
          <w:sz w:val="28"/>
          <w:szCs w:val="28"/>
        </w:rPr>
        <w:t>资本</w:t>
      </w:r>
      <w:r>
        <w:rPr>
          <w:rFonts w:ascii="仿宋_GB2312" w:eastAsia="仿宋_GB2312" w:hint="eastAsia"/>
          <w:b/>
          <w:sz w:val="28"/>
          <w:szCs w:val="28"/>
        </w:rPr>
        <w:t>债券</w:t>
      </w:r>
      <w:r w:rsidRPr="00A13ED2">
        <w:rPr>
          <w:rFonts w:ascii="仿宋_GB2312" w:eastAsia="仿宋_GB2312" w:hint="eastAsia"/>
          <w:b/>
          <w:sz w:val="28"/>
          <w:szCs w:val="28"/>
        </w:rPr>
        <w:t>的发行额度</w:t>
      </w:r>
      <w:r>
        <w:rPr>
          <w:rFonts w:ascii="仿宋_GB2312" w:eastAsia="仿宋_GB2312" w:hint="eastAsia"/>
          <w:b/>
          <w:sz w:val="28"/>
          <w:szCs w:val="28"/>
        </w:rPr>
        <w:t>、</w:t>
      </w:r>
      <w:r w:rsidRPr="00A13ED2">
        <w:rPr>
          <w:rFonts w:ascii="仿宋_GB2312" w:eastAsia="仿宋_GB2312" w:hint="eastAsia"/>
          <w:b/>
          <w:sz w:val="28"/>
          <w:szCs w:val="28"/>
        </w:rPr>
        <w:t>发行方式</w:t>
      </w:r>
      <w:r>
        <w:rPr>
          <w:rFonts w:ascii="仿宋_GB2312" w:eastAsia="仿宋_GB2312" w:hint="eastAsia"/>
          <w:b/>
          <w:sz w:val="28"/>
          <w:szCs w:val="28"/>
        </w:rPr>
        <w:t>及其他发行要素</w:t>
      </w:r>
    </w:p>
    <w:p w:rsidR="008A61D5" w:rsidRDefault="008A61D5" w:rsidP="008A61D5">
      <w:pPr>
        <w:spacing w:line="500" w:lineRule="exact"/>
        <w:ind w:firstLineChars="200" w:firstLine="560"/>
        <w:rPr>
          <w:rFonts w:ascii="仿宋_GB2312" w:eastAsia="仿宋_GB2312"/>
          <w:color w:val="000000"/>
          <w:sz w:val="28"/>
          <w:szCs w:val="28"/>
        </w:rPr>
      </w:pPr>
      <w:r w:rsidRPr="00EB3B70">
        <w:rPr>
          <w:rFonts w:ascii="仿宋_GB2312" w:eastAsia="仿宋_GB2312" w:hint="eastAsia"/>
          <w:color w:val="000000"/>
          <w:sz w:val="28"/>
          <w:szCs w:val="28"/>
        </w:rPr>
        <w:t>（一）</w:t>
      </w:r>
      <w:r>
        <w:rPr>
          <w:rFonts w:ascii="仿宋_GB2312" w:eastAsia="仿宋_GB2312" w:hint="eastAsia"/>
          <w:color w:val="000000"/>
          <w:sz w:val="28"/>
          <w:szCs w:val="28"/>
        </w:rPr>
        <w:t>发行总额：</w:t>
      </w:r>
      <w:r w:rsidRPr="00A70750">
        <w:rPr>
          <w:rFonts w:ascii="仿宋_GB2312" w:eastAsia="仿宋_GB2312" w:hint="eastAsia"/>
          <w:sz w:val="28"/>
          <w:szCs w:val="28"/>
        </w:rPr>
        <w:t>根据中国银监会关于资本充足率监管的有关政策，同时对</w:t>
      </w:r>
      <w:r>
        <w:rPr>
          <w:rFonts w:ascii="仿宋_GB2312" w:eastAsia="仿宋_GB2312" w:hint="eastAsia"/>
          <w:sz w:val="28"/>
          <w:szCs w:val="28"/>
        </w:rPr>
        <w:t>本</w:t>
      </w:r>
      <w:r w:rsidRPr="00A70750">
        <w:rPr>
          <w:rFonts w:ascii="仿宋_GB2312" w:eastAsia="仿宋_GB2312" w:hint="eastAsia"/>
          <w:sz w:val="28"/>
          <w:szCs w:val="28"/>
        </w:rPr>
        <w:t>行2015-2017年风险加权资产、超额拨</w:t>
      </w:r>
      <w:proofErr w:type="gramStart"/>
      <w:r w:rsidRPr="00A70750">
        <w:rPr>
          <w:rFonts w:ascii="仿宋_GB2312" w:eastAsia="仿宋_GB2312" w:hint="eastAsia"/>
          <w:sz w:val="28"/>
          <w:szCs w:val="28"/>
        </w:rPr>
        <w:t>备增长</w:t>
      </w:r>
      <w:proofErr w:type="gramEnd"/>
      <w:r w:rsidRPr="00A70750">
        <w:rPr>
          <w:rFonts w:ascii="仿宋_GB2312" w:eastAsia="仿宋_GB2312" w:hint="eastAsia"/>
          <w:sz w:val="28"/>
          <w:szCs w:val="28"/>
        </w:rPr>
        <w:t>进行预测，并考虑到</w:t>
      </w:r>
      <w:r>
        <w:rPr>
          <w:rFonts w:ascii="仿宋_GB2312" w:eastAsia="仿宋_GB2312" w:hint="eastAsia"/>
          <w:sz w:val="28"/>
          <w:szCs w:val="28"/>
        </w:rPr>
        <w:t>本</w:t>
      </w:r>
      <w:r w:rsidRPr="00A70750">
        <w:rPr>
          <w:rFonts w:ascii="仿宋_GB2312" w:eastAsia="仿宋_GB2312" w:hint="eastAsia"/>
          <w:sz w:val="28"/>
          <w:szCs w:val="28"/>
        </w:rPr>
        <w:t>行存量二级资本工具到期和不合格二级资本工具扣减调整等因素，预计</w:t>
      </w:r>
      <w:r>
        <w:rPr>
          <w:rFonts w:ascii="仿宋_GB2312" w:eastAsia="仿宋_GB2312" w:hint="eastAsia"/>
          <w:sz w:val="28"/>
          <w:szCs w:val="28"/>
        </w:rPr>
        <w:t>未来三年本</w:t>
      </w:r>
      <w:r w:rsidRPr="00A70750">
        <w:rPr>
          <w:rFonts w:ascii="仿宋_GB2312" w:eastAsia="仿宋_GB2312" w:hint="eastAsia"/>
          <w:sz w:val="28"/>
          <w:szCs w:val="28"/>
        </w:rPr>
        <w:t>行可通过发行二级资本债券补充</w:t>
      </w:r>
      <w:r>
        <w:rPr>
          <w:rFonts w:ascii="仿宋_GB2312" w:eastAsia="仿宋_GB2312" w:hint="eastAsia"/>
          <w:sz w:val="28"/>
          <w:szCs w:val="28"/>
        </w:rPr>
        <w:t>3</w:t>
      </w:r>
      <w:r w:rsidRPr="00A70750">
        <w:rPr>
          <w:rFonts w:ascii="仿宋_GB2312" w:eastAsia="仿宋_GB2312" w:hint="eastAsia"/>
          <w:sz w:val="28"/>
          <w:szCs w:val="28"/>
        </w:rPr>
        <w:t>00亿元资本</w:t>
      </w:r>
      <w:r>
        <w:rPr>
          <w:rFonts w:ascii="仿宋_GB2312" w:eastAsia="仿宋_GB2312" w:hint="eastAsia"/>
          <w:sz w:val="28"/>
          <w:szCs w:val="28"/>
        </w:rPr>
        <w:t>，因此拟定二级资本债券发行额度不超过300亿元；</w:t>
      </w:r>
    </w:p>
    <w:p w:rsidR="008A61D5" w:rsidRDefault="008A61D5" w:rsidP="008A61D5">
      <w:pPr>
        <w:spacing w:line="500" w:lineRule="exact"/>
        <w:ind w:firstLineChars="200" w:firstLine="560"/>
        <w:rPr>
          <w:rFonts w:ascii="仿宋_GB2312" w:eastAsia="仿宋_GB2312"/>
          <w:sz w:val="28"/>
          <w:szCs w:val="28"/>
        </w:rPr>
      </w:pPr>
      <w:r>
        <w:rPr>
          <w:rFonts w:ascii="仿宋_GB2312" w:eastAsia="仿宋_GB2312" w:hint="eastAsia"/>
          <w:sz w:val="28"/>
          <w:szCs w:val="28"/>
        </w:rPr>
        <w:t>（二）工具类型：</w:t>
      </w:r>
      <w:proofErr w:type="gramStart"/>
      <w:r>
        <w:rPr>
          <w:rFonts w:ascii="仿宋_GB2312" w:eastAsia="仿宋_GB2312" w:hint="eastAsia"/>
          <w:sz w:val="28"/>
          <w:szCs w:val="28"/>
        </w:rPr>
        <w:t>减记型</w:t>
      </w:r>
      <w:proofErr w:type="gramEnd"/>
      <w:r>
        <w:rPr>
          <w:rFonts w:ascii="仿宋_GB2312" w:eastAsia="仿宋_GB2312" w:hint="eastAsia"/>
          <w:sz w:val="28"/>
          <w:szCs w:val="28"/>
        </w:rPr>
        <w:t>合格二级资本工具，符合《商业银行资本管理办法（试行）》的相关规定，可用于补充商业银行的资本；</w:t>
      </w:r>
    </w:p>
    <w:p w:rsidR="008A61D5" w:rsidRDefault="008A61D5" w:rsidP="008A61D5">
      <w:pPr>
        <w:spacing w:line="500" w:lineRule="exact"/>
        <w:ind w:firstLineChars="200" w:firstLine="560"/>
        <w:rPr>
          <w:rFonts w:ascii="仿宋_GB2312" w:eastAsia="仿宋_GB2312"/>
          <w:sz w:val="28"/>
          <w:szCs w:val="28"/>
        </w:rPr>
      </w:pPr>
      <w:r>
        <w:rPr>
          <w:rFonts w:ascii="仿宋_GB2312" w:eastAsia="仿宋_GB2312" w:hint="eastAsia"/>
          <w:sz w:val="28"/>
          <w:szCs w:val="28"/>
        </w:rPr>
        <w:t>（三）发行市场：视监管导向及市场情况全部或分批在境内外市场发行；</w:t>
      </w:r>
    </w:p>
    <w:p w:rsidR="008A61D5" w:rsidRDefault="008A61D5" w:rsidP="008A61D5">
      <w:pPr>
        <w:spacing w:line="500" w:lineRule="exact"/>
        <w:ind w:firstLineChars="200" w:firstLine="560"/>
        <w:rPr>
          <w:rFonts w:ascii="仿宋_GB2312" w:eastAsia="仿宋_GB2312"/>
          <w:sz w:val="28"/>
          <w:szCs w:val="28"/>
        </w:rPr>
      </w:pPr>
      <w:r>
        <w:rPr>
          <w:rFonts w:ascii="仿宋_GB2312" w:eastAsia="仿宋_GB2312" w:hint="eastAsia"/>
          <w:sz w:val="28"/>
          <w:szCs w:val="28"/>
        </w:rPr>
        <w:t>（四）期限：不少于5年期；</w:t>
      </w:r>
    </w:p>
    <w:p w:rsidR="008A61D5" w:rsidRDefault="008A61D5" w:rsidP="008A61D5">
      <w:pPr>
        <w:spacing w:line="500" w:lineRule="exact"/>
        <w:ind w:firstLineChars="200" w:firstLine="560"/>
        <w:rPr>
          <w:rFonts w:ascii="仿宋_GB2312" w:eastAsia="仿宋_GB2312"/>
          <w:sz w:val="28"/>
          <w:szCs w:val="28"/>
        </w:rPr>
      </w:pPr>
      <w:r>
        <w:rPr>
          <w:rFonts w:ascii="仿宋_GB2312" w:eastAsia="仿宋_GB2312" w:hint="eastAsia"/>
          <w:sz w:val="28"/>
          <w:szCs w:val="28"/>
        </w:rPr>
        <w:t>（五）损失吸收方式：</w:t>
      </w:r>
      <w:r w:rsidRPr="00115857">
        <w:rPr>
          <w:rFonts w:ascii="仿宋_GB2312" w:eastAsia="仿宋_GB2312" w:hint="eastAsia"/>
          <w:sz w:val="28"/>
          <w:szCs w:val="28"/>
        </w:rPr>
        <w:t>根据合格二级资本</w:t>
      </w:r>
      <w:proofErr w:type="gramStart"/>
      <w:r w:rsidRPr="00115857">
        <w:rPr>
          <w:rFonts w:ascii="仿宋_GB2312" w:eastAsia="仿宋_GB2312" w:hint="eastAsia"/>
          <w:sz w:val="28"/>
          <w:szCs w:val="28"/>
        </w:rPr>
        <w:t>工具减记触发</w:t>
      </w:r>
      <w:proofErr w:type="gramEnd"/>
      <w:r w:rsidRPr="00115857">
        <w:rPr>
          <w:rFonts w:ascii="仿宋_GB2312" w:eastAsia="仿宋_GB2312" w:hint="eastAsia"/>
          <w:sz w:val="28"/>
          <w:szCs w:val="28"/>
        </w:rPr>
        <w:t>事件要求（</w:t>
      </w:r>
      <w:proofErr w:type="gramStart"/>
      <w:r>
        <w:rPr>
          <w:rFonts w:ascii="仿宋_GB2312" w:eastAsia="仿宋_GB2312" w:hint="eastAsia"/>
          <w:sz w:val="28"/>
          <w:szCs w:val="28"/>
        </w:rPr>
        <w:t>即</w:t>
      </w:r>
      <w:r w:rsidRPr="000A1A81">
        <w:rPr>
          <w:rFonts w:ascii="仿宋_GB2312" w:eastAsia="仿宋_GB2312" w:hint="eastAsia"/>
          <w:color w:val="000000"/>
          <w:sz w:val="28"/>
          <w:szCs w:val="28"/>
        </w:rPr>
        <w:t>以下</w:t>
      </w:r>
      <w:proofErr w:type="gramEnd"/>
      <w:r w:rsidRPr="000A1A81">
        <w:rPr>
          <w:rFonts w:ascii="仿宋_GB2312" w:eastAsia="仿宋_GB2312" w:hint="eastAsia"/>
          <w:color w:val="000000"/>
          <w:sz w:val="28"/>
          <w:szCs w:val="28"/>
        </w:rPr>
        <w:t>两种情形的较早发生者：</w:t>
      </w:r>
      <w:r>
        <w:rPr>
          <w:rFonts w:ascii="仿宋_GB2312" w:eastAsia="仿宋_GB2312" w:hint="eastAsia"/>
          <w:color w:val="000000"/>
          <w:sz w:val="28"/>
          <w:szCs w:val="28"/>
        </w:rPr>
        <w:t>1、</w:t>
      </w:r>
      <w:r w:rsidRPr="00115857">
        <w:rPr>
          <w:rFonts w:ascii="仿宋_GB2312" w:eastAsia="仿宋_GB2312" w:hint="eastAsia"/>
          <w:sz w:val="28"/>
          <w:szCs w:val="28"/>
        </w:rPr>
        <w:t>银监会认定若不进行减记，该商业银行将无法生存；2、相关部门认定</w:t>
      </w:r>
      <w:r>
        <w:rPr>
          <w:rFonts w:ascii="仿宋_GB2312" w:eastAsia="仿宋_GB2312" w:hint="eastAsia"/>
          <w:sz w:val="28"/>
          <w:szCs w:val="28"/>
        </w:rPr>
        <w:t>若不进行公共部门注资或提供同等效力的支持，该商业银行将无法生存</w:t>
      </w:r>
      <w:r w:rsidRPr="00115857">
        <w:rPr>
          <w:rFonts w:ascii="仿宋_GB2312" w:eastAsia="仿宋_GB2312" w:hint="eastAsia"/>
          <w:sz w:val="28"/>
          <w:szCs w:val="28"/>
        </w:rPr>
        <w:t>）</w:t>
      </w:r>
      <w:r>
        <w:rPr>
          <w:rFonts w:ascii="仿宋_GB2312" w:eastAsia="仿宋_GB2312" w:hint="eastAsia"/>
          <w:sz w:val="28"/>
          <w:szCs w:val="28"/>
        </w:rPr>
        <w:t>，</w:t>
      </w:r>
      <w:proofErr w:type="gramStart"/>
      <w:r>
        <w:rPr>
          <w:rFonts w:ascii="仿宋_GB2312" w:eastAsia="仿宋_GB2312" w:hint="eastAsia"/>
          <w:sz w:val="28"/>
          <w:szCs w:val="28"/>
        </w:rPr>
        <w:t>采用减记方式</w:t>
      </w:r>
      <w:proofErr w:type="gramEnd"/>
      <w:r>
        <w:rPr>
          <w:rFonts w:ascii="仿宋_GB2312" w:eastAsia="仿宋_GB2312" w:hint="eastAsia"/>
          <w:sz w:val="28"/>
          <w:szCs w:val="28"/>
        </w:rPr>
        <w:t>吸收损失；</w:t>
      </w:r>
    </w:p>
    <w:p w:rsidR="008A61D5" w:rsidRDefault="008A61D5" w:rsidP="008A61D5">
      <w:pPr>
        <w:spacing w:line="500" w:lineRule="exact"/>
        <w:ind w:firstLineChars="200" w:firstLine="560"/>
        <w:rPr>
          <w:rFonts w:ascii="仿宋_GB2312" w:eastAsia="仿宋_GB2312"/>
          <w:sz w:val="28"/>
          <w:szCs w:val="28"/>
        </w:rPr>
      </w:pPr>
      <w:r>
        <w:rPr>
          <w:rFonts w:ascii="仿宋_GB2312" w:eastAsia="仿宋_GB2312" w:hint="eastAsia"/>
          <w:sz w:val="28"/>
          <w:szCs w:val="28"/>
        </w:rPr>
        <w:t>（六）</w:t>
      </w:r>
      <w:r w:rsidRPr="00D07350">
        <w:rPr>
          <w:rFonts w:ascii="仿宋_GB2312" w:eastAsia="仿宋_GB2312" w:hint="eastAsia"/>
          <w:sz w:val="28"/>
          <w:szCs w:val="28"/>
        </w:rPr>
        <w:t>发行利率：</w:t>
      </w:r>
      <w:r>
        <w:rPr>
          <w:rFonts w:ascii="仿宋_GB2312" w:eastAsia="仿宋_GB2312" w:hint="eastAsia"/>
          <w:sz w:val="28"/>
          <w:szCs w:val="28"/>
        </w:rPr>
        <w:t>参照市场利率确定；</w:t>
      </w:r>
    </w:p>
    <w:p w:rsidR="008A61D5" w:rsidRDefault="008A61D5" w:rsidP="008A61D5">
      <w:pPr>
        <w:spacing w:line="500" w:lineRule="exact"/>
        <w:ind w:firstLineChars="200" w:firstLine="560"/>
        <w:rPr>
          <w:rFonts w:ascii="仿宋_GB2312" w:eastAsia="仿宋_GB2312"/>
          <w:sz w:val="28"/>
          <w:szCs w:val="28"/>
        </w:rPr>
      </w:pPr>
      <w:r>
        <w:rPr>
          <w:rFonts w:ascii="仿宋_GB2312" w:eastAsia="仿宋_GB2312" w:hint="eastAsia"/>
          <w:sz w:val="28"/>
          <w:szCs w:val="28"/>
        </w:rPr>
        <w:t>（七）募集资金用途：募集资金将用于充实本行二级资本，提高资本充足率，以增强本行的运营实力，提高抗风险能力，支持业务持续</w:t>
      </w:r>
      <w:r w:rsidR="00D0760A">
        <w:rPr>
          <w:rFonts w:ascii="仿宋_GB2312" w:eastAsia="仿宋_GB2312" w:hint="eastAsia"/>
          <w:sz w:val="28"/>
          <w:szCs w:val="28"/>
        </w:rPr>
        <w:t>稳健</w:t>
      </w:r>
      <w:r>
        <w:rPr>
          <w:rFonts w:ascii="仿宋_GB2312" w:eastAsia="仿宋_GB2312" w:hint="eastAsia"/>
          <w:sz w:val="28"/>
          <w:szCs w:val="28"/>
        </w:rPr>
        <w:t>发展；</w:t>
      </w:r>
    </w:p>
    <w:p w:rsidR="008A61D5" w:rsidRDefault="008A61D5" w:rsidP="008A61D5">
      <w:pPr>
        <w:spacing w:line="500" w:lineRule="exact"/>
        <w:ind w:firstLineChars="200" w:firstLine="560"/>
        <w:rPr>
          <w:rFonts w:ascii="仿宋_GB2312" w:eastAsia="仿宋_GB2312"/>
          <w:sz w:val="28"/>
          <w:szCs w:val="28"/>
        </w:rPr>
      </w:pPr>
      <w:r>
        <w:rPr>
          <w:rFonts w:ascii="仿宋_GB2312" w:eastAsia="仿宋_GB2312" w:hint="eastAsia"/>
          <w:sz w:val="28"/>
          <w:szCs w:val="28"/>
        </w:rPr>
        <w:t>（八）授权及决议有效期：</w:t>
      </w:r>
      <w:r w:rsidR="00D0760A">
        <w:rPr>
          <w:rFonts w:ascii="仿宋_GB2312" w:eastAsia="仿宋_GB2312" w:hint="eastAsia"/>
          <w:sz w:val="28"/>
          <w:szCs w:val="28"/>
        </w:rPr>
        <w:t>提</w:t>
      </w:r>
      <w:r w:rsidRPr="004F7ABE">
        <w:rPr>
          <w:rFonts w:ascii="仿宋_GB2312" w:eastAsia="仿宋_GB2312" w:hint="eastAsia"/>
          <w:sz w:val="28"/>
          <w:szCs w:val="28"/>
        </w:rPr>
        <w:t>请股东大会批准董事会授权</w:t>
      </w:r>
      <w:r>
        <w:rPr>
          <w:rFonts w:ascii="仿宋_GB2312" w:eastAsia="仿宋_GB2312" w:hint="eastAsia"/>
          <w:sz w:val="28"/>
          <w:szCs w:val="28"/>
        </w:rPr>
        <w:t>本行高级管理层</w:t>
      </w:r>
      <w:r w:rsidRPr="004F7ABE">
        <w:rPr>
          <w:rFonts w:ascii="仿宋_GB2312" w:eastAsia="仿宋_GB2312" w:hint="eastAsia"/>
          <w:sz w:val="28"/>
          <w:szCs w:val="28"/>
        </w:rPr>
        <w:t>组织实施，授权有效期截至201</w:t>
      </w:r>
      <w:r>
        <w:rPr>
          <w:rFonts w:ascii="仿宋_GB2312" w:eastAsia="仿宋_GB2312" w:hint="eastAsia"/>
          <w:sz w:val="28"/>
          <w:szCs w:val="28"/>
        </w:rPr>
        <w:t>6</w:t>
      </w:r>
      <w:r w:rsidRPr="004F7ABE">
        <w:rPr>
          <w:rFonts w:ascii="仿宋_GB2312" w:eastAsia="仿宋_GB2312" w:hint="eastAsia"/>
          <w:sz w:val="28"/>
          <w:szCs w:val="28"/>
        </w:rPr>
        <w:t>年</w:t>
      </w:r>
      <w:r>
        <w:rPr>
          <w:rFonts w:ascii="仿宋_GB2312" w:eastAsia="仿宋_GB2312" w:hint="eastAsia"/>
          <w:sz w:val="28"/>
          <w:szCs w:val="28"/>
        </w:rPr>
        <w:t>12</w:t>
      </w:r>
      <w:r w:rsidRPr="004F7ABE">
        <w:rPr>
          <w:rFonts w:ascii="仿宋_GB2312" w:eastAsia="仿宋_GB2312" w:hint="eastAsia"/>
          <w:sz w:val="28"/>
          <w:szCs w:val="28"/>
        </w:rPr>
        <w:t>月</w:t>
      </w:r>
      <w:r>
        <w:rPr>
          <w:rFonts w:ascii="仿宋_GB2312" w:eastAsia="仿宋_GB2312" w:hint="eastAsia"/>
          <w:sz w:val="28"/>
          <w:szCs w:val="28"/>
        </w:rPr>
        <w:t>31</w:t>
      </w:r>
      <w:r w:rsidRPr="004F7ABE">
        <w:rPr>
          <w:rFonts w:ascii="仿宋_GB2312" w:eastAsia="仿宋_GB2312" w:hint="eastAsia"/>
          <w:sz w:val="28"/>
          <w:szCs w:val="28"/>
        </w:rPr>
        <w:t>日</w:t>
      </w:r>
      <w:r>
        <w:rPr>
          <w:rFonts w:ascii="仿宋_GB2312" w:eastAsia="仿宋_GB2312" w:hint="eastAsia"/>
          <w:sz w:val="28"/>
          <w:szCs w:val="28"/>
        </w:rPr>
        <w:t>。</w:t>
      </w:r>
    </w:p>
    <w:p w:rsidR="008A61D5" w:rsidRPr="004F7ABE" w:rsidRDefault="008A61D5" w:rsidP="008A61D5">
      <w:pPr>
        <w:spacing w:line="500" w:lineRule="exact"/>
        <w:ind w:firstLineChars="200" w:firstLine="560"/>
        <w:rPr>
          <w:rFonts w:ascii="仿宋_GB2312" w:eastAsia="仿宋_GB2312"/>
          <w:sz w:val="28"/>
          <w:szCs w:val="28"/>
        </w:rPr>
      </w:pPr>
      <w:r w:rsidRPr="004F7ABE">
        <w:rPr>
          <w:rFonts w:ascii="仿宋_GB2312" w:eastAsia="仿宋_GB2312" w:hint="eastAsia"/>
          <w:sz w:val="28"/>
          <w:szCs w:val="28"/>
        </w:rPr>
        <w:t>本议案经股东大会审议通过</w:t>
      </w:r>
      <w:r>
        <w:rPr>
          <w:rFonts w:ascii="仿宋_GB2312" w:eastAsia="仿宋_GB2312" w:hint="eastAsia"/>
          <w:sz w:val="28"/>
          <w:szCs w:val="28"/>
        </w:rPr>
        <w:t>后</w:t>
      </w:r>
      <w:r w:rsidRPr="004F7ABE">
        <w:rPr>
          <w:rFonts w:ascii="仿宋_GB2312" w:eastAsia="仿宋_GB2312" w:hint="eastAsia"/>
          <w:sz w:val="28"/>
          <w:szCs w:val="28"/>
        </w:rPr>
        <w:t>，</w:t>
      </w:r>
      <w:r>
        <w:rPr>
          <w:rFonts w:ascii="仿宋_GB2312" w:eastAsia="仿宋_GB2312" w:hint="eastAsia"/>
          <w:sz w:val="28"/>
          <w:szCs w:val="28"/>
        </w:rPr>
        <w:t>尚需</w:t>
      </w:r>
      <w:r w:rsidRPr="004F7ABE">
        <w:rPr>
          <w:rFonts w:ascii="仿宋_GB2312" w:eastAsia="仿宋_GB2312" w:hint="eastAsia"/>
          <w:sz w:val="28"/>
          <w:szCs w:val="28"/>
        </w:rPr>
        <w:t>报中国银监会和中国人民银行批准。</w:t>
      </w:r>
    </w:p>
    <w:p w:rsidR="008A61D5" w:rsidRPr="000D006D" w:rsidRDefault="008A61D5" w:rsidP="008A61D5">
      <w:pPr>
        <w:spacing w:line="500" w:lineRule="exact"/>
        <w:ind w:firstLineChars="200" w:firstLine="560"/>
        <w:rPr>
          <w:rFonts w:ascii="仿宋_GB2312" w:eastAsia="仿宋_GB2312"/>
          <w:sz w:val="28"/>
          <w:szCs w:val="28"/>
        </w:rPr>
      </w:pPr>
      <w:r w:rsidRPr="004F7ABE">
        <w:rPr>
          <w:rFonts w:ascii="仿宋_GB2312" w:eastAsia="仿宋_GB2312" w:hint="eastAsia"/>
          <w:sz w:val="28"/>
          <w:szCs w:val="28"/>
        </w:rPr>
        <w:t>专此报告，请</w:t>
      </w:r>
      <w:proofErr w:type="gramStart"/>
      <w:r w:rsidRPr="004F7ABE">
        <w:rPr>
          <w:rFonts w:ascii="仿宋_GB2312" w:eastAsia="仿宋_GB2312" w:hint="eastAsia"/>
          <w:sz w:val="28"/>
          <w:szCs w:val="28"/>
        </w:rPr>
        <w:t>予审</w:t>
      </w:r>
      <w:proofErr w:type="gramEnd"/>
      <w:r w:rsidRPr="004F7ABE">
        <w:rPr>
          <w:rFonts w:ascii="仿宋_GB2312" w:eastAsia="仿宋_GB2312" w:hint="eastAsia"/>
          <w:sz w:val="28"/>
          <w:szCs w:val="28"/>
        </w:rPr>
        <w:t>议。</w:t>
      </w:r>
      <w:r w:rsidRPr="000D006D">
        <w:rPr>
          <w:rFonts w:ascii="仿宋_GB2312" w:eastAsia="仿宋_GB2312" w:hint="eastAsia"/>
          <w:sz w:val="28"/>
          <w:szCs w:val="28"/>
        </w:rPr>
        <w:br w:type="page"/>
      </w:r>
    </w:p>
    <w:p w:rsidR="008A61D5" w:rsidRPr="00952A16" w:rsidRDefault="00443049" w:rsidP="008A61D5">
      <w:pPr>
        <w:widowControl/>
        <w:spacing w:line="500" w:lineRule="exact"/>
        <w:jc w:val="left"/>
      </w:pPr>
      <w:r>
        <w:lastRenderedPageBreak/>
        <w:pict>
          <v:shape id="_x0000_s1061" type="#_x0000_t202" style="position:absolute;margin-left:-5.25pt;margin-top:-5.25pt;width:144.75pt;height:48.1pt;z-index:251677184">
            <v:textbox style="mso-next-textbox:#_x0000_s1061">
              <w:txbxContent>
                <w:p w:rsidR="008A61D5" w:rsidRDefault="008A61D5" w:rsidP="008A61D5">
                  <w:pPr>
                    <w:spacing w:line="400" w:lineRule="exact"/>
                    <w:jc w:val="center"/>
                    <w:rPr>
                      <w:rFonts w:ascii="宋体"/>
                      <w:color w:val="000000"/>
                      <w:szCs w:val="21"/>
                    </w:rPr>
                  </w:pPr>
                  <w:r>
                    <w:rPr>
                      <w:rFonts w:ascii="宋体" w:hint="eastAsia"/>
                      <w:color w:val="000000"/>
                      <w:szCs w:val="21"/>
                    </w:rPr>
                    <w:t>2015</w:t>
                  </w:r>
                  <w:r>
                    <w:rPr>
                      <w:rFonts w:ascii="宋体" w:hint="eastAsia"/>
                      <w:color w:val="000000"/>
                      <w:szCs w:val="21"/>
                    </w:rPr>
                    <w:t>年</w:t>
                  </w:r>
                  <w:r w:rsidR="001034B7">
                    <w:rPr>
                      <w:rFonts w:ascii="宋体" w:hint="eastAsia"/>
                      <w:color w:val="000000"/>
                      <w:szCs w:val="21"/>
                    </w:rPr>
                    <w:t>第</w:t>
                  </w:r>
                  <w:r>
                    <w:rPr>
                      <w:rFonts w:ascii="宋体" w:hint="eastAsia"/>
                      <w:color w:val="000000"/>
                      <w:szCs w:val="21"/>
                    </w:rPr>
                    <w:t>一次临时股东大会</w:t>
                  </w:r>
                </w:p>
                <w:p w:rsidR="008A61D5" w:rsidRDefault="008A61D5" w:rsidP="008A61D5">
                  <w:pPr>
                    <w:spacing w:line="400" w:lineRule="exact"/>
                    <w:jc w:val="center"/>
                    <w:rPr>
                      <w:rFonts w:ascii="宋体"/>
                      <w:color w:val="000000"/>
                      <w:szCs w:val="21"/>
                    </w:rPr>
                  </w:pPr>
                  <w:r>
                    <w:rPr>
                      <w:rFonts w:ascii="宋体" w:hint="eastAsia"/>
                      <w:color w:val="000000"/>
                      <w:szCs w:val="21"/>
                    </w:rPr>
                    <w:t>文件二　审议议案</w:t>
                  </w:r>
                </w:p>
                <w:p w:rsidR="008A61D5" w:rsidRDefault="008A61D5" w:rsidP="008A61D5">
                  <w:pPr>
                    <w:rPr>
                      <w:szCs w:val="21"/>
                    </w:rPr>
                  </w:pPr>
                </w:p>
              </w:txbxContent>
            </v:textbox>
            <w10:wrap type="square"/>
          </v:shape>
        </w:pict>
      </w:r>
    </w:p>
    <w:p w:rsidR="008A61D5" w:rsidRDefault="008A61D5" w:rsidP="008A61D5">
      <w:pPr>
        <w:widowControl/>
        <w:spacing w:line="500" w:lineRule="exact"/>
        <w:jc w:val="center"/>
        <w:rPr>
          <w:rFonts w:ascii="黑体" w:eastAsia="黑体"/>
          <w:sz w:val="32"/>
          <w:szCs w:val="32"/>
        </w:rPr>
      </w:pPr>
    </w:p>
    <w:p w:rsidR="008A61D5" w:rsidRPr="00952A16" w:rsidRDefault="008A61D5" w:rsidP="008A61D5">
      <w:pPr>
        <w:widowControl/>
        <w:spacing w:line="500" w:lineRule="exact"/>
        <w:jc w:val="center"/>
        <w:rPr>
          <w:rFonts w:ascii="黑体" w:eastAsia="黑体"/>
          <w:sz w:val="32"/>
          <w:szCs w:val="32"/>
        </w:rPr>
      </w:pPr>
      <w:r w:rsidRPr="00952A16">
        <w:rPr>
          <w:rFonts w:ascii="黑体" w:eastAsia="黑体" w:hint="eastAsia"/>
          <w:sz w:val="32"/>
          <w:szCs w:val="32"/>
        </w:rPr>
        <w:t>兴业银行股份有限公司</w:t>
      </w:r>
    </w:p>
    <w:p w:rsidR="008A61D5" w:rsidRPr="00952A16" w:rsidRDefault="008A61D5" w:rsidP="008A61D5">
      <w:pPr>
        <w:pStyle w:val="1"/>
        <w:spacing w:before="0" w:after="0" w:line="500" w:lineRule="exact"/>
        <w:ind w:left="431" w:hanging="431"/>
        <w:rPr>
          <w:b/>
          <w:szCs w:val="32"/>
        </w:rPr>
      </w:pPr>
      <w:bookmarkStart w:id="2" w:name="_Toc429466417"/>
      <w:bookmarkStart w:id="3" w:name="_Toc429579502"/>
      <w:r>
        <w:rPr>
          <w:rFonts w:hint="eastAsia"/>
          <w:bCs/>
          <w:szCs w:val="32"/>
        </w:rPr>
        <w:t>关于修订《中期资本管理规划（2014-2016年）》的议案</w:t>
      </w:r>
      <w:bookmarkEnd w:id="2"/>
      <w:bookmarkEnd w:id="3"/>
    </w:p>
    <w:p w:rsidR="008A61D5" w:rsidRPr="00952A16" w:rsidRDefault="008A61D5" w:rsidP="008A61D5">
      <w:pPr>
        <w:spacing w:line="500" w:lineRule="exact"/>
        <w:jc w:val="center"/>
        <w:rPr>
          <w:rFonts w:ascii="仿宋_GB2312" w:eastAsia="仿宋_GB2312"/>
          <w:sz w:val="28"/>
          <w:szCs w:val="28"/>
        </w:rPr>
      </w:pPr>
      <w:r>
        <w:rPr>
          <w:rFonts w:ascii="仿宋_GB2312" w:eastAsia="仿宋_GB2312" w:hint="eastAsia"/>
          <w:sz w:val="28"/>
          <w:szCs w:val="28"/>
        </w:rPr>
        <w:t>报告人</w:t>
      </w:r>
      <w:r w:rsidRPr="00952A16">
        <w:rPr>
          <w:rFonts w:ascii="仿宋_GB2312" w:eastAsia="仿宋_GB2312" w:hint="eastAsia"/>
          <w:sz w:val="28"/>
          <w:szCs w:val="28"/>
        </w:rPr>
        <w:t>：</w:t>
      </w:r>
      <w:r>
        <w:rPr>
          <w:rFonts w:ascii="仿宋_GB2312" w:eastAsia="仿宋_GB2312" w:hint="eastAsia"/>
          <w:sz w:val="28"/>
          <w:szCs w:val="28"/>
        </w:rPr>
        <w:t>李　健</w:t>
      </w:r>
    </w:p>
    <w:p w:rsidR="008A61D5" w:rsidRDefault="008A61D5" w:rsidP="008A61D5">
      <w:pPr>
        <w:tabs>
          <w:tab w:val="left" w:pos="2100"/>
        </w:tabs>
        <w:spacing w:line="500" w:lineRule="exact"/>
        <w:rPr>
          <w:rFonts w:eastAsia="仿宋_GB2312"/>
          <w:sz w:val="28"/>
          <w:szCs w:val="28"/>
        </w:rPr>
      </w:pPr>
    </w:p>
    <w:p w:rsidR="008A61D5" w:rsidRPr="00663B66" w:rsidRDefault="008A61D5" w:rsidP="008A61D5">
      <w:pPr>
        <w:tabs>
          <w:tab w:val="left" w:pos="2100"/>
        </w:tabs>
        <w:spacing w:line="500" w:lineRule="exact"/>
        <w:rPr>
          <w:rFonts w:eastAsia="仿宋_GB2312"/>
          <w:sz w:val="28"/>
          <w:szCs w:val="28"/>
        </w:rPr>
      </w:pPr>
      <w:r w:rsidRPr="00663B66">
        <w:rPr>
          <w:rFonts w:eastAsia="仿宋_GB2312"/>
          <w:sz w:val="28"/>
          <w:szCs w:val="28"/>
        </w:rPr>
        <w:t>各位</w:t>
      </w:r>
      <w:r>
        <w:rPr>
          <w:rFonts w:eastAsia="仿宋_GB2312" w:hint="eastAsia"/>
          <w:sz w:val="28"/>
          <w:szCs w:val="28"/>
        </w:rPr>
        <w:t>股东</w:t>
      </w:r>
      <w:r w:rsidRPr="00663B66">
        <w:rPr>
          <w:rFonts w:eastAsia="仿宋_GB2312"/>
          <w:sz w:val="28"/>
          <w:szCs w:val="28"/>
        </w:rPr>
        <w:t>：</w:t>
      </w:r>
    </w:p>
    <w:p w:rsidR="008A61D5" w:rsidRDefault="008A61D5" w:rsidP="008A61D5">
      <w:pPr>
        <w:pStyle w:val="af5"/>
        <w:spacing w:after="0" w:line="500" w:lineRule="exact"/>
        <w:ind w:firstLineChars="200" w:firstLine="560"/>
        <w:rPr>
          <w:rFonts w:ascii="仿宋_GB2312" w:eastAsia="仿宋_GB2312"/>
          <w:sz w:val="28"/>
          <w:szCs w:val="28"/>
        </w:rPr>
      </w:pPr>
      <w:r>
        <w:rPr>
          <w:rFonts w:ascii="仿宋_GB2312" w:eastAsia="仿宋_GB2312" w:hint="eastAsia"/>
          <w:sz w:val="28"/>
          <w:szCs w:val="28"/>
        </w:rPr>
        <w:t>2014年6月，本行2013年年度股东大会审议通过《关于制订〈中期资本管理规划（2014—2016年）〉的议案》，拟在2014-2016年补充一级资本300亿元，2014-2015年补充合格二级资本200亿元。2014-2016年资本充足率目标为：核心一级资本充足率不低于7.8%，一级资本充足率不低于8.8%，总资本充足率不低于10.8%。</w:t>
      </w:r>
    </w:p>
    <w:p w:rsidR="008A61D5" w:rsidRDefault="008A61D5" w:rsidP="008A61D5">
      <w:pPr>
        <w:pStyle w:val="af5"/>
        <w:spacing w:after="0" w:line="500" w:lineRule="exact"/>
        <w:ind w:firstLineChars="200" w:firstLine="560"/>
        <w:rPr>
          <w:rFonts w:ascii="仿宋_GB2312" w:eastAsia="仿宋_GB2312"/>
          <w:sz w:val="28"/>
          <w:szCs w:val="28"/>
        </w:rPr>
      </w:pPr>
      <w:r>
        <w:rPr>
          <w:rFonts w:ascii="仿宋_GB2312" w:eastAsia="仿宋_GB2312" w:hint="eastAsia"/>
          <w:sz w:val="28"/>
          <w:szCs w:val="28"/>
        </w:rPr>
        <w:t>受利率市场化进程加快，不良贷款增长及风险成本高于预期等因素影响，本行通过内生资本积累支持业务发展面临更多困难，</w:t>
      </w:r>
      <w:r>
        <w:rPr>
          <w:rFonts w:ascii="仿宋_GB2312" w:eastAsia="仿宋_GB2312" w:hint="eastAsia"/>
          <w:color w:val="000000"/>
          <w:sz w:val="28"/>
          <w:szCs w:val="28"/>
        </w:rPr>
        <w:t>为实现资本充足率水平达到中期规划目标，支持各项业务持续稳健发展，</w:t>
      </w:r>
      <w:r>
        <w:rPr>
          <w:rFonts w:ascii="仿宋_GB2312" w:eastAsia="仿宋_GB2312" w:hint="eastAsia"/>
          <w:sz w:val="28"/>
          <w:szCs w:val="28"/>
        </w:rPr>
        <w:t>拟在2014-2016年增加一次二级资本补充，通过发行二级资本债券补充二级资本300亿元，据此现拟对本行《中期资本管理规划（2014-2016年）》进行修订。</w:t>
      </w:r>
    </w:p>
    <w:p w:rsidR="008A61D5" w:rsidRDefault="008A61D5" w:rsidP="008A61D5">
      <w:pPr>
        <w:spacing w:line="500" w:lineRule="exact"/>
        <w:ind w:firstLineChars="200" w:firstLine="560"/>
        <w:jc w:val="left"/>
        <w:rPr>
          <w:rFonts w:ascii="仿宋_GB2312" w:eastAsia="仿宋_GB2312"/>
          <w:sz w:val="28"/>
          <w:szCs w:val="28"/>
        </w:rPr>
      </w:pPr>
      <w:r>
        <w:rPr>
          <w:rFonts w:ascii="仿宋_GB2312" w:eastAsia="仿宋_GB2312" w:hint="eastAsia"/>
          <w:sz w:val="28"/>
          <w:szCs w:val="28"/>
        </w:rPr>
        <w:t>专此报告，请</w:t>
      </w:r>
      <w:proofErr w:type="gramStart"/>
      <w:r>
        <w:rPr>
          <w:rFonts w:ascii="仿宋_GB2312" w:eastAsia="仿宋_GB2312" w:hint="eastAsia"/>
          <w:sz w:val="28"/>
          <w:szCs w:val="28"/>
        </w:rPr>
        <w:t>予审</w:t>
      </w:r>
      <w:proofErr w:type="gramEnd"/>
      <w:r>
        <w:rPr>
          <w:rFonts w:ascii="仿宋_GB2312" w:eastAsia="仿宋_GB2312" w:hint="eastAsia"/>
          <w:sz w:val="28"/>
          <w:szCs w:val="28"/>
        </w:rPr>
        <w:t>议。</w:t>
      </w:r>
    </w:p>
    <w:p w:rsidR="008A61D5" w:rsidRDefault="008A61D5" w:rsidP="008A61D5">
      <w:pPr>
        <w:spacing w:line="500" w:lineRule="exact"/>
        <w:jc w:val="center"/>
        <w:rPr>
          <w:rFonts w:ascii="仿宋_GB2312" w:eastAsia="仿宋_GB2312"/>
          <w:bCs/>
          <w:sz w:val="28"/>
          <w:szCs w:val="28"/>
        </w:rPr>
      </w:pPr>
    </w:p>
    <w:p w:rsidR="008A61D5" w:rsidRDefault="008A61D5" w:rsidP="008A61D5">
      <w:pPr>
        <w:spacing w:line="500" w:lineRule="exact"/>
        <w:ind w:firstLineChars="200" w:firstLine="560"/>
        <w:jc w:val="left"/>
        <w:rPr>
          <w:rFonts w:ascii="仿宋_GB2312" w:eastAsia="仿宋_GB2312"/>
          <w:sz w:val="28"/>
          <w:szCs w:val="28"/>
        </w:rPr>
      </w:pPr>
      <w:r>
        <w:rPr>
          <w:rFonts w:ascii="仿宋_GB2312" w:eastAsia="仿宋_GB2312" w:hint="eastAsia"/>
          <w:color w:val="000000"/>
          <w:sz w:val="28"/>
          <w:szCs w:val="28"/>
        </w:rPr>
        <w:t>附件：</w:t>
      </w:r>
      <w:r>
        <w:rPr>
          <w:rFonts w:ascii="仿宋_GB2312" w:eastAsia="仿宋_GB2312" w:hint="eastAsia"/>
          <w:sz w:val="28"/>
          <w:szCs w:val="28"/>
        </w:rPr>
        <w:t>中期资本管理规划（2014-2016年）（修订稿）</w:t>
      </w:r>
    </w:p>
    <w:p w:rsidR="008A61D5" w:rsidRDefault="008A61D5" w:rsidP="008A61D5">
      <w:pPr>
        <w:widowControl/>
        <w:jc w:val="left"/>
        <w:rPr>
          <w:rFonts w:ascii="黑体" w:eastAsia="黑体"/>
          <w:bCs/>
          <w:sz w:val="32"/>
          <w:szCs w:val="32"/>
        </w:rPr>
      </w:pPr>
      <w:r>
        <w:rPr>
          <w:rFonts w:ascii="黑体" w:eastAsia="黑体"/>
          <w:bCs/>
          <w:sz w:val="32"/>
          <w:szCs w:val="32"/>
        </w:rPr>
        <w:br w:type="page"/>
      </w:r>
    </w:p>
    <w:p w:rsidR="008A61D5" w:rsidRPr="004656BE" w:rsidRDefault="008A61D5" w:rsidP="008A61D5">
      <w:pPr>
        <w:spacing w:line="500" w:lineRule="exact"/>
        <w:rPr>
          <w:rFonts w:ascii="仿宋_GB2312" w:eastAsia="仿宋_GB2312"/>
          <w:bCs/>
          <w:sz w:val="28"/>
          <w:szCs w:val="28"/>
        </w:rPr>
      </w:pPr>
      <w:r w:rsidRPr="004656BE">
        <w:rPr>
          <w:rFonts w:ascii="仿宋_GB2312" w:eastAsia="仿宋_GB2312" w:hint="eastAsia"/>
          <w:bCs/>
          <w:sz w:val="28"/>
          <w:szCs w:val="28"/>
        </w:rPr>
        <w:lastRenderedPageBreak/>
        <w:t>附件</w:t>
      </w:r>
    </w:p>
    <w:p w:rsidR="008A61D5" w:rsidRDefault="008A61D5" w:rsidP="008A61D5">
      <w:pPr>
        <w:spacing w:line="500" w:lineRule="exact"/>
        <w:jc w:val="center"/>
        <w:rPr>
          <w:rFonts w:ascii="黑体" w:eastAsia="黑体"/>
          <w:bCs/>
          <w:sz w:val="32"/>
          <w:szCs w:val="32"/>
        </w:rPr>
      </w:pPr>
      <w:r>
        <w:rPr>
          <w:rFonts w:ascii="黑体" w:eastAsia="黑体" w:hint="eastAsia"/>
          <w:bCs/>
          <w:sz w:val="32"/>
          <w:szCs w:val="32"/>
        </w:rPr>
        <w:t>兴业银行股份有限公司</w:t>
      </w:r>
    </w:p>
    <w:p w:rsidR="008A61D5" w:rsidRDefault="008A61D5" w:rsidP="008A61D5">
      <w:pPr>
        <w:spacing w:line="500" w:lineRule="exact"/>
        <w:jc w:val="center"/>
        <w:rPr>
          <w:rFonts w:ascii="黑体" w:eastAsia="黑体"/>
          <w:bCs/>
          <w:sz w:val="32"/>
          <w:szCs w:val="32"/>
        </w:rPr>
      </w:pPr>
      <w:r>
        <w:rPr>
          <w:rFonts w:ascii="黑体" w:eastAsia="黑体" w:hint="eastAsia"/>
          <w:bCs/>
          <w:sz w:val="32"/>
          <w:szCs w:val="32"/>
        </w:rPr>
        <w:t>中期资本管理规划（2014-2016年）（修订稿）</w:t>
      </w:r>
    </w:p>
    <w:p w:rsidR="008A61D5" w:rsidRDefault="008A61D5" w:rsidP="008A61D5">
      <w:pPr>
        <w:spacing w:line="500" w:lineRule="exact"/>
        <w:rPr>
          <w:rFonts w:ascii="仿宋_GB2312" w:eastAsia="仿宋_GB2312" w:hAnsi="宋体"/>
          <w:sz w:val="28"/>
          <w:szCs w:val="28"/>
        </w:rPr>
      </w:pPr>
    </w:p>
    <w:p w:rsidR="008A61D5" w:rsidRDefault="008A61D5" w:rsidP="008A61D5">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中国银监会2012年6月正式出台了《商业银行资本管理办法（试行）》（以下简称“《资本管理办法》”），并于</w:t>
      </w:r>
      <w:smartTag w:uri="urn:schemas-microsoft-com:office:smarttags" w:element="chsdate">
        <w:smartTagPr>
          <w:attr w:name="IsROCDate" w:val="False"/>
          <w:attr w:name="IsLunarDate" w:val="False"/>
          <w:attr w:name="Day" w:val="1"/>
          <w:attr w:name="Month" w:val="1"/>
          <w:attr w:name="Year" w:val="2013"/>
        </w:smartTagPr>
        <w:r>
          <w:rPr>
            <w:rFonts w:ascii="仿宋_GB2312" w:eastAsia="仿宋_GB2312" w:hAnsi="宋体" w:hint="eastAsia"/>
            <w:sz w:val="28"/>
            <w:szCs w:val="28"/>
          </w:rPr>
          <w:t>2013年1月1日</w:t>
        </w:r>
      </w:smartTag>
      <w:r>
        <w:rPr>
          <w:rFonts w:ascii="仿宋_GB2312" w:eastAsia="仿宋_GB2312" w:hAnsi="宋体" w:hint="eastAsia"/>
          <w:sz w:val="28"/>
          <w:szCs w:val="28"/>
        </w:rPr>
        <w:t>正式实施。《资本管理办法》中规定我国非系统重要性银行的资本充足率不得低于10.5%，一级资本充足率不得低于8.5%，核心一级资本充足率不得低于7.5%，并要求商业银行于2018年底前全面达标。</w:t>
      </w:r>
    </w:p>
    <w:p w:rsidR="008A61D5" w:rsidRDefault="008A61D5" w:rsidP="008A61D5">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为满足不断提高的资本监管要求，进一步加强和规范银行资本管理，保持银行充足的资本水平和较高的资本质量，有效支持银行业务发展并满足股东回报要求，兴业银行股份有限公司（以下简称“公司”）于2014年制定了《</w:t>
      </w:r>
      <w:r>
        <w:rPr>
          <w:rFonts w:ascii="仿宋_GB2312" w:eastAsia="仿宋_GB2312" w:hint="eastAsia"/>
          <w:sz w:val="28"/>
          <w:szCs w:val="28"/>
        </w:rPr>
        <w:t>兴业银行股份有限公司中期资本管理规划（2014-2016年）》，现结合外部宏观经济环境和公司业务发展的实际需要，对《中期资本管理规划（2014-2016年）》的资本补充规划进行修订。</w:t>
      </w:r>
    </w:p>
    <w:p w:rsidR="008A61D5" w:rsidRDefault="008A61D5" w:rsidP="008A61D5">
      <w:pPr>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一、中期资本管理规划的考虑因素</w:t>
      </w:r>
    </w:p>
    <w:p w:rsidR="008A61D5" w:rsidRDefault="008A61D5" w:rsidP="008A61D5">
      <w:pPr>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（一）宏观经济金融走势</w:t>
      </w:r>
    </w:p>
    <w:p w:rsidR="008A61D5" w:rsidRDefault="008A61D5" w:rsidP="008A61D5">
      <w:pPr>
        <w:tabs>
          <w:tab w:val="left" w:pos="7513"/>
        </w:tabs>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从外部形势看，世界经济将处于从危机到逐步复苏的低速增长状态，国际经济金融环境总体将从动荡走向平稳。</w:t>
      </w:r>
      <w:r>
        <w:rPr>
          <w:rFonts w:ascii="仿宋_GB2312" w:eastAsia="仿宋_GB2312" w:hint="eastAsia"/>
          <w:color w:val="000000"/>
          <w:sz w:val="28"/>
          <w:szCs w:val="28"/>
        </w:rPr>
        <w:t>国内经济发展目前已经进入新常态，定向</w:t>
      </w:r>
      <w:proofErr w:type="gramStart"/>
      <w:r>
        <w:rPr>
          <w:rFonts w:ascii="仿宋_GB2312" w:eastAsia="仿宋_GB2312" w:hint="eastAsia"/>
          <w:color w:val="000000"/>
          <w:sz w:val="28"/>
          <w:szCs w:val="28"/>
        </w:rPr>
        <w:t>宽松将</w:t>
      </w:r>
      <w:proofErr w:type="gramEnd"/>
      <w:r>
        <w:rPr>
          <w:rFonts w:ascii="仿宋_GB2312" w:eastAsia="仿宋_GB2312" w:hint="eastAsia"/>
          <w:color w:val="000000"/>
          <w:sz w:val="28"/>
          <w:szCs w:val="28"/>
        </w:rPr>
        <w:t>是未来宏观调控政策的主基调，政府正通过改革攻坚和创新驱动培育新的增长点，多项经济刺激政策和改革战略给银行业发展带来新的机遇，</w:t>
      </w:r>
      <w:r>
        <w:rPr>
          <w:rFonts w:ascii="仿宋_GB2312" w:eastAsia="仿宋_GB2312" w:hAnsi="宋体" w:hint="eastAsia"/>
          <w:sz w:val="28"/>
          <w:szCs w:val="28"/>
        </w:rPr>
        <w:t>并且随着经济金融发展程度不断深化，公司各项业务的发展将面临良好的机遇和广阔的空间，预计未来公司资产规模仍</w:t>
      </w:r>
      <w:r>
        <w:rPr>
          <w:rFonts w:ascii="仿宋_GB2312" w:eastAsia="仿宋_GB2312" w:hint="eastAsia"/>
          <w:color w:val="000000"/>
          <w:sz w:val="28"/>
          <w:szCs w:val="28"/>
        </w:rPr>
        <w:t>可保持较稳定的增长速度</w:t>
      </w:r>
      <w:r>
        <w:rPr>
          <w:rFonts w:ascii="仿宋_GB2312" w:eastAsia="仿宋_GB2312" w:hAnsi="宋体" w:hint="eastAsia"/>
          <w:sz w:val="28"/>
          <w:szCs w:val="28"/>
        </w:rPr>
        <w:t>。</w:t>
      </w:r>
    </w:p>
    <w:p w:rsidR="008A61D5" w:rsidRDefault="008A61D5" w:rsidP="008A61D5">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但另一方面，以国际金融危机为借鉴，我国继续加强对商业银行的宏观审慎监管，以启用更严格的资本充足率、动态拨备率、杠杆率、</w:t>
      </w:r>
      <w:r>
        <w:rPr>
          <w:rFonts w:ascii="仿宋_GB2312" w:eastAsia="仿宋_GB2312" w:hAnsi="宋体" w:hint="eastAsia"/>
          <w:sz w:val="28"/>
          <w:szCs w:val="28"/>
        </w:rPr>
        <w:lastRenderedPageBreak/>
        <w:t>流动性比率等“新四大工具”为标志，未来商业银行资产负债组合的构成将面临更强的约束，表内外总资产扩张将受到更严格的限制，对资本充足和资本质量的要求将不断提高。利率市场化进一步加快推进，对银行的盈利能力会带来较大挑战。</w:t>
      </w:r>
    </w:p>
    <w:p w:rsidR="008A61D5" w:rsidRDefault="008A61D5" w:rsidP="008A61D5">
      <w:pPr>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（二）国内外资本监管环境</w:t>
      </w:r>
    </w:p>
    <w:p w:rsidR="008A61D5" w:rsidRDefault="008A61D5" w:rsidP="008A61D5">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中国银监会于2012年6月发布《资本管理办法》，并自</w:t>
      </w:r>
      <w:smartTag w:uri="urn:schemas-microsoft-com:office:smarttags" w:element="chsdate">
        <w:smartTagPr>
          <w:attr w:name="IsROCDate" w:val="False"/>
          <w:attr w:name="IsLunarDate" w:val="False"/>
          <w:attr w:name="Day" w:val="1"/>
          <w:attr w:name="Month" w:val="1"/>
          <w:attr w:name="Year" w:val="2013"/>
        </w:smartTagPr>
        <w:r>
          <w:rPr>
            <w:rFonts w:ascii="仿宋_GB2312" w:eastAsia="仿宋_GB2312" w:hAnsi="宋体" w:hint="eastAsia"/>
            <w:sz w:val="28"/>
            <w:szCs w:val="28"/>
          </w:rPr>
          <w:t>2013年1月1日</w:t>
        </w:r>
      </w:smartTag>
      <w:r>
        <w:rPr>
          <w:rFonts w:ascii="仿宋_GB2312" w:eastAsia="仿宋_GB2312" w:hAnsi="宋体" w:hint="eastAsia"/>
          <w:sz w:val="28"/>
          <w:szCs w:val="28"/>
        </w:rPr>
        <w:t>正式实施，资本监管呈现日益严格的趋势。《资本管理办法》大幅提高了对于我国商业银行资本监管的标准，同时在银行的风险资产和资本定义的计算规则方面更加严格，实际上进一步提高了资本充足率要求，加大了商业银行资本补充压力。按照《资本管理办法》新的计量规则，公司的资本充足率水平和一级资本</w:t>
      </w:r>
      <w:proofErr w:type="gramStart"/>
      <w:r>
        <w:rPr>
          <w:rFonts w:ascii="仿宋_GB2312" w:eastAsia="仿宋_GB2312" w:hAnsi="宋体" w:hint="eastAsia"/>
          <w:sz w:val="28"/>
          <w:szCs w:val="28"/>
        </w:rPr>
        <w:t>充足率水平均</w:t>
      </w:r>
      <w:proofErr w:type="gramEnd"/>
      <w:r>
        <w:rPr>
          <w:rFonts w:ascii="仿宋_GB2312" w:eastAsia="仿宋_GB2312" w:hAnsi="宋体" w:hint="eastAsia"/>
          <w:sz w:val="28"/>
          <w:szCs w:val="28"/>
        </w:rPr>
        <w:t>出现不同程度的下降。</w:t>
      </w:r>
    </w:p>
    <w:p w:rsidR="008A61D5" w:rsidRDefault="008A61D5" w:rsidP="008A61D5">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与《资本管理办法》实施相配套，中国银监会明确2013-2018年的过渡期内各商业银行资本充足率应分年度达到监管最低要求，且对于2012年底已达到《资本管理办法》规定的资本充足率监管要求的商业银行，过渡期内鼓励其资本充足率保持在《资本管理办法》规定的资本充足率要求之上。</w:t>
      </w:r>
    </w:p>
    <w:p w:rsidR="008A61D5" w:rsidRDefault="008A61D5" w:rsidP="008A61D5">
      <w:pPr>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二、中期资本管理规划目标</w:t>
      </w:r>
    </w:p>
    <w:p w:rsidR="008A61D5" w:rsidRDefault="008A61D5" w:rsidP="008A61D5">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根据《资本管理办法》以及公司经营管理现状，公司资本充足率最低要求是在任一时点不低于当时的资本监管要求，在此基础上，公司还应持有一定的资本储备作为资本缓冲，以提高公司把握市场机会及抵御风险的能力。结合上述要求，2014-2016年间公司资本充足率目标如下：</w:t>
      </w:r>
    </w:p>
    <w:p w:rsidR="008A61D5" w:rsidRDefault="008A61D5" w:rsidP="008A61D5">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核心一级资本充足率不低于7.8%，一级资本充足率不低于8.8%，总资本充足率不低于10.8%，并力争未来几年资本充足水平要高于同类银行平均水平，维持公司作为资本充足银行的良好市场形象。</w:t>
      </w:r>
    </w:p>
    <w:p w:rsidR="008A61D5" w:rsidRDefault="008A61D5" w:rsidP="008A61D5">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如经济金融形势出现较大波动，监管机构调整商业银行最低资本</w:t>
      </w:r>
      <w:r>
        <w:rPr>
          <w:rFonts w:ascii="仿宋_GB2312" w:eastAsia="仿宋_GB2312" w:hAnsi="宋体" w:hint="eastAsia"/>
          <w:sz w:val="28"/>
          <w:szCs w:val="28"/>
        </w:rPr>
        <w:lastRenderedPageBreak/>
        <w:t>充足率要求，公司的资本充足率目标应随监管机构要求进行相应调整。</w:t>
      </w:r>
    </w:p>
    <w:p w:rsidR="008A61D5" w:rsidRDefault="008A61D5" w:rsidP="008A61D5">
      <w:pPr>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三、资本补充规划</w:t>
      </w:r>
    </w:p>
    <w:p w:rsidR="008A61D5" w:rsidRDefault="008A61D5" w:rsidP="008A61D5">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公司资本补充以满足未来三年（2014-2016年）经营战略、业务发展和资本监管要求为目标，并遵循以下原则：</w:t>
      </w:r>
    </w:p>
    <w:p w:rsidR="008A61D5" w:rsidRDefault="008A61D5" w:rsidP="008A61D5">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一）优先考虑利润积累。公司将以提高盈利能力、增加内部积累作为提高资本的重要途径。公司将积极致力于推进业务发展模式和盈利模式转变，持续提升盈利能力与绩效水平，同时根据相关法律法规及《公司章程》的规定制定稳健的现金分红政策，保持较强的利润积累能力，实现公司内</w:t>
      </w:r>
      <w:proofErr w:type="gramStart"/>
      <w:r>
        <w:rPr>
          <w:rFonts w:ascii="仿宋_GB2312" w:eastAsia="仿宋_GB2312" w:hAnsi="宋体" w:hint="eastAsia"/>
          <w:sz w:val="28"/>
          <w:szCs w:val="28"/>
        </w:rPr>
        <w:t>生资本</w:t>
      </w:r>
      <w:proofErr w:type="gramEnd"/>
      <w:r>
        <w:rPr>
          <w:rFonts w:ascii="仿宋_GB2312" w:eastAsia="仿宋_GB2312" w:hAnsi="宋体" w:hint="eastAsia"/>
          <w:sz w:val="28"/>
          <w:szCs w:val="28"/>
        </w:rPr>
        <w:t>与风险资产的协调增长。</w:t>
      </w:r>
    </w:p>
    <w:p w:rsidR="008A61D5" w:rsidRDefault="008A61D5" w:rsidP="008A61D5">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（二）根据监管规定和资本市场情况，通过发行优先股等符合《资本管理办法》规定的资本工具补充一级资本，提高一级资本在总资本中的占比，提升资本的损失吸收能力。</w:t>
      </w:r>
    </w:p>
    <w:p w:rsidR="008A61D5" w:rsidRDefault="008A61D5" w:rsidP="008A61D5">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三）积极补充二级资本。在监管许可的范围内，公司将积极考虑通过发行二级资本债券等方式补充二级资本，以形成多元化的资本补充机制，在进一步提高资本充足水平的同时降低资本补充的融资成本，完善融资结构。</w:t>
      </w:r>
    </w:p>
    <w:p w:rsidR="008A61D5" w:rsidRDefault="008A61D5" w:rsidP="008A61D5">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（四）其他方式，公司也将根据监管规定和市场情况，合理选择其他创新融资方式对资本进行补充。</w:t>
      </w:r>
    </w:p>
    <w:p w:rsidR="008A61D5" w:rsidRDefault="008A61D5" w:rsidP="008A61D5">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规划期内，公司于2014年6月发行200亿元</w:t>
      </w:r>
      <w:proofErr w:type="gramStart"/>
      <w:r>
        <w:rPr>
          <w:rFonts w:ascii="仿宋_GB2312" w:eastAsia="仿宋_GB2312" w:hAnsi="宋体" w:hint="eastAsia"/>
          <w:sz w:val="28"/>
          <w:szCs w:val="28"/>
        </w:rPr>
        <w:t>减记型</w:t>
      </w:r>
      <w:proofErr w:type="gramEnd"/>
      <w:r>
        <w:rPr>
          <w:rFonts w:ascii="仿宋_GB2312" w:eastAsia="仿宋_GB2312" w:hAnsi="宋体" w:hint="eastAsia"/>
          <w:sz w:val="28"/>
          <w:szCs w:val="28"/>
        </w:rPr>
        <w:t>二级资本债券补充二级资本，2014-2015年发行260亿元优先股补充一级资本。同时拟定于2015-2016年</w:t>
      </w:r>
      <w:r>
        <w:rPr>
          <w:rFonts w:ascii="仿宋_GB2312" w:eastAsia="仿宋_GB2312" w:hint="eastAsia"/>
          <w:color w:val="000000"/>
          <w:sz w:val="28"/>
          <w:szCs w:val="28"/>
        </w:rPr>
        <w:t>发行不超过300亿元合格二级资本债券补充二级资本。此外，公司将立足长远，密切跟进资本市场发展动态，探索外延权益性资本的补充工作，努力实现规划期内的资本充足率管理目标。</w:t>
      </w:r>
    </w:p>
    <w:p w:rsidR="008A61D5" w:rsidRDefault="008A61D5" w:rsidP="008A61D5">
      <w:pPr>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四、资本管理措施</w:t>
      </w:r>
    </w:p>
    <w:p w:rsidR="008A61D5" w:rsidRDefault="008A61D5" w:rsidP="008A61D5">
      <w:pPr>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（一）完善资本充足评估和监测，建立动态资本补充机制</w:t>
      </w:r>
    </w:p>
    <w:p w:rsidR="008A61D5" w:rsidRDefault="008A61D5" w:rsidP="008A61D5">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增强公司经营管理的前瞻性和预见性，完善对资本充足率的监测、</w:t>
      </w:r>
      <w:r>
        <w:rPr>
          <w:rFonts w:ascii="仿宋_GB2312" w:eastAsia="仿宋_GB2312" w:hAnsi="宋体" w:hint="eastAsia"/>
          <w:sz w:val="28"/>
          <w:szCs w:val="28"/>
        </w:rPr>
        <w:lastRenderedPageBreak/>
        <w:t>预测，建立并完善内部资本充足评估程序；同时，加强资本补充工具及渠道的研究论证工作，建立并完善动态资本补充机制，根据宏观环境、监管要求、市场形势、业务发展等情况的变化，及时对资本规划进行动态调整，确保资本充足率持续满足监管要求和业务发展需要。</w:t>
      </w:r>
    </w:p>
    <w:p w:rsidR="008A61D5" w:rsidRDefault="008A61D5" w:rsidP="008A61D5">
      <w:pPr>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（二）健全资本管理组织架构，满足公司发展战略的需要</w:t>
      </w:r>
    </w:p>
    <w:p w:rsidR="008A61D5" w:rsidRDefault="008A61D5" w:rsidP="008A61D5">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在现有基础上建立健全公司资本管理组织架构，完善资本管理的方法原则和管理流程，细化相关资本管理岗位职责，加强资本管理研究，制订资本管理办法，以支持公司资本的精细化管理，提升公司的资本管理水平。</w:t>
      </w:r>
    </w:p>
    <w:p w:rsidR="008A61D5" w:rsidRDefault="008A61D5" w:rsidP="008A61D5">
      <w:pPr>
        <w:spacing w:line="500" w:lineRule="exact"/>
        <w:ind w:firstLineChars="200" w:firstLine="562"/>
        <w:rPr>
          <w:rFonts w:ascii="仿宋_GB2312" w:eastAsia="仿宋_GB2312" w:hAnsi="宋体"/>
          <w:sz w:val="28"/>
          <w:szCs w:val="28"/>
        </w:rPr>
      </w:pPr>
      <w:r>
        <w:rPr>
          <w:rFonts w:ascii="仿宋_GB2312" w:eastAsia="仿宋_GB2312" w:hAnsi="宋体" w:hint="eastAsia"/>
          <w:b/>
          <w:sz w:val="28"/>
          <w:szCs w:val="28"/>
        </w:rPr>
        <w:t>（三）推动业务结构调整，合理分配风险资产，努力提高风险资产收益率水平</w:t>
      </w:r>
    </w:p>
    <w:p w:rsidR="008A61D5" w:rsidRDefault="008A61D5" w:rsidP="008A61D5">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进一步强化以目标风险资产收益率为基础的风险资产配置管理，引导各项业务</w:t>
      </w:r>
      <w:proofErr w:type="gramStart"/>
      <w:r>
        <w:rPr>
          <w:rFonts w:ascii="仿宋_GB2312" w:eastAsia="仿宋_GB2312" w:hAnsi="宋体" w:hint="eastAsia"/>
          <w:sz w:val="28"/>
          <w:szCs w:val="28"/>
        </w:rPr>
        <w:t>往资本</w:t>
      </w:r>
      <w:proofErr w:type="gramEnd"/>
      <w:r>
        <w:rPr>
          <w:rFonts w:ascii="仿宋_GB2312" w:eastAsia="仿宋_GB2312" w:hAnsi="宋体" w:hint="eastAsia"/>
          <w:sz w:val="28"/>
          <w:szCs w:val="28"/>
        </w:rPr>
        <w:t>集约化方向发展，以风险资产收益率为导向，积极主动进行资产业务结构调整，在不同经营环境条件下，根据各业务条线、各经营机构的风险资产收益率情况，适时调整业务结构，提高风险资产配置效率。</w:t>
      </w:r>
    </w:p>
    <w:p w:rsidR="008A61D5" w:rsidRDefault="008A61D5" w:rsidP="008A61D5">
      <w:pPr>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（四）优化考核体系和管理技术手段，完善经济资本价值管理</w:t>
      </w:r>
    </w:p>
    <w:p w:rsidR="008A61D5" w:rsidRDefault="008A61D5" w:rsidP="008A61D5">
      <w:pPr>
        <w:spacing w:line="500" w:lineRule="exact"/>
        <w:ind w:firstLineChars="200" w:firstLine="560"/>
      </w:pPr>
      <w:r>
        <w:rPr>
          <w:rFonts w:ascii="仿宋_GB2312" w:eastAsia="仿宋_GB2312" w:hAnsi="宋体" w:hint="eastAsia"/>
          <w:sz w:val="28"/>
          <w:szCs w:val="28"/>
        </w:rPr>
        <w:t>优化完善经济资本基础数据，完善经济资本计量和配置范围，</w:t>
      </w:r>
      <w:proofErr w:type="gramStart"/>
      <w:r>
        <w:rPr>
          <w:rFonts w:ascii="仿宋_GB2312" w:eastAsia="仿宋_GB2312" w:hAnsi="宋体" w:hint="eastAsia"/>
          <w:sz w:val="28"/>
          <w:szCs w:val="28"/>
        </w:rPr>
        <w:t>加快内评系统开发</w:t>
      </w:r>
      <w:proofErr w:type="gramEnd"/>
      <w:r>
        <w:rPr>
          <w:rFonts w:ascii="仿宋_GB2312" w:eastAsia="仿宋_GB2312" w:hAnsi="宋体" w:hint="eastAsia"/>
          <w:sz w:val="28"/>
          <w:szCs w:val="28"/>
        </w:rPr>
        <w:t>建设，逐步建立以内部评级法为基础的资本管理体系，从而进一步提高信用风险的计量与配置技术；持续优化考核体系、完善考核管理工作，提升经济资本的管理价值。</w:t>
      </w:r>
    </w:p>
    <w:sectPr w:rsidR="008A61D5" w:rsidSect="008A61D5">
      <w:footerReference w:type="default" r:id="rId13"/>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F76" w:rsidRDefault="00235F76" w:rsidP="00055FE4">
      <w:r>
        <w:separator/>
      </w:r>
    </w:p>
  </w:endnote>
  <w:endnote w:type="continuationSeparator" w:id="0">
    <w:p w:rsidR="00235F76" w:rsidRDefault="00235F76" w:rsidP="00055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5DD" w:rsidRDefault="00443049" w:rsidP="006B75A8">
    <w:pPr>
      <w:pStyle w:val="a6"/>
      <w:framePr w:wrap="around" w:vAnchor="text" w:hAnchor="margin" w:xAlign="center" w:y="1"/>
      <w:rPr>
        <w:rStyle w:val="a8"/>
      </w:rPr>
    </w:pPr>
    <w:r>
      <w:rPr>
        <w:rStyle w:val="a8"/>
      </w:rPr>
      <w:fldChar w:fldCharType="begin"/>
    </w:r>
    <w:r w:rsidR="008265DD">
      <w:rPr>
        <w:rStyle w:val="a8"/>
      </w:rPr>
      <w:instrText xml:space="preserve">PAGE  </w:instrText>
    </w:r>
    <w:r>
      <w:rPr>
        <w:rStyle w:val="a8"/>
      </w:rPr>
      <w:fldChar w:fldCharType="separate"/>
    </w:r>
    <w:r w:rsidR="008265DD">
      <w:rPr>
        <w:rStyle w:val="a8"/>
        <w:noProof/>
      </w:rPr>
      <w:t>59</w:t>
    </w:r>
    <w:r>
      <w:rPr>
        <w:rStyle w:val="a8"/>
      </w:rPr>
      <w:fldChar w:fldCharType="end"/>
    </w:r>
  </w:p>
  <w:p w:rsidR="008265DD" w:rsidRDefault="008265D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5DD" w:rsidRDefault="00443049" w:rsidP="006B75A8">
    <w:pPr>
      <w:pStyle w:val="a6"/>
      <w:framePr w:wrap="around" w:vAnchor="text" w:hAnchor="margin" w:xAlign="center" w:y="1"/>
      <w:rPr>
        <w:rStyle w:val="a8"/>
      </w:rPr>
    </w:pPr>
    <w:r>
      <w:rPr>
        <w:rStyle w:val="a8"/>
      </w:rPr>
      <w:fldChar w:fldCharType="begin"/>
    </w:r>
    <w:r w:rsidR="008265DD">
      <w:rPr>
        <w:rStyle w:val="a8"/>
      </w:rPr>
      <w:instrText xml:space="preserve">PAGE  </w:instrText>
    </w:r>
    <w:r>
      <w:rPr>
        <w:rStyle w:val="a8"/>
      </w:rPr>
      <w:fldChar w:fldCharType="separate"/>
    </w:r>
    <w:r w:rsidR="001034B7">
      <w:rPr>
        <w:rStyle w:val="a8"/>
        <w:noProof/>
      </w:rPr>
      <w:t>2</w:t>
    </w:r>
    <w:r>
      <w:rPr>
        <w:rStyle w:val="a8"/>
      </w:rPr>
      <w:fldChar w:fldCharType="end"/>
    </w:r>
  </w:p>
  <w:p w:rsidR="008265DD" w:rsidRDefault="008265D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5DD" w:rsidRDefault="00443049" w:rsidP="006B75A8">
    <w:pPr>
      <w:pStyle w:val="a6"/>
      <w:framePr w:wrap="around" w:vAnchor="text" w:hAnchor="margin" w:xAlign="center" w:y="1"/>
      <w:rPr>
        <w:rStyle w:val="a8"/>
      </w:rPr>
    </w:pPr>
    <w:r>
      <w:rPr>
        <w:rStyle w:val="a8"/>
      </w:rPr>
      <w:fldChar w:fldCharType="begin"/>
    </w:r>
    <w:r w:rsidR="008265DD">
      <w:rPr>
        <w:rStyle w:val="a8"/>
      </w:rPr>
      <w:instrText xml:space="preserve">PAGE  </w:instrText>
    </w:r>
    <w:r>
      <w:rPr>
        <w:rStyle w:val="a8"/>
      </w:rPr>
      <w:fldChar w:fldCharType="end"/>
    </w:r>
  </w:p>
  <w:p w:rsidR="008265DD" w:rsidRDefault="008265DD">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5DD" w:rsidRDefault="00443049" w:rsidP="006B75A8">
    <w:pPr>
      <w:pStyle w:val="a6"/>
      <w:framePr w:wrap="around" w:vAnchor="text" w:hAnchor="margin" w:xAlign="center" w:y="1"/>
      <w:rPr>
        <w:rStyle w:val="a8"/>
      </w:rPr>
    </w:pPr>
    <w:r>
      <w:rPr>
        <w:rStyle w:val="a8"/>
      </w:rPr>
      <w:fldChar w:fldCharType="begin"/>
    </w:r>
    <w:r w:rsidR="008265DD">
      <w:rPr>
        <w:rStyle w:val="a8"/>
      </w:rPr>
      <w:instrText xml:space="preserve">PAGE  </w:instrText>
    </w:r>
    <w:r>
      <w:rPr>
        <w:rStyle w:val="a8"/>
      </w:rPr>
      <w:fldChar w:fldCharType="separate"/>
    </w:r>
    <w:r w:rsidR="001034B7">
      <w:rPr>
        <w:rStyle w:val="a8"/>
        <w:noProof/>
      </w:rPr>
      <w:t>4</w:t>
    </w:r>
    <w:r>
      <w:rPr>
        <w:rStyle w:val="a8"/>
      </w:rPr>
      <w:fldChar w:fldCharType="end"/>
    </w:r>
  </w:p>
  <w:p w:rsidR="008265DD" w:rsidRDefault="008265DD">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5DD" w:rsidRDefault="00443049">
    <w:pPr>
      <w:pStyle w:val="a6"/>
      <w:jc w:val="center"/>
    </w:pPr>
    <w:fldSimple w:instr=" PAGE   \* MERGEFORMAT ">
      <w:r w:rsidR="001034B7" w:rsidRPr="001034B7">
        <w:rPr>
          <w:noProof/>
          <w:lang w:val="zh-CN"/>
        </w:rPr>
        <w:t>9</w:t>
      </w:r>
    </w:fldSimple>
  </w:p>
  <w:p w:rsidR="008265DD" w:rsidRDefault="008265D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F76" w:rsidRDefault="00235F76" w:rsidP="00055FE4">
      <w:r>
        <w:separator/>
      </w:r>
    </w:p>
  </w:footnote>
  <w:footnote w:type="continuationSeparator" w:id="0">
    <w:p w:rsidR="00235F76" w:rsidRDefault="00235F76" w:rsidP="00055F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822"/>
    <w:multiLevelType w:val="hybridMultilevel"/>
    <w:tmpl w:val="C1989F7A"/>
    <w:lvl w:ilvl="0" w:tplc="BC70BC6C">
      <w:start w:val="1"/>
      <w:numFmt w:val="chineseCountingThousand"/>
      <w:lvlText w:val="（%1）"/>
      <w:lvlJc w:val="left"/>
      <w:pPr>
        <w:ind w:left="980" w:hanging="42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9367CF"/>
    <w:multiLevelType w:val="hybridMultilevel"/>
    <w:tmpl w:val="037E6E80"/>
    <w:lvl w:ilvl="0" w:tplc="DF16FD14">
      <w:start w:val="1"/>
      <w:numFmt w:val="chineseCountingThousand"/>
      <w:lvlText w:val="（%1）"/>
      <w:lvlJc w:val="left"/>
      <w:pPr>
        <w:ind w:left="16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55795C"/>
    <w:multiLevelType w:val="hybridMultilevel"/>
    <w:tmpl w:val="88186AA4"/>
    <w:lvl w:ilvl="0" w:tplc="B1FA6F90">
      <w:start w:val="1"/>
      <w:numFmt w:val="chineseCountingThousand"/>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BE4FCC"/>
    <w:multiLevelType w:val="hybridMultilevel"/>
    <w:tmpl w:val="AFD2B5EE"/>
    <w:lvl w:ilvl="0" w:tplc="1EC27D84">
      <w:start w:val="1"/>
      <w:numFmt w:val="chineseCountingThousand"/>
      <w:suff w:val="noth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1D0D63"/>
    <w:multiLevelType w:val="hybridMultilevel"/>
    <w:tmpl w:val="37BCAA68"/>
    <w:lvl w:ilvl="0" w:tplc="0302AB00">
      <w:start w:val="1"/>
      <w:numFmt w:val="decimal"/>
      <w:lvlText w:val="%1、"/>
      <w:lvlJc w:val="left"/>
      <w:pPr>
        <w:ind w:left="720" w:hanging="720"/>
      </w:pPr>
      <w:rPr>
        <w:rFonts w:hint="default"/>
      </w:rPr>
    </w:lvl>
    <w:lvl w:ilvl="1" w:tplc="04090019">
      <w:start w:val="1"/>
      <w:numFmt w:val="lowerLetter"/>
      <w:lvlText w:val="%2)"/>
      <w:lvlJc w:val="left"/>
      <w:pPr>
        <w:tabs>
          <w:tab w:val="num" w:pos="840"/>
        </w:tabs>
        <w:ind w:left="840" w:hanging="420"/>
      </w:pPr>
      <w:rPr>
        <w:rFonts w:hint="default"/>
      </w:rPr>
    </w:lvl>
    <w:lvl w:ilvl="2" w:tplc="C478B256">
      <w:start w:val="1"/>
      <w:numFmt w:val="decimal"/>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54B46"/>
    <w:multiLevelType w:val="hybridMultilevel"/>
    <w:tmpl w:val="D2F835E2"/>
    <w:lvl w:ilvl="0" w:tplc="2C7040FE">
      <w:start w:val="1"/>
      <w:numFmt w:val="decimal"/>
      <w:lvlText w:val="%1."/>
      <w:lvlJc w:val="left"/>
      <w:pPr>
        <w:ind w:left="9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2240" w:hanging="4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925479C"/>
    <w:multiLevelType w:val="hybridMultilevel"/>
    <w:tmpl w:val="EC64404E"/>
    <w:lvl w:ilvl="0" w:tplc="80FA7B2E">
      <w:start w:val="7"/>
      <w:numFmt w:val="japaneseCounting"/>
      <w:lvlText w:val="第%1章"/>
      <w:lvlJc w:val="left"/>
      <w:pPr>
        <w:tabs>
          <w:tab w:val="num" w:pos="1275"/>
        </w:tabs>
        <w:ind w:left="1275" w:hanging="1275"/>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B8A243E"/>
    <w:multiLevelType w:val="hybridMultilevel"/>
    <w:tmpl w:val="9438D5D4"/>
    <w:lvl w:ilvl="0" w:tplc="AE06C5C8">
      <w:start w:val="1"/>
      <w:numFmt w:val="japaneseCounting"/>
      <w:lvlText w:val="第%1条"/>
      <w:lvlJc w:val="left"/>
      <w:pPr>
        <w:ind w:left="1620" w:hanging="720"/>
      </w:pPr>
      <w:rPr>
        <w:rFonts w:ascii="宋体" w:eastAsia="宋体" w:hint="eastAsia"/>
        <w:b/>
        <w:sz w:val="24"/>
        <w:szCs w:val="28"/>
        <w:lang w:val="en-US"/>
      </w:rPr>
    </w:lvl>
    <w:lvl w:ilvl="1" w:tplc="C95A1174">
      <w:start w:val="1"/>
      <w:numFmt w:val="chineseCountingThousand"/>
      <w:lvlText w:val="（%2）"/>
      <w:lvlJc w:val="left"/>
      <w:pPr>
        <w:ind w:left="1157" w:hanging="420"/>
      </w:pPr>
      <w:rPr>
        <w:lang w:val="en-US"/>
      </w:rPr>
    </w:lvl>
    <w:lvl w:ilvl="2" w:tplc="0409001B">
      <w:start w:val="1"/>
      <w:numFmt w:val="lowerRoman"/>
      <w:lvlText w:val="%3."/>
      <w:lvlJc w:val="right"/>
      <w:pPr>
        <w:ind w:left="1577" w:hanging="420"/>
      </w:pPr>
    </w:lvl>
    <w:lvl w:ilvl="3" w:tplc="B3E6351A">
      <w:start w:val="1"/>
      <w:numFmt w:val="japaneseCounting"/>
      <w:lvlText w:val="（%4）"/>
      <w:lvlJc w:val="left"/>
      <w:pPr>
        <w:ind w:left="2837" w:hanging="12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B972280"/>
    <w:multiLevelType w:val="hybridMultilevel"/>
    <w:tmpl w:val="6EBEF84E"/>
    <w:lvl w:ilvl="0" w:tplc="FB7A2C78">
      <w:start w:val="1"/>
      <w:numFmt w:val="chineseCountingThousand"/>
      <w:lvlText w:val="（%1）"/>
      <w:lvlJc w:val="left"/>
      <w:pPr>
        <w:ind w:left="420" w:hanging="42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E7A645C"/>
    <w:multiLevelType w:val="hybridMultilevel"/>
    <w:tmpl w:val="F7840F54"/>
    <w:lvl w:ilvl="0" w:tplc="84DC50CC">
      <w:start w:val="1"/>
      <w:numFmt w:val="chineseCountingThousand"/>
      <w:suff w:val="nothing"/>
      <w:lvlText w:val="%1、"/>
      <w:lvlJc w:val="left"/>
      <w:pPr>
        <w:ind w:left="0" w:firstLine="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F2B75C0"/>
    <w:multiLevelType w:val="hybridMultilevel"/>
    <w:tmpl w:val="B692B440"/>
    <w:lvl w:ilvl="0" w:tplc="FB7A2C78">
      <w:start w:val="1"/>
      <w:numFmt w:val="chineseCountingThousand"/>
      <w:lvlText w:val="（%1）"/>
      <w:lvlJc w:val="left"/>
      <w:pPr>
        <w:ind w:left="42" w:hanging="420"/>
      </w:pPr>
      <w:rPr>
        <w:lang w:val="en-US"/>
      </w:rPr>
    </w:lvl>
    <w:lvl w:ilvl="1" w:tplc="1C9CD586">
      <w:start w:val="1"/>
      <w:numFmt w:val="lowerLetter"/>
      <w:lvlText w:val="%2)"/>
      <w:lvlJc w:val="left"/>
      <w:pPr>
        <w:ind w:left="462" w:hanging="420"/>
      </w:pPr>
      <w:rPr>
        <w:color w:val="auto"/>
      </w:rPr>
    </w:lvl>
    <w:lvl w:ilvl="2" w:tplc="0409001B">
      <w:start w:val="1"/>
      <w:numFmt w:val="lowerRoman"/>
      <w:lvlText w:val="%3."/>
      <w:lvlJc w:val="right"/>
      <w:pPr>
        <w:ind w:left="882" w:hanging="420"/>
      </w:pPr>
    </w:lvl>
    <w:lvl w:ilvl="3" w:tplc="0409000F">
      <w:start w:val="1"/>
      <w:numFmt w:val="decimal"/>
      <w:lvlText w:val="%4."/>
      <w:lvlJc w:val="left"/>
      <w:pPr>
        <w:ind w:left="1302" w:hanging="420"/>
      </w:pPr>
    </w:lvl>
    <w:lvl w:ilvl="4" w:tplc="04090019">
      <w:start w:val="1"/>
      <w:numFmt w:val="lowerLetter"/>
      <w:lvlText w:val="%5)"/>
      <w:lvlJc w:val="left"/>
      <w:pPr>
        <w:ind w:left="1722" w:hanging="4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FC21B8F"/>
    <w:multiLevelType w:val="hybridMultilevel"/>
    <w:tmpl w:val="037E6E80"/>
    <w:lvl w:ilvl="0" w:tplc="DF16FD14">
      <w:start w:val="1"/>
      <w:numFmt w:val="chineseCountingThousand"/>
      <w:lvlText w:val="（%1）"/>
      <w:lvlJc w:val="left"/>
      <w:pPr>
        <w:ind w:left="16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0840E54"/>
    <w:multiLevelType w:val="hybridMultilevel"/>
    <w:tmpl w:val="120252EC"/>
    <w:lvl w:ilvl="0" w:tplc="8FAA14EE">
      <w:start w:val="1"/>
      <w:numFmt w:val="chineseCountingThousand"/>
      <w:suff w:val="nothing"/>
      <w:lvlText w:val="（%1）"/>
      <w:lvlJc w:val="left"/>
      <w:pPr>
        <w:ind w:left="0" w:firstLine="56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22F2486C"/>
    <w:multiLevelType w:val="hybridMultilevel"/>
    <w:tmpl w:val="F7840F54"/>
    <w:lvl w:ilvl="0" w:tplc="84DC50CC">
      <w:start w:val="1"/>
      <w:numFmt w:val="chineseCountingThousand"/>
      <w:suff w:val="nothing"/>
      <w:lvlText w:val="%1、"/>
      <w:lvlJc w:val="left"/>
      <w:pPr>
        <w:ind w:left="0" w:firstLine="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6067323"/>
    <w:multiLevelType w:val="hybridMultilevel"/>
    <w:tmpl w:val="F7840F54"/>
    <w:lvl w:ilvl="0" w:tplc="84DC50CC">
      <w:start w:val="1"/>
      <w:numFmt w:val="chineseCountingThousand"/>
      <w:suff w:val="nothing"/>
      <w:lvlText w:val="%1、"/>
      <w:lvlJc w:val="left"/>
      <w:pPr>
        <w:ind w:left="0" w:firstLine="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765043B"/>
    <w:multiLevelType w:val="hybridMultilevel"/>
    <w:tmpl w:val="F7840F54"/>
    <w:lvl w:ilvl="0" w:tplc="84DC50CC">
      <w:start w:val="1"/>
      <w:numFmt w:val="chineseCountingThousand"/>
      <w:suff w:val="nothing"/>
      <w:lvlText w:val="%1、"/>
      <w:lvlJc w:val="left"/>
      <w:pPr>
        <w:ind w:left="0" w:firstLine="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4562D2"/>
    <w:multiLevelType w:val="hybridMultilevel"/>
    <w:tmpl w:val="60147472"/>
    <w:lvl w:ilvl="0" w:tplc="1EC27D84">
      <w:start w:val="1"/>
      <w:numFmt w:val="chineseCountingThousand"/>
      <w:suff w:val="noth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3D24DB9"/>
    <w:multiLevelType w:val="hybridMultilevel"/>
    <w:tmpl w:val="88186AA4"/>
    <w:lvl w:ilvl="0" w:tplc="B1FA6F90">
      <w:start w:val="1"/>
      <w:numFmt w:val="chineseCountingThousand"/>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6162A1C"/>
    <w:multiLevelType w:val="hybridMultilevel"/>
    <w:tmpl w:val="64465D74"/>
    <w:lvl w:ilvl="0" w:tplc="C354E968">
      <w:start w:val="1"/>
      <w:numFmt w:val="chineseCountingThousand"/>
      <w:lvlText w:val="（%1）"/>
      <w:lvlJc w:val="left"/>
      <w:pPr>
        <w:ind w:left="980" w:hanging="42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61B67B7"/>
    <w:multiLevelType w:val="hybridMultilevel"/>
    <w:tmpl w:val="AFD2B5EE"/>
    <w:lvl w:ilvl="0" w:tplc="1EC27D84">
      <w:start w:val="1"/>
      <w:numFmt w:val="chineseCountingThousand"/>
      <w:suff w:val="noth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63C5E8C"/>
    <w:multiLevelType w:val="hybridMultilevel"/>
    <w:tmpl w:val="E0BC3C2A"/>
    <w:lvl w:ilvl="0" w:tplc="1EC27D84">
      <w:start w:val="1"/>
      <w:numFmt w:val="chineseCountingThousand"/>
      <w:suff w:val="noth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C03703A"/>
    <w:multiLevelType w:val="hybridMultilevel"/>
    <w:tmpl w:val="6A06C1CE"/>
    <w:lvl w:ilvl="0" w:tplc="B1FA6F90">
      <w:start w:val="1"/>
      <w:numFmt w:val="chineseCountingThousand"/>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00127DF"/>
    <w:multiLevelType w:val="hybridMultilevel"/>
    <w:tmpl w:val="F7840F54"/>
    <w:lvl w:ilvl="0" w:tplc="84DC50CC">
      <w:start w:val="1"/>
      <w:numFmt w:val="chineseCountingThousand"/>
      <w:suff w:val="nothing"/>
      <w:lvlText w:val="%1、"/>
      <w:lvlJc w:val="left"/>
      <w:pPr>
        <w:ind w:left="0" w:firstLine="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0AF3753"/>
    <w:multiLevelType w:val="hybridMultilevel"/>
    <w:tmpl w:val="F7840F54"/>
    <w:lvl w:ilvl="0" w:tplc="84DC50CC">
      <w:start w:val="1"/>
      <w:numFmt w:val="chineseCountingThousand"/>
      <w:suff w:val="nothing"/>
      <w:lvlText w:val="%1、"/>
      <w:lvlJc w:val="left"/>
      <w:pPr>
        <w:ind w:left="0" w:firstLine="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0AF4A1E"/>
    <w:multiLevelType w:val="hybridMultilevel"/>
    <w:tmpl w:val="2C541EE4"/>
    <w:lvl w:ilvl="0" w:tplc="F98AC186">
      <w:start w:val="1"/>
      <w:numFmt w:val="chineseCountingThousand"/>
      <w:suff w:val="nothing"/>
      <w:lvlText w:val="%1、"/>
      <w:lvlJc w:val="left"/>
      <w:pPr>
        <w:ind w:left="0" w:firstLine="0"/>
      </w:pPr>
      <w:rPr>
        <w:rFonts w:hint="default"/>
        <w:lang w:val="en-US"/>
      </w:rPr>
    </w:lvl>
    <w:lvl w:ilvl="1" w:tplc="8E0274E6"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1081B11"/>
    <w:multiLevelType w:val="hybridMultilevel"/>
    <w:tmpl w:val="C9A66540"/>
    <w:lvl w:ilvl="0" w:tplc="DF16FD14">
      <w:start w:val="1"/>
      <w:numFmt w:val="chineseCountingThousand"/>
      <w:lvlText w:val="（%1）"/>
      <w:lvlJc w:val="left"/>
      <w:pPr>
        <w:ind w:left="9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2240" w:hanging="4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1773121"/>
    <w:multiLevelType w:val="hybridMultilevel"/>
    <w:tmpl w:val="F7840F54"/>
    <w:lvl w:ilvl="0" w:tplc="84DC50CC">
      <w:start w:val="1"/>
      <w:numFmt w:val="chineseCountingThousand"/>
      <w:suff w:val="nothing"/>
      <w:lvlText w:val="%1、"/>
      <w:lvlJc w:val="left"/>
      <w:pPr>
        <w:ind w:left="0" w:firstLine="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2171EC2"/>
    <w:multiLevelType w:val="hybridMultilevel"/>
    <w:tmpl w:val="4F6C4742"/>
    <w:lvl w:ilvl="0" w:tplc="FB7A2C78">
      <w:start w:val="1"/>
      <w:numFmt w:val="chineseCountingThousand"/>
      <w:lvlText w:val="（%1）"/>
      <w:lvlJc w:val="left"/>
      <w:pPr>
        <w:ind w:left="42" w:hanging="420"/>
      </w:pPr>
      <w:rPr>
        <w:lang w:val="en-US"/>
      </w:rPr>
    </w:lvl>
    <w:lvl w:ilvl="1" w:tplc="1C9CD586">
      <w:start w:val="1"/>
      <w:numFmt w:val="lowerLetter"/>
      <w:lvlText w:val="%2)"/>
      <w:lvlJc w:val="left"/>
      <w:pPr>
        <w:ind w:left="462" w:hanging="420"/>
      </w:pPr>
      <w:rPr>
        <w:color w:val="auto"/>
      </w:rPr>
    </w:lvl>
    <w:lvl w:ilvl="2" w:tplc="0409001B">
      <w:start w:val="1"/>
      <w:numFmt w:val="lowerRoman"/>
      <w:lvlText w:val="%3."/>
      <w:lvlJc w:val="right"/>
      <w:pPr>
        <w:ind w:left="882" w:hanging="420"/>
      </w:pPr>
    </w:lvl>
    <w:lvl w:ilvl="3" w:tplc="0409000F">
      <w:start w:val="1"/>
      <w:numFmt w:val="decimal"/>
      <w:lvlText w:val="%4."/>
      <w:lvlJc w:val="left"/>
      <w:pPr>
        <w:ind w:left="1302" w:hanging="420"/>
      </w:pPr>
    </w:lvl>
    <w:lvl w:ilvl="4" w:tplc="04090019">
      <w:start w:val="1"/>
      <w:numFmt w:val="lowerLetter"/>
      <w:lvlText w:val="%5)"/>
      <w:lvlJc w:val="left"/>
      <w:pPr>
        <w:ind w:left="1722" w:hanging="4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5840F2C"/>
    <w:multiLevelType w:val="hybridMultilevel"/>
    <w:tmpl w:val="3942E194"/>
    <w:lvl w:ilvl="0" w:tplc="DF16FD14">
      <w:start w:val="1"/>
      <w:numFmt w:val="chineseCountingThousand"/>
      <w:lvlText w:val="（%1）"/>
      <w:lvlJc w:val="left"/>
      <w:pPr>
        <w:ind w:left="9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BD1615D"/>
    <w:multiLevelType w:val="hybridMultilevel"/>
    <w:tmpl w:val="037E6E80"/>
    <w:lvl w:ilvl="0" w:tplc="DF16FD14">
      <w:start w:val="1"/>
      <w:numFmt w:val="chineseCountingThousand"/>
      <w:lvlText w:val="（%1）"/>
      <w:lvlJc w:val="left"/>
      <w:pPr>
        <w:ind w:left="16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F6634BF"/>
    <w:multiLevelType w:val="hybridMultilevel"/>
    <w:tmpl w:val="7CA0A1F8"/>
    <w:lvl w:ilvl="0" w:tplc="B1FA6F90">
      <w:start w:val="1"/>
      <w:numFmt w:val="chineseCountingThousand"/>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147484B"/>
    <w:multiLevelType w:val="hybridMultilevel"/>
    <w:tmpl w:val="3AAC2DB0"/>
    <w:lvl w:ilvl="0" w:tplc="DF16FD14">
      <w:start w:val="1"/>
      <w:numFmt w:val="chineseCountingThousand"/>
      <w:lvlText w:val="（%1）"/>
      <w:lvlJc w:val="left"/>
      <w:pPr>
        <w:ind w:left="9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2B8274A"/>
    <w:multiLevelType w:val="hybridMultilevel"/>
    <w:tmpl w:val="2A8EE212"/>
    <w:lvl w:ilvl="0" w:tplc="1EC27D84">
      <w:start w:val="1"/>
      <w:numFmt w:val="chineseCountingThousand"/>
      <w:suff w:val="noth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895115F"/>
    <w:multiLevelType w:val="hybridMultilevel"/>
    <w:tmpl w:val="F7840F54"/>
    <w:lvl w:ilvl="0" w:tplc="84DC50CC">
      <w:start w:val="1"/>
      <w:numFmt w:val="chineseCountingThousand"/>
      <w:suff w:val="nothing"/>
      <w:lvlText w:val="%1、"/>
      <w:lvlJc w:val="left"/>
      <w:pPr>
        <w:ind w:left="0" w:firstLine="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589E6CF6"/>
    <w:multiLevelType w:val="hybridMultilevel"/>
    <w:tmpl w:val="8F2294C4"/>
    <w:lvl w:ilvl="0" w:tplc="4B1A9AE4">
      <w:start w:val="1"/>
      <w:numFmt w:val="chineseCountingThousand"/>
      <w:suff w:val="nothing"/>
      <w:lvlText w:val="%1、"/>
      <w:lvlJc w:val="left"/>
      <w:pPr>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5967112F"/>
    <w:multiLevelType w:val="hybridMultilevel"/>
    <w:tmpl w:val="F7840F54"/>
    <w:lvl w:ilvl="0" w:tplc="84DC50CC">
      <w:start w:val="1"/>
      <w:numFmt w:val="chineseCountingThousand"/>
      <w:suff w:val="nothing"/>
      <w:lvlText w:val="%1、"/>
      <w:lvlJc w:val="left"/>
      <w:pPr>
        <w:ind w:left="0" w:firstLine="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5EE83BC7"/>
    <w:multiLevelType w:val="hybridMultilevel"/>
    <w:tmpl w:val="24B4610C"/>
    <w:lvl w:ilvl="0" w:tplc="1EC27D84">
      <w:start w:val="1"/>
      <w:numFmt w:val="chineseCountingThousand"/>
      <w:suff w:val="noth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73C230E"/>
    <w:multiLevelType w:val="hybridMultilevel"/>
    <w:tmpl w:val="0096F844"/>
    <w:lvl w:ilvl="0" w:tplc="DF16FD14">
      <w:start w:val="1"/>
      <w:numFmt w:val="chineseCountingThousand"/>
      <w:lvlText w:val="（%1）"/>
      <w:lvlJc w:val="left"/>
      <w:pPr>
        <w:ind w:left="16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9A9387B"/>
    <w:multiLevelType w:val="hybridMultilevel"/>
    <w:tmpl w:val="F7840F54"/>
    <w:lvl w:ilvl="0" w:tplc="84DC50CC">
      <w:start w:val="1"/>
      <w:numFmt w:val="chineseCountingThousand"/>
      <w:suff w:val="nothing"/>
      <w:lvlText w:val="%1、"/>
      <w:lvlJc w:val="left"/>
      <w:pPr>
        <w:ind w:left="0" w:firstLine="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6CD5057E"/>
    <w:multiLevelType w:val="hybridMultilevel"/>
    <w:tmpl w:val="C3ECE33C"/>
    <w:lvl w:ilvl="0" w:tplc="DF16FD14">
      <w:start w:val="1"/>
      <w:numFmt w:val="chineseCountingThousand"/>
      <w:lvlText w:val="（%1）"/>
      <w:lvlJc w:val="left"/>
      <w:pPr>
        <w:ind w:left="9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6F7E7B9C"/>
    <w:multiLevelType w:val="hybridMultilevel"/>
    <w:tmpl w:val="B73AA856"/>
    <w:lvl w:ilvl="0" w:tplc="7DACB50A">
      <w:start w:val="1"/>
      <w:numFmt w:val="decimal"/>
      <w:lvlText w:val="%1、"/>
      <w:lvlJc w:val="left"/>
      <w:pPr>
        <w:tabs>
          <w:tab w:val="num" w:pos="1284"/>
        </w:tabs>
        <w:ind w:left="1284"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05F34CF"/>
    <w:multiLevelType w:val="hybridMultilevel"/>
    <w:tmpl w:val="F7840F54"/>
    <w:lvl w:ilvl="0" w:tplc="84DC50CC">
      <w:start w:val="1"/>
      <w:numFmt w:val="chineseCountingThousand"/>
      <w:suff w:val="nothing"/>
      <w:lvlText w:val="%1、"/>
      <w:lvlJc w:val="left"/>
      <w:pPr>
        <w:ind w:left="0" w:firstLine="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0A53FB7"/>
    <w:multiLevelType w:val="hybridMultilevel"/>
    <w:tmpl w:val="708662FE"/>
    <w:lvl w:ilvl="0" w:tplc="DF16FD14">
      <w:start w:val="1"/>
      <w:numFmt w:val="chineseCountingThousand"/>
      <w:lvlText w:val="（%1）"/>
      <w:lvlJc w:val="left"/>
      <w:pPr>
        <w:ind w:left="9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34E4C89"/>
    <w:multiLevelType w:val="hybridMultilevel"/>
    <w:tmpl w:val="E592B84A"/>
    <w:lvl w:ilvl="0" w:tplc="96F00282">
      <w:start w:val="1"/>
      <w:numFmt w:val="japaneseCounting"/>
      <w:lvlText w:val="第%1条"/>
      <w:lvlJc w:val="left"/>
      <w:pPr>
        <w:ind w:left="1620" w:hanging="720"/>
      </w:pPr>
      <w:rPr>
        <w:rFonts w:ascii="宋体" w:eastAsia="宋体" w:hint="eastAsia"/>
        <w:b/>
        <w:sz w:val="24"/>
        <w:szCs w:val="28"/>
        <w:lang w:val="en-US"/>
      </w:rPr>
    </w:lvl>
    <w:lvl w:ilvl="1" w:tplc="C95A1174">
      <w:start w:val="1"/>
      <w:numFmt w:val="chineseCountingThousand"/>
      <w:lvlText w:val="（%2）"/>
      <w:lvlJc w:val="left"/>
      <w:pPr>
        <w:ind w:left="1157" w:hanging="420"/>
      </w:pPr>
      <w:rPr>
        <w:lang w:val="en-US"/>
      </w:rPr>
    </w:lvl>
    <w:lvl w:ilvl="2" w:tplc="0409001B">
      <w:start w:val="1"/>
      <w:numFmt w:val="lowerRoman"/>
      <w:lvlText w:val="%3."/>
      <w:lvlJc w:val="right"/>
      <w:pPr>
        <w:ind w:left="1577" w:hanging="420"/>
      </w:pPr>
    </w:lvl>
    <w:lvl w:ilvl="3" w:tplc="B3E6351A">
      <w:start w:val="1"/>
      <w:numFmt w:val="japaneseCounting"/>
      <w:lvlText w:val="（%4）"/>
      <w:lvlJc w:val="left"/>
      <w:pPr>
        <w:ind w:left="2837" w:hanging="12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50E7CB7"/>
    <w:multiLevelType w:val="hybridMultilevel"/>
    <w:tmpl w:val="037E6E80"/>
    <w:lvl w:ilvl="0" w:tplc="DF16FD14">
      <w:start w:val="1"/>
      <w:numFmt w:val="chineseCountingThousand"/>
      <w:lvlText w:val="（%1）"/>
      <w:lvlJc w:val="left"/>
      <w:pPr>
        <w:ind w:left="16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A585D86"/>
    <w:multiLevelType w:val="hybridMultilevel"/>
    <w:tmpl w:val="C4823F24"/>
    <w:lvl w:ilvl="0" w:tplc="DF16FD14">
      <w:start w:val="1"/>
      <w:numFmt w:val="chineseCountingThousand"/>
      <w:lvlText w:val="（%1）"/>
      <w:lvlJc w:val="left"/>
      <w:pPr>
        <w:ind w:left="16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7A7071D3"/>
    <w:multiLevelType w:val="hybridMultilevel"/>
    <w:tmpl w:val="ED069620"/>
    <w:lvl w:ilvl="0" w:tplc="DF16FD14">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DF16FD14">
      <w:start w:val="1"/>
      <w:numFmt w:val="chineseCountingThousand"/>
      <w:lvlText w:val="（%4）"/>
      <w:lvlJc w:val="left"/>
      <w:pPr>
        <w:ind w:left="988" w:hanging="420"/>
      </w:pPr>
    </w:lvl>
    <w:lvl w:ilvl="4" w:tplc="BA3C248A">
      <w:start w:val="2"/>
      <w:numFmt w:val="japaneseCounting"/>
      <w:lvlText w:val="（%5）"/>
      <w:lvlJc w:val="left"/>
      <w:pPr>
        <w:tabs>
          <w:tab w:val="num" w:pos="2535"/>
        </w:tabs>
        <w:ind w:left="2535" w:hanging="855"/>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4"/>
  </w:num>
  <w:num w:numId="2">
    <w:abstractNumId w:val="3"/>
  </w:num>
  <w:num w:numId="3">
    <w:abstractNumId w:val="17"/>
  </w:num>
  <w:num w:numId="4">
    <w:abstractNumId w:val="22"/>
  </w:num>
  <w:num w:numId="5">
    <w:abstractNumId w:val="23"/>
  </w:num>
  <w:num w:numId="6">
    <w:abstractNumId w:val="35"/>
  </w:num>
  <w:num w:numId="7">
    <w:abstractNumId w:val="41"/>
  </w:num>
  <w:num w:numId="8">
    <w:abstractNumId w:val="13"/>
  </w:num>
  <w:num w:numId="9">
    <w:abstractNumId w:val="19"/>
  </w:num>
  <w:num w:numId="10">
    <w:abstractNumId w:val="16"/>
  </w:num>
  <w:num w:numId="11">
    <w:abstractNumId w:val="26"/>
  </w:num>
  <w:num w:numId="12">
    <w:abstractNumId w:val="14"/>
  </w:num>
  <w:num w:numId="13">
    <w:abstractNumId w:val="33"/>
  </w:num>
  <w:num w:numId="14">
    <w:abstractNumId w:val="38"/>
  </w:num>
  <w:num w:numId="15">
    <w:abstractNumId w:val="15"/>
  </w:num>
  <w:num w:numId="16">
    <w:abstractNumId w:val="24"/>
  </w:num>
  <w:num w:numId="17">
    <w:abstractNumId w:val="9"/>
  </w:num>
  <w:num w:numId="18">
    <w:abstractNumId w:val="36"/>
  </w:num>
  <w:num w:numId="19">
    <w:abstractNumId w:val="20"/>
  </w:num>
  <w:num w:numId="20">
    <w:abstractNumId w:val="32"/>
  </w:num>
  <w:num w:numId="21">
    <w:abstractNumId w:val="21"/>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4"/>
  </w:num>
  <w:num w:numId="45">
    <w:abstractNumId w:val="7"/>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0"/>
  </w:num>
  <w:num w:numId="49">
    <w:abstractNumId w:val="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16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4DF1"/>
    <w:rsid w:val="00002A90"/>
    <w:rsid w:val="00032A22"/>
    <w:rsid w:val="00050909"/>
    <w:rsid w:val="00050E3E"/>
    <w:rsid w:val="00055FE4"/>
    <w:rsid w:val="000927FA"/>
    <w:rsid w:val="000A7900"/>
    <w:rsid w:val="000D006D"/>
    <w:rsid w:val="000D07E7"/>
    <w:rsid w:val="000D6F8E"/>
    <w:rsid w:val="000E10A4"/>
    <w:rsid w:val="001034B7"/>
    <w:rsid w:val="00137A4D"/>
    <w:rsid w:val="00137EA3"/>
    <w:rsid w:val="001434F7"/>
    <w:rsid w:val="001569DF"/>
    <w:rsid w:val="00187F42"/>
    <w:rsid w:val="001A062D"/>
    <w:rsid w:val="001A63E0"/>
    <w:rsid w:val="001C068C"/>
    <w:rsid w:val="001D1BA6"/>
    <w:rsid w:val="00217A8A"/>
    <w:rsid w:val="00231DCD"/>
    <w:rsid w:val="00235F76"/>
    <w:rsid w:val="00246775"/>
    <w:rsid w:val="0025138F"/>
    <w:rsid w:val="002605B0"/>
    <w:rsid w:val="002612EF"/>
    <w:rsid w:val="00274E04"/>
    <w:rsid w:val="00275AA7"/>
    <w:rsid w:val="00286815"/>
    <w:rsid w:val="002B38EA"/>
    <w:rsid w:val="002B5FAA"/>
    <w:rsid w:val="002C65D4"/>
    <w:rsid w:val="002D4DFF"/>
    <w:rsid w:val="002D757A"/>
    <w:rsid w:val="00316FF9"/>
    <w:rsid w:val="00362056"/>
    <w:rsid w:val="003B01F9"/>
    <w:rsid w:val="003C0357"/>
    <w:rsid w:val="003F03AF"/>
    <w:rsid w:val="003F62DE"/>
    <w:rsid w:val="003F6B87"/>
    <w:rsid w:val="00437BB6"/>
    <w:rsid w:val="004422D9"/>
    <w:rsid w:val="00443049"/>
    <w:rsid w:val="004524C7"/>
    <w:rsid w:val="00475198"/>
    <w:rsid w:val="00480B45"/>
    <w:rsid w:val="00485A5D"/>
    <w:rsid w:val="004869C4"/>
    <w:rsid w:val="004973D4"/>
    <w:rsid w:val="004A25F2"/>
    <w:rsid w:val="004F31FC"/>
    <w:rsid w:val="00535FAC"/>
    <w:rsid w:val="00560AFA"/>
    <w:rsid w:val="005612EE"/>
    <w:rsid w:val="00581652"/>
    <w:rsid w:val="00591427"/>
    <w:rsid w:val="0059684F"/>
    <w:rsid w:val="005A4CFD"/>
    <w:rsid w:val="005B65C0"/>
    <w:rsid w:val="005B6FF3"/>
    <w:rsid w:val="005C4F80"/>
    <w:rsid w:val="006303A6"/>
    <w:rsid w:val="006613E2"/>
    <w:rsid w:val="006678A1"/>
    <w:rsid w:val="0068161F"/>
    <w:rsid w:val="00695554"/>
    <w:rsid w:val="006B247E"/>
    <w:rsid w:val="006B75A8"/>
    <w:rsid w:val="006D70E0"/>
    <w:rsid w:val="006E17D7"/>
    <w:rsid w:val="006E26ED"/>
    <w:rsid w:val="006E28BB"/>
    <w:rsid w:val="006F3613"/>
    <w:rsid w:val="007052F3"/>
    <w:rsid w:val="00715ACF"/>
    <w:rsid w:val="00770BE2"/>
    <w:rsid w:val="007800CE"/>
    <w:rsid w:val="007C2AF7"/>
    <w:rsid w:val="007C7121"/>
    <w:rsid w:val="007D1C28"/>
    <w:rsid w:val="007F48F9"/>
    <w:rsid w:val="007F7BA6"/>
    <w:rsid w:val="008030F5"/>
    <w:rsid w:val="00807DEF"/>
    <w:rsid w:val="008265DD"/>
    <w:rsid w:val="00827995"/>
    <w:rsid w:val="0083240D"/>
    <w:rsid w:val="0084304C"/>
    <w:rsid w:val="008653EE"/>
    <w:rsid w:val="00866DEF"/>
    <w:rsid w:val="008749FF"/>
    <w:rsid w:val="00880EB5"/>
    <w:rsid w:val="0088485A"/>
    <w:rsid w:val="00896290"/>
    <w:rsid w:val="008A61D5"/>
    <w:rsid w:val="008E038B"/>
    <w:rsid w:val="008F69E4"/>
    <w:rsid w:val="009048F1"/>
    <w:rsid w:val="009057AE"/>
    <w:rsid w:val="009132ED"/>
    <w:rsid w:val="00920962"/>
    <w:rsid w:val="009310A0"/>
    <w:rsid w:val="009347DB"/>
    <w:rsid w:val="00935648"/>
    <w:rsid w:val="00946DFA"/>
    <w:rsid w:val="00947FC7"/>
    <w:rsid w:val="00953D49"/>
    <w:rsid w:val="0096414D"/>
    <w:rsid w:val="0098366F"/>
    <w:rsid w:val="009A122A"/>
    <w:rsid w:val="009B4014"/>
    <w:rsid w:val="009B56E6"/>
    <w:rsid w:val="009F58C9"/>
    <w:rsid w:val="009F6504"/>
    <w:rsid w:val="00A012B1"/>
    <w:rsid w:val="00A16C95"/>
    <w:rsid w:val="00A22A7E"/>
    <w:rsid w:val="00A30D48"/>
    <w:rsid w:val="00A31864"/>
    <w:rsid w:val="00A63809"/>
    <w:rsid w:val="00A71669"/>
    <w:rsid w:val="00AC17C7"/>
    <w:rsid w:val="00AE453D"/>
    <w:rsid w:val="00AF5BCB"/>
    <w:rsid w:val="00B00D01"/>
    <w:rsid w:val="00B22595"/>
    <w:rsid w:val="00B3595B"/>
    <w:rsid w:val="00B36C3B"/>
    <w:rsid w:val="00B608F3"/>
    <w:rsid w:val="00B65970"/>
    <w:rsid w:val="00B84599"/>
    <w:rsid w:val="00BB1D1C"/>
    <w:rsid w:val="00BB752E"/>
    <w:rsid w:val="00C04BDC"/>
    <w:rsid w:val="00C1312F"/>
    <w:rsid w:val="00C3625A"/>
    <w:rsid w:val="00C533FD"/>
    <w:rsid w:val="00C719B6"/>
    <w:rsid w:val="00C75C51"/>
    <w:rsid w:val="00C86285"/>
    <w:rsid w:val="00C94ACA"/>
    <w:rsid w:val="00CA01C9"/>
    <w:rsid w:val="00CB2FB3"/>
    <w:rsid w:val="00CB52C8"/>
    <w:rsid w:val="00CE4E34"/>
    <w:rsid w:val="00CF1520"/>
    <w:rsid w:val="00CF1CC7"/>
    <w:rsid w:val="00D04272"/>
    <w:rsid w:val="00D0760A"/>
    <w:rsid w:val="00D325EB"/>
    <w:rsid w:val="00D468A9"/>
    <w:rsid w:val="00D47CAE"/>
    <w:rsid w:val="00D53C7A"/>
    <w:rsid w:val="00D54A51"/>
    <w:rsid w:val="00D75F5E"/>
    <w:rsid w:val="00DA1C53"/>
    <w:rsid w:val="00DA3D87"/>
    <w:rsid w:val="00DB4DF1"/>
    <w:rsid w:val="00DC1E99"/>
    <w:rsid w:val="00DC4FB4"/>
    <w:rsid w:val="00DF1182"/>
    <w:rsid w:val="00E46734"/>
    <w:rsid w:val="00E61919"/>
    <w:rsid w:val="00E77999"/>
    <w:rsid w:val="00E84716"/>
    <w:rsid w:val="00EB29D3"/>
    <w:rsid w:val="00EB6CC7"/>
    <w:rsid w:val="00EC724F"/>
    <w:rsid w:val="00ED7C6C"/>
    <w:rsid w:val="00ED7EA5"/>
    <w:rsid w:val="00F10E62"/>
    <w:rsid w:val="00F11C69"/>
    <w:rsid w:val="00F26975"/>
    <w:rsid w:val="00F5600E"/>
    <w:rsid w:val="00F568DE"/>
    <w:rsid w:val="00F61FAF"/>
    <w:rsid w:val="00F667BB"/>
    <w:rsid w:val="00FB5454"/>
    <w:rsid w:val="00FE18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DF1"/>
    <w:pPr>
      <w:widowControl w:val="0"/>
      <w:jc w:val="both"/>
    </w:pPr>
    <w:rPr>
      <w:rFonts w:ascii="Times New Roman" w:eastAsia="宋体" w:hAnsi="Times New Roman" w:cs="Times New Roman"/>
      <w:szCs w:val="20"/>
    </w:rPr>
  </w:style>
  <w:style w:type="paragraph" w:styleId="1">
    <w:name w:val="heading 1"/>
    <w:aliases w:val="H1,Level 1 Head,PIM 1,Section Head,h1,l1,1,Heading 0,章,Header 1,Header1,A MAJOR/BOLD,Company Index,Chapter Name,Datasheet title,Fab-1,level 1,heading 1,Head1,1st level,H11,H12,H13,H14,H15,H16,H17,标书1,L1,boc,ÕÂ±êÌâ,Head 1,Head 11,Head 12,h,App,App "/>
    <w:basedOn w:val="a"/>
    <w:next w:val="a"/>
    <w:link w:val="1Char"/>
    <w:qFormat/>
    <w:rsid w:val="00DB4DF1"/>
    <w:pPr>
      <w:keepNext/>
      <w:keepLines/>
      <w:tabs>
        <w:tab w:val="num" w:pos="432"/>
      </w:tabs>
      <w:spacing w:before="120" w:after="120" w:line="360" w:lineRule="auto"/>
      <w:ind w:left="432" w:hanging="432"/>
      <w:jc w:val="center"/>
      <w:outlineLvl w:val="0"/>
    </w:pPr>
    <w:rPr>
      <w:rFonts w:ascii="黑体" w:eastAsia="黑体"/>
      <w:kern w:val="44"/>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Level 1 Head Char,PIM 1 Char,Section Head Char,h1 Char,l1 Char,1 Char,Heading 0 Char,章 Char,Header 1 Char,Header1 Char,A MAJOR/BOLD Char,Company Index Char,Chapter Name Char,Datasheet title Char,Fab-1 Char,level 1 Char,heading 1 Char"/>
    <w:basedOn w:val="a0"/>
    <w:link w:val="1"/>
    <w:rsid w:val="00DB4DF1"/>
    <w:rPr>
      <w:rFonts w:ascii="黑体" w:eastAsia="黑体" w:hAnsi="Times New Roman" w:cs="Times New Roman"/>
      <w:kern w:val="44"/>
      <w:sz w:val="32"/>
      <w:szCs w:val="20"/>
    </w:rPr>
  </w:style>
  <w:style w:type="character" w:styleId="a3">
    <w:name w:val="Hyperlink"/>
    <w:basedOn w:val="a0"/>
    <w:uiPriority w:val="99"/>
    <w:unhideWhenUsed/>
    <w:rsid w:val="00DB4DF1"/>
    <w:rPr>
      <w:color w:val="0000FF"/>
      <w:u w:val="single"/>
    </w:rPr>
  </w:style>
  <w:style w:type="paragraph" w:styleId="10">
    <w:name w:val="toc 1"/>
    <w:basedOn w:val="a"/>
    <w:next w:val="a"/>
    <w:autoRedefine/>
    <w:uiPriority w:val="39"/>
    <w:unhideWhenUsed/>
    <w:rsid w:val="009310A0"/>
    <w:pPr>
      <w:tabs>
        <w:tab w:val="right" w:leader="dot" w:pos="8302"/>
      </w:tabs>
      <w:spacing w:line="440" w:lineRule="exact"/>
    </w:pPr>
    <w:rPr>
      <w:rFonts w:ascii="楷体_GB2312" w:eastAsia="楷体_GB2312"/>
      <w:noProof/>
      <w:sz w:val="28"/>
      <w:szCs w:val="28"/>
    </w:rPr>
  </w:style>
  <w:style w:type="paragraph" w:styleId="TOC">
    <w:name w:val="TOC Heading"/>
    <w:basedOn w:val="1"/>
    <w:next w:val="a"/>
    <w:uiPriority w:val="39"/>
    <w:semiHidden/>
    <w:unhideWhenUsed/>
    <w:qFormat/>
    <w:rsid w:val="00DB4DF1"/>
    <w:pPr>
      <w:widowControl/>
      <w:tabs>
        <w:tab w:val="clear" w:pos="432"/>
      </w:tabs>
      <w:spacing w:before="480" w:after="0" w:line="276" w:lineRule="auto"/>
      <w:ind w:left="0" w:firstLine="0"/>
      <w:jc w:val="left"/>
      <w:outlineLvl w:val="9"/>
    </w:pPr>
    <w:rPr>
      <w:rFonts w:asciiTheme="majorHAnsi" w:eastAsiaTheme="majorEastAsia" w:hAnsiTheme="majorHAnsi" w:cstheme="majorBidi"/>
      <w:b/>
      <w:bCs/>
      <w:color w:val="365F91" w:themeColor="accent1" w:themeShade="BF"/>
      <w:kern w:val="0"/>
      <w:sz w:val="28"/>
      <w:szCs w:val="28"/>
    </w:rPr>
  </w:style>
  <w:style w:type="paragraph" w:styleId="a4">
    <w:name w:val="Balloon Text"/>
    <w:basedOn w:val="a"/>
    <w:link w:val="Char"/>
    <w:uiPriority w:val="99"/>
    <w:semiHidden/>
    <w:unhideWhenUsed/>
    <w:rsid w:val="00DB4DF1"/>
    <w:rPr>
      <w:sz w:val="18"/>
      <w:szCs w:val="18"/>
    </w:rPr>
  </w:style>
  <w:style w:type="character" w:customStyle="1" w:styleId="Char">
    <w:name w:val="批注框文本 Char"/>
    <w:basedOn w:val="a0"/>
    <w:link w:val="a4"/>
    <w:uiPriority w:val="99"/>
    <w:semiHidden/>
    <w:rsid w:val="00DB4DF1"/>
    <w:rPr>
      <w:rFonts w:ascii="Times New Roman" w:eastAsia="宋体" w:hAnsi="Times New Roman" w:cs="Times New Roman"/>
      <w:sz w:val="18"/>
      <w:szCs w:val="18"/>
    </w:rPr>
  </w:style>
  <w:style w:type="paragraph" w:styleId="a5">
    <w:name w:val="header"/>
    <w:basedOn w:val="a"/>
    <w:link w:val="Char0"/>
    <w:uiPriority w:val="99"/>
    <w:unhideWhenUsed/>
    <w:rsid w:val="00DB4DF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B4DF1"/>
    <w:rPr>
      <w:rFonts w:ascii="Times New Roman" w:eastAsia="宋体" w:hAnsi="Times New Roman" w:cs="Times New Roman"/>
      <w:sz w:val="18"/>
      <w:szCs w:val="18"/>
    </w:rPr>
  </w:style>
  <w:style w:type="paragraph" w:styleId="a6">
    <w:name w:val="footer"/>
    <w:basedOn w:val="a"/>
    <w:link w:val="Char1"/>
    <w:uiPriority w:val="99"/>
    <w:unhideWhenUsed/>
    <w:rsid w:val="00DB4DF1"/>
    <w:pPr>
      <w:tabs>
        <w:tab w:val="center" w:pos="4153"/>
        <w:tab w:val="right" w:pos="8306"/>
      </w:tabs>
      <w:snapToGrid w:val="0"/>
      <w:jc w:val="left"/>
    </w:pPr>
    <w:rPr>
      <w:sz w:val="18"/>
      <w:szCs w:val="18"/>
    </w:rPr>
  </w:style>
  <w:style w:type="character" w:customStyle="1" w:styleId="Char1">
    <w:name w:val="页脚 Char"/>
    <w:basedOn w:val="a0"/>
    <w:link w:val="a6"/>
    <w:uiPriority w:val="99"/>
    <w:rsid w:val="00DB4DF1"/>
    <w:rPr>
      <w:rFonts w:ascii="Times New Roman" w:eastAsia="宋体" w:hAnsi="Times New Roman" w:cs="Times New Roman"/>
      <w:sz w:val="18"/>
      <w:szCs w:val="18"/>
    </w:rPr>
  </w:style>
  <w:style w:type="paragraph" w:customStyle="1" w:styleId="Default">
    <w:name w:val="Default"/>
    <w:rsid w:val="00DB4DF1"/>
    <w:pPr>
      <w:widowControl w:val="0"/>
      <w:autoSpaceDE w:val="0"/>
      <w:autoSpaceDN w:val="0"/>
      <w:adjustRightInd w:val="0"/>
    </w:pPr>
    <w:rPr>
      <w:rFonts w:ascii="仿宋_GB2312" w:eastAsia="仿宋_GB2312" w:hAnsi="Times New Roman" w:cs="仿宋_GB2312"/>
      <w:color w:val="000000"/>
      <w:kern w:val="0"/>
      <w:sz w:val="24"/>
      <w:szCs w:val="24"/>
    </w:rPr>
  </w:style>
  <w:style w:type="paragraph" w:styleId="a7">
    <w:name w:val="List Paragraph"/>
    <w:basedOn w:val="a"/>
    <w:uiPriority w:val="99"/>
    <w:qFormat/>
    <w:rsid w:val="00DB4DF1"/>
    <w:pPr>
      <w:ind w:firstLineChars="200" w:firstLine="420"/>
    </w:pPr>
    <w:rPr>
      <w:szCs w:val="24"/>
    </w:rPr>
  </w:style>
  <w:style w:type="character" w:styleId="a8">
    <w:name w:val="page number"/>
    <w:basedOn w:val="a0"/>
    <w:rsid w:val="00DB4DF1"/>
  </w:style>
  <w:style w:type="paragraph" w:styleId="a9">
    <w:name w:val="Body Text Indent"/>
    <w:basedOn w:val="a"/>
    <w:link w:val="Char2"/>
    <w:rsid w:val="00DB4DF1"/>
    <w:pPr>
      <w:spacing w:line="500" w:lineRule="exact"/>
      <w:ind w:firstLineChars="200" w:firstLine="562"/>
    </w:pPr>
    <w:rPr>
      <w:rFonts w:ascii="仿宋_GB2312" w:eastAsia="仿宋_GB2312" w:hAnsi="宋体"/>
      <w:b/>
      <w:bCs/>
      <w:color w:val="000000"/>
      <w:kern w:val="0"/>
      <w:sz w:val="28"/>
      <w:szCs w:val="28"/>
    </w:rPr>
  </w:style>
  <w:style w:type="character" w:customStyle="1" w:styleId="Char2">
    <w:name w:val="正文文本缩进 Char"/>
    <w:basedOn w:val="a0"/>
    <w:link w:val="a9"/>
    <w:rsid w:val="00DB4DF1"/>
    <w:rPr>
      <w:rFonts w:ascii="仿宋_GB2312" w:eastAsia="仿宋_GB2312" w:hAnsi="宋体" w:cs="Times New Roman"/>
      <w:b/>
      <w:bCs/>
      <w:color w:val="000000"/>
      <w:kern w:val="0"/>
      <w:sz w:val="28"/>
      <w:szCs w:val="28"/>
    </w:rPr>
  </w:style>
  <w:style w:type="paragraph" w:styleId="aa">
    <w:name w:val="Plain Text"/>
    <w:basedOn w:val="a"/>
    <w:link w:val="Char3"/>
    <w:rsid w:val="00DB4DF1"/>
    <w:rPr>
      <w:rFonts w:ascii="宋体" w:eastAsia="仿宋_GB2312" w:hAnsi="Courier New" w:cs="Courier New"/>
      <w:sz w:val="32"/>
      <w:szCs w:val="21"/>
    </w:rPr>
  </w:style>
  <w:style w:type="character" w:customStyle="1" w:styleId="Char3">
    <w:name w:val="纯文本 Char"/>
    <w:basedOn w:val="a0"/>
    <w:link w:val="aa"/>
    <w:rsid w:val="00DB4DF1"/>
    <w:rPr>
      <w:rFonts w:ascii="宋体" w:eastAsia="仿宋_GB2312" w:hAnsi="Courier New" w:cs="Courier New"/>
      <w:sz w:val="32"/>
      <w:szCs w:val="21"/>
    </w:rPr>
  </w:style>
  <w:style w:type="paragraph" w:styleId="ab">
    <w:name w:val="footnote text"/>
    <w:basedOn w:val="a"/>
    <w:link w:val="Char4"/>
    <w:rsid w:val="00055FE4"/>
    <w:pPr>
      <w:snapToGrid w:val="0"/>
      <w:jc w:val="left"/>
    </w:pPr>
    <w:rPr>
      <w:sz w:val="18"/>
      <w:szCs w:val="18"/>
    </w:rPr>
  </w:style>
  <w:style w:type="character" w:customStyle="1" w:styleId="Char4">
    <w:name w:val="脚注文本 Char"/>
    <w:basedOn w:val="a0"/>
    <w:link w:val="ab"/>
    <w:rsid w:val="00055FE4"/>
    <w:rPr>
      <w:rFonts w:ascii="Times New Roman" w:eastAsia="宋体" w:hAnsi="Times New Roman" w:cs="Times New Roman"/>
      <w:sz w:val="18"/>
      <w:szCs w:val="18"/>
    </w:rPr>
  </w:style>
  <w:style w:type="character" w:styleId="ac">
    <w:name w:val="footnote reference"/>
    <w:basedOn w:val="a0"/>
    <w:rsid w:val="00055FE4"/>
    <w:rPr>
      <w:vertAlign w:val="superscript"/>
    </w:rPr>
  </w:style>
  <w:style w:type="character" w:customStyle="1" w:styleId="Char5">
    <w:name w:val="批注文字 Char"/>
    <w:basedOn w:val="a0"/>
    <w:link w:val="ad"/>
    <w:semiHidden/>
    <w:rsid w:val="00055FE4"/>
    <w:rPr>
      <w:rFonts w:ascii="Times New Roman" w:eastAsia="宋体" w:hAnsi="Times New Roman" w:cs="Times New Roman"/>
      <w:szCs w:val="24"/>
    </w:rPr>
  </w:style>
  <w:style w:type="paragraph" w:styleId="ad">
    <w:name w:val="annotation text"/>
    <w:basedOn w:val="a"/>
    <w:link w:val="Char5"/>
    <w:semiHidden/>
    <w:rsid w:val="00055FE4"/>
    <w:pPr>
      <w:jc w:val="left"/>
    </w:pPr>
    <w:rPr>
      <w:szCs w:val="24"/>
    </w:rPr>
  </w:style>
  <w:style w:type="character" w:customStyle="1" w:styleId="Char6">
    <w:name w:val="批注主题 Char"/>
    <w:basedOn w:val="Char5"/>
    <w:link w:val="ae"/>
    <w:semiHidden/>
    <w:rsid w:val="00055FE4"/>
    <w:rPr>
      <w:b/>
      <w:bCs/>
    </w:rPr>
  </w:style>
  <w:style w:type="paragraph" w:styleId="ae">
    <w:name w:val="annotation subject"/>
    <w:basedOn w:val="ad"/>
    <w:next w:val="ad"/>
    <w:link w:val="Char6"/>
    <w:semiHidden/>
    <w:rsid w:val="00055FE4"/>
    <w:rPr>
      <w:b/>
      <w:bCs/>
    </w:rPr>
  </w:style>
  <w:style w:type="paragraph" w:styleId="af">
    <w:name w:val="endnote text"/>
    <w:basedOn w:val="a"/>
    <w:link w:val="Char7"/>
    <w:rsid w:val="00055FE4"/>
    <w:pPr>
      <w:snapToGrid w:val="0"/>
      <w:jc w:val="left"/>
    </w:pPr>
    <w:rPr>
      <w:szCs w:val="24"/>
    </w:rPr>
  </w:style>
  <w:style w:type="character" w:customStyle="1" w:styleId="Char7">
    <w:name w:val="尾注文本 Char"/>
    <w:basedOn w:val="a0"/>
    <w:link w:val="af"/>
    <w:rsid w:val="00055FE4"/>
    <w:rPr>
      <w:rFonts w:ascii="Times New Roman" w:eastAsia="宋体" w:hAnsi="Times New Roman" w:cs="Times New Roman"/>
      <w:szCs w:val="24"/>
    </w:rPr>
  </w:style>
  <w:style w:type="character" w:styleId="af0">
    <w:name w:val="endnote reference"/>
    <w:basedOn w:val="a0"/>
    <w:rsid w:val="00055FE4"/>
    <w:rPr>
      <w:vertAlign w:val="superscript"/>
    </w:rPr>
  </w:style>
  <w:style w:type="paragraph" w:styleId="3">
    <w:name w:val="Body Text Indent 3"/>
    <w:basedOn w:val="a"/>
    <w:link w:val="3Char"/>
    <w:rsid w:val="00055FE4"/>
    <w:pPr>
      <w:spacing w:after="120"/>
      <w:ind w:leftChars="200" w:left="420"/>
    </w:pPr>
    <w:rPr>
      <w:sz w:val="16"/>
      <w:szCs w:val="16"/>
    </w:rPr>
  </w:style>
  <w:style w:type="character" w:customStyle="1" w:styleId="3Char">
    <w:name w:val="正文文本缩进 3 Char"/>
    <w:basedOn w:val="a0"/>
    <w:link w:val="3"/>
    <w:rsid w:val="00055FE4"/>
    <w:rPr>
      <w:rFonts w:ascii="Times New Roman" w:eastAsia="宋体" w:hAnsi="Times New Roman" w:cs="Times New Roman"/>
      <w:sz w:val="16"/>
      <w:szCs w:val="16"/>
    </w:rPr>
  </w:style>
  <w:style w:type="paragraph" w:customStyle="1" w:styleId="Char8">
    <w:name w:val="Char"/>
    <w:basedOn w:val="a"/>
    <w:rsid w:val="00055FE4"/>
    <w:rPr>
      <w:szCs w:val="24"/>
    </w:rPr>
  </w:style>
  <w:style w:type="character" w:customStyle="1" w:styleId="apple-style-span">
    <w:name w:val="apple-style-span"/>
    <w:basedOn w:val="a0"/>
    <w:rsid w:val="003C0357"/>
  </w:style>
  <w:style w:type="paragraph" w:styleId="af1">
    <w:name w:val="Date"/>
    <w:basedOn w:val="a"/>
    <w:next w:val="a"/>
    <w:link w:val="Char9"/>
    <w:rsid w:val="00581652"/>
    <w:pPr>
      <w:ind w:leftChars="2500" w:left="100"/>
    </w:pPr>
    <w:rPr>
      <w:sz w:val="30"/>
      <w:szCs w:val="24"/>
    </w:rPr>
  </w:style>
  <w:style w:type="character" w:customStyle="1" w:styleId="Char9">
    <w:name w:val="日期 Char"/>
    <w:basedOn w:val="a0"/>
    <w:link w:val="af1"/>
    <w:rsid w:val="00581652"/>
    <w:rPr>
      <w:rFonts w:ascii="Times New Roman" w:eastAsia="宋体" w:hAnsi="Times New Roman" w:cs="Times New Roman"/>
      <w:sz w:val="30"/>
      <w:szCs w:val="24"/>
    </w:rPr>
  </w:style>
  <w:style w:type="paragraph" w:styleId="2">
    <w:name w:val="Body Text Indent 2"/>
    <w:basedOn w:val="a"/>
    <w:link w:val="2Char"/>
    <w:uiPriority w:val="99"/>
    <w:semiHidden/>
    <w:unhideWhenUsed/>
    <w:rsid w:val="00050E3E"/>
    <w:pPr>
      <w:spacing w:after="120" w:line="480" w:lineRule="auto"/>
      <w:ind w:leftChars="200" w:left="420"/>
    </w:pPr>
  </w:style>
  <w:style w:type="character" w:customStyle="1" w:styleId="2Char">
    <w:name w:val="正文文本缩进 2 Char"/>
    <w:basedOn w:val="a0"/>
    <w:link w:val="2"/>
    <w:uiPriority w:val="99"/>
    <w:semiHidden/>
    <w:rsid w:val="00050E3E"/>
    <w:rPr>
      <w:rFonts w:ascii="Times New Roman" w:eastAsia="宋体" w:hAnsi="Times New Roman" w:cs="Times New Roman"/>
      <w:szCs w:val="20"/>
    </w:rPr>
  </w:style>
  <w:style w:type="paragraph" w:styleId="af2">
    <w:name w:val="Normal (Web)"/>
    <w:basedOn w:val="a"/>
    <w:unhideWhenUsed/>
    <w:rsid w:val="00050E3E"/>
    <w:rPr>
      <w:sz w:val="24"/>
      <w:szCs w:val="24"/>
    </w:rPr>
  </w:style>
  <w:style w:type="character" w:styleId="af3">
    <w:name w:val="Strong"/>
    <w:basedOn w:val="a0"/>
    <w:qFormat/>
    <w:rsid w:val="00475198"/>
    <w:rPr>
      <w:b/>
      <w:bCs/>
    </w:rPr>
  </w:style>
  <w:style w:type="table" w:styleId="af4">
    <w:name w:val="Table Grid"/>
    <w:basedOn w:val="a1"/>
    <w:rsid w:val="0047519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link w:val="Chara"/>
    <w:uiPriority w:val="99"/>
    <w:semiHidden/>
    <w:unhideWhenUsed/>
    <w:rsid w:val="008A61D5"/>
    <w:pPr>
      <w:spacing w:after="120"/>
    </w:pPr>
  </w:style>
  <w:style w:type="character" w:customStyle="1" w:styleId="Chara">
    <w:name w:val="正文文本 Char"/>
    <w:basedOn w:val="a0"/>
    <w:link w:val="af5"/>
    <w:uiPriority w:val="99"/>
    <w:semiHidden/>
    <w:rsid w:val="008A61D5"/>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1507939792">
      <w:bodyDiv w:val="1"/>
      <w:marLeft w:val="0"/>
      <w:marRight w:val="0"/>
      <w:marTop w:val="0"/>
      <w:marBottom w:val="0"/>
      <w:divBdr>
        <w:top w:val="none" w:sz="0" w:space="0" w:color="auto"/>
        <w:left w:val="none" w:sz="0" w:space="0" w:color="auto"/>
        <w:bottom w:val="none" w:sz="0" w:space="0" w:color="auto"/>
        <w:right w:val="none" w:sz="0" w:space="0" w:color="auto"/>
      </w:divBdr>
    </w:div>
    <w:div w:id="198589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12B87-D178-41A5-BF30-607ACFA2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982</Words>
  <Characters>5602</Characters>
  <Application>Microsoft Office Word</Application>
  <DocSecurity>0</DocSecurity>
  <Lines>46</Lines>
  <Paragraphs>13</Paragraphs>
  <ScaleCrop>false</ScaleCrop>
  <Company>IBM</Company>
  <LinksUpToDate>false</LinksUpToDate>
  <CharactersWithSpaces>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李大鹏</dc:creator>
  <cp:keywords/>
  <dc:description/>
  <cp:lastModifiedBy>李大鹏</cp:lastModifiedBy>
  <cp:revision>5</cp:revision>
  <cp:lastPrinted>2015-05-07T01:28:00Z</cp:lastPrinted>
  <dcterms:created xsi:type="dcterms:W3CDTF">2015-09-09T08:22:00Z</dcterms:created>
  <dcterms:modified xsi:type="dcterms:W3CDTF">2015-09-10T01:26:00Z</dcterms:modified>
</cp:coreProperties>
</file>