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10" w:rsidRPr="001E61E8" w:rsidRDefault="00297110" w:rsidP="00297110">
      <w:pPr>
        <w:spacing w:line="500" w:lineRule="exact"/>
        <w:rPr>
          <w:rFonts w:ascii="宋体" w:hAnsi="宋体"/>
          <w:b/>
          <w:szCs w:val="21"/>
        </w:rPr>
      </w:pPr>
      <w:r w:rsidRPr="001E61E8">
        <w:rPr>
          <w:rFonts w:ascii="宋体" w:hAnsi="宋体"/>
          <w:b/>
          <w:szCs w:val="21"/>
        </w:rPr>
        <w:t xml:space="preserve">A股代码:601166            </w:t>
      </w:r>
      <w:r w:rsidR="000A3B8C">
        <w:rPr>
          <w:rFonts w:ascii="宋体" w:hAnsi="宋体" w:hint="eastAsia"/>
          <w:b/>
          <w:szCs w:val="21"/>
        </w:rPr>
        <w:t xml:space="preserve">   </w:t>
      </w:r>
      <w:r w:rsidRPr="001E61E8">
        <w:rPr>
          <w:rFonts w:ascii="宋体" w:hAnsi="宋体"/>
          <w:b/>
          <w:szCs w:val="21"/>
        </w:rPr>
        <w:t xml:space="preserve">A股简称:兴业银行           </w:t>
      </w:r>
      <w:r w:rsidR="000A3B8C">
        <w:rPr>
          <w:rFonts w:ascii="宋体" w:hAnsi="宋体" w:hint="eastAsia"/>
          <w:b/>
          <w:szCs w:val="21"/>
        </w:rPr>
        <w:t xml:space="preserve">  </w:t>
      </w:r>
      <w:r w:rsidRPr="001E61E8">
        <w:rPr>
          <w:rFonts w:ascii="宋体" w:hAnsi="宋体" w:hint="eastAsia"/>
          <w:b/>
          <w:szCs w:val="21"/>
        </w:rPr>
        <w:t>编号</w:t>
      </w:r>
      <w:r w:rsidRPr="001E61E8">
        <w:rPr>
          <w:rFonts w:ascii="宋体" w:hAnsi="宋体"/>
          <w:b/>
          <w:szCs w:val="21"/>
        </w:rPr>
        <w:t>:临</w:t>
      </w:r>
      <w:r w:rsidR="00A6755C" w:rsidRPr="001E61E8">
        <w:rPr>
          <w:rFonts w:ascii="宋体" w:hAnsi="宋体"/>
          <w:b/>
          <w:szCs w:val="21"/>
        </w:rPr>
        <w:t>201</w:t>
      </w:r>
      <w:r w:rsidR="006868C6" w:rsidRPr="001E61E8">
        <w:rPr>
          <w:rFonts w:ascii="宋体" w:hAnsi="宋体"/>
          <w:b/>
          <w:szCs w:val="21"/>
        </w:rPr>
        <w:t>9</w:t>
      </w:r>
      <w:r w:rsidRPr="001E61E8">
        <w:rPr>
          <w:rFonts w:ascii="宋体" w:hAnsi="宋体"/>
          <w:b/>
          <w:szCs w:val="21"/>
        </w:rPr>
        <w:t>-</w:t>
      </w:r>
      <w:r w:rsidR="006E2225">
        <w:rPr>
          <w:rFonts w:ascii="宋体" w:hAnsi="宋体" w:hint="eastAsia"/>
          <w:b/>
          <w:szCs w:val="21"/>
        </w:rPr>
        <w:t>0</w:t>
      </w:r>
      <w:r w:rsidR="00DA5E38">
        <w:rPr>
          <w:rFonts w:ascii="宋体" w:hAnsi="宋体" w:hint="eastAsia"/>
          <w:b/>
          <w:szCs w:val="21"/>
        </w:rPr>
        <w:t>10</w:t>
      </w:r>
    </w:p>
    <w:p w:rsidR="002024EE" w:rsidRDefault="000A3B8C" w:rsidP="002024EE">
      <w:pPr>
        <w:spacing w:line="500" w:lineRule="exact"/>
        <w:jc w:val="left"/>
        <w:rPr>
          <w:rFonts w:ascii="宋体" w:hAnsi="宋体"/>
          <w:b/>
          <w:sz w:val="24"/>
          <w:szCs w:val="28"/>
        </w:rPr>
      </w:pPr>
      <w:r w:rsidRPr="001E61E8">
        <w:rPr>
          <w:rFonts w:ascii="宋体" w:hAnsi="宋体" w:hint="eastAsia"/>
          <w:b/>
          <w:szCs w:val="21"/>
        </w:rPr>
        <w:t>优先股代码：</w:t>
      </w:r>
      <w:r w:rsidRPr="001E61E8">
        <w:rPr>
          <w:rFonts w:ascii="宋体" w:hAnsi="宋体"/>
          <w:b/>
          <w:szCs w:val="21"/>
        </w:rPr>
        <w:t>360005、360012</w:t>
      </w:r>
      <w:bookmarkStart w:id="0" w:name="_GoBack"/>
      <w:bookmarkEnd w:id="0"/>
      <w:r w:rsidRPr="001E61E8">
        <w:rPr>
          <w:rFonts w:ascii="宋体" w:hAnsi="宋体" w:hint="eastAsia"/>
          <w:b/>
          <w:szCs w:val="21"/>
        </w:rPr>
        <w:t>、</w:t>
      </w:r>
      <w:r w:rsidRPr="001E61E8">
        <w:rPr>
          <w:rFonts w:ascii="宋体" w:hAnsi="宋体"/>
          <w:b/>
          <w:szCs w:val="21"/>
        </w:rPr>
        <w:t xml:space="preserve">360032    </w:t>
      </w:r>
      <w:r w:rsidRPr="001E61E8">
        <w:rPr>
          <w:rFonts w:ascii="宋体" w:hAnsi="宋体" w:hint="eastAsia"/>
          <w:b/>
          <w:szCs w:val="21"/>
        </w:rPr>
        <w:t>优先股简称：兴业优</w:t>
      </w:r>
      <w:r w:rsidRPr="001E61E8">
        <w:rPr>
          <w:rFonts w:ascii="宋体" w:hAnsi="宋体"/>
          <w:b/>
          <w:szCs w:val="21"/>
        </w:rPr>
        <w:t>1、兴业优2、兴业优3</w:t>
      </w:r>
    </w:p>
    <w:p w:rsidR="00370553" w:rsidRPr="00297110" w:rsidRDefault="00370553" w:rsidP="002024EE">
      <w:pPr>
        <w:spacing w:line="500" w:lineRule="exact"/>
        <w:jc w:val="left"/>
        <w:rPr>
          <w:rFonts w:ascii="仿宋_GB2312" w:eastAsia="仿宋_GB2312"/>
          <w:b/>
          <w:sz w:val="32"/>
          <w:szCs w:val="32"/>
        </w:rPr>
      </w:pPr>
    </w:p>
    <w:p w:rsidR="00370553" w:rsidRPr="009E28E8" w:rsidRDefault="00370553" w:rsidP="00130A7A">
      <w:pPr>
        <w:jc w:val="center"/>
        <w:rPr>
          <w:rFonts w:ascii="黑体" w:eastAsia="黑体"/>
          <w:color w:val="FF0000"/>
          <w:sz w:val="44"/>
          <w:szCs w:val="44"/>
        </w:rPr>
      </w:pPr>
      <w:r w:rsidRPr="009E28E8">
        <w:rPr>
          <w:rFonts w:ascii="黑体" w:eastAsia="黑体" w:hint="eastAsia"/>
          <w:color w:val="FF0000"/>
          <w:sz w:val="44"/>
          <w:szCs w:val="44"/>
        </w:rPr>
        <w:t>兴业银行股份有限公司</w:t>
      </w:r>
    </w:p>
    <w:p w:rsidR="006868C6" w:rsidRDefault="00130A7A" w:rsidP="00130A7A">
      <w:pPr>
        <w:jc w:val="center"/>
        <w:rPr>
          <w:rFonts w:ascii="黑体" w:eastAsia="黑体"/>
          <w:color w:val="FF0000"/>
          <w:sz w:val="44"/>
          <w:szCs w:val="44"/>
        </w:rPr>
      </w:pPr>
      <w:r w:rsidRPr="00130A7A">
        <w:rPr>
          <w:rFonts w:ascii="黑体" w:eastAsia="黑体" w:hint="eastAsia"/>
          <w:color w:val="FF0000"/>
          <w:sz w:val="44"/>
          <w:szCs w:val="44"/>
        </w:rPr>
        <w:t>关于</w:t>
      </w:r>
      <w:r w:rsidR="006868C6">
        <w:rPr>
          <w:rFonts w:ascii="黑体" w:eastAsia="黑体" w:hint="eastAsia"/>
          <w:color w:val="FF0000"/>
          <w:sz w:val="44"/>
          <w:szCs w:val="44"/>
        </w:rPr>
        <w:t>追加</w:t>
      </w:r>
      <w:r w:rsidR="006868C6" w:rsidRPr="006868C6">
        <w:rPr>
          <w:rFonts w:ascii="黑体" w:eastAsia="黑体" w:hint="eastAsia"/>
          <w:color w:val="FF0000"/>
          <w:sz w:val="44"/>
          <w:szCs w:val="44"/>
        </w:rPr>
        <w:t>福建阳光集团有限公司系列</w:t>
      </w:r>
    </w:p>
    <w:p w:rsidR="00130A7A" w:rsidRPr="00130A7A" w:rsidRDefault="006868C6" w:rsidP="00130A7A">
      <w:pPr>
        <w:jc w:val="center"/>
        <w:rPr>
          <w:rFonts w:ascii="黑体" w:eastAsia="黑体"/>
          <w:color w:val="FF0000"/>
          <w:sz w:val="44"/>
          <w:szCs w:val="44"/>
        </w:rPr>
      </w:pPr>
      <w:r w:rsidRPr="006868C6">
        <w:rPr>
          <w:rFonts w:ascii="黑体" w:eastAsia="黑体" w:hint="eastAsia"/>
          <w:color w:val="FF0000"/>
          <w:sz w:val="44"/>
          <w:szCs w:val="44"/>
        </w:rPr>
        <w:t>关联交易额度</w:t>
      </w:r>
      <w:r w:rsidR="00130A7A" w:rsidRPr="00130A7A">
        <w:rPr>
          <w:rFonts w:ascii="黑体" w:eastAsia="黑体" w:hint="eastAsia"/>
          <w:color w:val="FF0000"/>
          <w:sz w:val="44"/>
          <w:szCs w:val="44"/>
        </w:rPr>
        <w:t>的公告</w:t>
      </w:r>
    </w:p>
    <w:p w:rsidR="00370553" w:rsidRPr="00CF34CA" w:rsidRDefault="00370553" w:rsidP="00CF34CA">
      <w:pPr>
        <w:spacing w:line="420" w:lineRule="exact"/>
        <w:ind w:firstLine="570"/>
        <w:rPr>
          <w:rFonts w:ascii="宋体" w:hAnsi="宋体"/>
          <w:sz w:val="24"/>
        </w:rPr>
      </w:pPr>
    </w:p>
    <w:p w:rsidR="005D7CF9" w:rsidRPr="00EE5DD0" w:rsidRDefault="003C3273" w:rsidP="009274F1">
      <w:pPr>
        <w:spacing w:line="360" w:lineRule="auto"/>
        <w:ind w:firstLine="570"/>
        <w:rPr>
          <w:rFonts w:ascii="宋体" w:hAnsi="宋体"/>
          <w:sz w:val="24"/>
        </w:rPr>
      </w:pPr>
      <w:r w:rsidRPr="00EE5DD0">
        <w:rPr>
          <w:rFonts w:ascii="宋体" w:hAnsi="宋体" w:hint="eastAsia"/>
          <w:sz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FB2E30" w:rsidRPr="00EE5DD0" w:rsidRDefault="00FB2E30" w:rsidP="009274F1">
      <w:pPr>
        <w:spacing w:line="360" w:lineRule="auto"/>
        <w:ind w:firstLine="570"/>
        <w:rPr>
          <w:rFonts w:ascii="宋体" w:hAnsi="宋体"/>
          <w:b/>
          <w:sz w:val="24"/>
        </w:rPr>
      </w:pPr>
    </w:p>
    <w:p w:rsidR="00130A7A" w:rsidRPr="00130A7A" w:rsidRDefault="00130A7A" w:rsidP="00130A7A">
      <w:pPr>
        <w:autoSpaceDE w:val="0"/>
        <w:autoSpaceDN w:val="0"/>
        <w:adjustRightInd w:val="0"/>
        <w:spacing w:line="360" w:lineRule="auto"/>
        <w:ind w:firstLineChars="196" w:firstLine="472"/>
        <w:jc w:val="left"/>
        <w:rPr>
          <w:rFonts w:ascii="宋体" w:hAnsi="宋体" w:cs="宋体"/>
          <w:b/>
          <w:color w:val="000000"/>
          <w:kern w:val="0"/>
          <w:sz w:val="24"/>
        </w:rPr>
      </w:pPr>
      <w:r w:rsidRPr="00130A7A">
        <w:rPr>
          <w:rFonts w:ascii="宋体" w:hAnsi="宋体" w:cs="宋体" w:hint="eastAsia"/>
          <w:b/>
          <w:color w:val="000000"/>
          <w:kern w:val="0"/>
          <w:sz w:val="24"/>
        </w:rPr>
        <w:t xml:space="preserve">重要内容提示： </w:t>
      </w:r>
    </w:p>
    <w:p w:rsidR="00130A7A" w:rsidRPr="00130A7A" w:rsidRDefault="00130A7A" w:rsidP="00130A7A">
      <w:pPr>
        <w:autoSpaceDE w:val="0"/>
        <w:autoSpaceDN w:val="0"/>
        <w:adjustRightInd w:val="0"/>
        <w:spacing w:line="360" w:lineRule="auto"/>
        <w:ind w:firstLineChars="150" w:firstLine="361"/>
        <w:jc w:val="left"/>
        <w:rPr>
          <w:rFonts w:ascii="宋体" w:hAnsi="宋体" w:cs="宋体"/>
          <w:b/>
          <w:sz w:val="24"/>
        </w:rPr>
      </w:pPr>
      <w:r w:rsidRPr="00130A7A">
        <w:rPr>
          <w:rFonts w:ascii="宋体" w:hAnsi="宋体" w:cs="宋体" w:hint="eastAsia"/>
          <w:b/>
          <w:sz w:val="24"/>
        </w:rPr>
        <w:t>（一）交易内容：</w:t>
      </w:r>
    </w:p>
    <w:p w:rsidR="00130A7A" w:rsidRPr="00130A7A" w:rsidRDefault="006868C6" w:rsidP="00130A7A">
      <w:pPr>
        <w:pStyle w:val="Default"/>
        <w:spacing w:line="360" w:lineRule="auto"/>
        <w:ind w:firstLineChars="200" w:firstLine="480"/>
        <w:rPr>
          <w:rFonts w:hAnsi="宋体"/>
          <w:iCs/>
        </w:rPr>
      </w:pPr>
      <w:r>
        <w:rPr>
          <w:rFonts w:hAnsi="宋体" w:hint="eastAsia"/>
        </w:rPr>
        <w:t>2019</w:t>
      </w:r>
      <w:r w:rsidR="00130A7A" w:rsidRPr="00017972">
        <w:rPr>
          <w:rFonts w:hAnsi="宋体" w:hint="eastAsia"/>
        </w:rPr>
        <w:t>年4月</w:t>
      </w:r>
      <w:r w:rsidR="00EB202D">
        <w:rPr>
          <w:rFonts w:hAnsi="宋体" w:hint="eastAsia"/>
        </w:rPr>
        <w:t>29</w:t>
      </w:r>
      <w:r w:rsidR="00130A7A" w:rsidRPr="00017972">
        <w:rPr>
          <w:rFonts w:hAnsi="宋体" w:hint="eastAsia"/>
        </w:rPr>
        <w:t>日</w:t>
      </w:r>
      <w:r w:rsidR="00130A7A" w:rsidRPr="00130A7A">
        <w:rPr>
          <w:rFonts w:hAnsi="宋体" w:hint="eastAsia"/>
        </w:rPr>
        <w:t>，公司第九届董事会第</w:t>
      </w:r>
      <w:r w:rsidR="00EB202D">
        <w:rPr>
          <w:rFonts w:hAnsi="宋体" w:hint="eastAsia"/>
        </w:rPr>
        <w:t>十四</w:t>
      </w:r>
      <w:r w:rsidR="00130A7A" w:rsidRPr="00130A7A">
        <w:rPr>
          <w:rFonts w:hAnsi="宋体" w:hint="eastAsia"/>
        </w:rPr>
        <w:t>次会议审议通过《</w:t>
      </w:r>
      <w:r w:rsidRPr="006868C6">
        <w:rPr>
          <w:rFonts w:hAnsi="宋体" w:hint="eastAsia"/>
        </w:rPr>
        <w:t>关于追加福建阳光集团有限公司系列关联交易额度的议案</w:t>
      </w:r>
      <w:r w:rsidR="00130A7A" w:rsidRPr="00130A7A">
        <w:rPr>
          <w:rFonts w:hAnsi="宋体" w:hint="eastAsia"/>
        </w:rPr>
        <w:t>》，同意</w:t>
      </w:r>
      <w:r>
        <w:rPr>
          <w:rFonts w:hAnsi="宋体" w:hint="eastAsia"/>
        </w:rPr>
        <w:t>对</w:t>
      </w:r>
      <w:r w:rsidRPr="006868C6">
        <w:rPr>
          <w:rFonts w:hAnsi="宋体" w:hint="eastAsia"/>
        </w:rPr>
        <w:t>福建阳光集团有限公司及其关联企业（以下简称“阳光系列”）追加授</w:t>
      </w:r>
      <w:proofErr w:type="gramStart"/>
      <w:r w:rsidRPr="006868C6">
        <w:rPr>
          <w:rFonts w:hAnsi="宋体" w:hint="eastAsia"/>
        </w:rPr>
        <w:t>信类关联</w:t>
      </w:r>
      <w:proofErr w:type="gramEnd"/>
      <w:r w:rsidRPr="006868C6">
        <w:rPr>
          <w:rFonts w:hAnsi="宋体" w:hint="eastAsia"/>
        </w:rPr>
        <w:t>交易额度人民币40亿元，其中：主体授信额度30亿元，非保本理财项下投资额度10</w:t>
      </w:r>
      <w:r>
        <w:rPr>
          <w:rFonts w:hAnsi="宋体" w:hint="eastAsia"/>
        </w:rPr>
        <w:t>亿元，</w:t>
      </w:r>
      <w:r w:rsidR="00EB202D" w:rsidRPr="00261B66">
        <w:rPr>
          <w:rFonts w:hAnsi="宋体" w:hint="eastAsia"/>
          <w:iCs/>
        </w:rPr>
        <w:t>有效期延长至2021年6月30日。</w:t>
      </w:r>
    </w:p>
    <w:p w:rsidR="00A11A40" w:rsidRPr="00441042" w:rsidRDefault="00130A7A" w:rsidP="001E61E8">
      <w:pPr>
        <w:pStyle w:val="Default"/>
        <w:spacing w:line="360" w:lineRule="auto"/>
        <w:ind w:firstLineChars="200" w:firstLine="482"/>
        <w:rPr>
          <w:rFonts w:hAnsi="宋体"/>
        </w:rPr>
      </w:pPr>
      <w:r w:rsidRPr="00130A7A">
        <w:rPr>
          <w:rFonts w:hAnsi="宋体" w:hint="eastAsia"/>
          <w:b/>
        </w:rPr>
        <w:t>（二）回避表决事宜：</w:t>
      </w:r>
      <w:r w:rsidR="00C96429" w:rsidRPr="00C96429">
        <w:rPr>
          <w:rFonts w:hAnsi="宋体" w:hint="eastAsia"/>
        </w:rPr>
        <w:t>本次交易为关联交易，公司关联董事林腾蛟先生回避表决。</w:t>
      </w:r>
      <w:r w:rsidR="00F83A13" w:rsidRPr="00441042">
        <w:rPr>
          <w:rFonts w:hAnsi="宋体"/>
        </w:rPr>
        <w:t xml:space="preserve"> </w:t>
      </w:r>
    </w:p>
    <w:p w:rsidR="00130A7A" w:rsidRPr="00017972" w:rsidRDefault="00A11A40" w:rsidP="008862F2">
      <w:pPr>
        <w:pStyle w:val="Default"/>
        <w:spacing w:line="360" w:lineRule="auto"/>
        <w:ind w:firstLineChars="150" w:firstLine="360"/>
        <w:rPr>
          <w:rFonts w:hAnsi="宋体"/>
          <w:iCs/>
        </w:rPr>
      </w:pPr>
      <w:r w:rsidRPr="00017972" w:rsidDel="00A11A40">
        <w:rPr>
          <w:rFonts w:hAnsi="宋体" w:hint="eastAsia"/>
        </w:rPr>
        <w:t xml:space="preserve"> </w:t>
      </w:r>
      <w:r w:rsidR="00130A7A" w:rsidRPr="00017972">
        <w:rPr>
          <w:rFonts w:hAnsi="宋体" w:hint="eastAsia"/>
          <w:b/>
          <w:iCs/>
        </w:rPr>
        <w:t>（三）关联交易影响：</w:t>
      </w:r>
      <w:r w:rsidR="00130A7A" w:rsidRPr="00017972">
        <w:rPr>
          <w:rFonts w:hAnsi="宋体" w:hint="eastAsia"/>
          <w:iCs/>
        </w:rPr>
        <w:t>以上关联交易是公司日常业务经营中的合理交易，对公司经营活动及财务状况无重大影响，不会影响公司的独立性。</w:t>
      </w:r>
    </w:p>
    <w:p w:rsidR="00130A7A" w:rsidRPr="00130A7A" w:rsidRDefault="00130A7A" w:rsidP="001E61E8">
      <w:pPr>
        <w:pStyle w:val="Default"/>
        <w:spacing w:line="360" w:lineRule="auto"/>
        <w:ind w:firstLineChars="199" w:firstLine="479"/>
        <w:rPr>
          <w:rFonts w:hAnsi="宋体"/>
          <w:iCs/>
        </w:rPr>
      </w:pPr>
      <w:r w:rsidRPr="00CF3F82">
        <w:rPr>
          <w:rFonts w:hAnsi="宋体" w:hint="eastAsia"/>
          <w:b/>
        </w:rPr>
        <w:t>（四）</w:t>
      </w:r>
      <w:r w:rsidRPr="00017972">
        <w:rPr>
          <w:rFonts w:hAnsi="宋体" w:hint="eastAsia"/>
          <w:iCs/>
        </w:rPr>
        <w:t>上述关联交易事项尚需提交公司股东大会审议，</w:t>
      </w:r>
      <w:r w:rsidR="00F83A13" w:rsidRPr="00017972">
        <w:rPr>
          <w:rFonts w:hAnsi="宋体" w:hint="eastAsia"/>
          <w:iCs/>
        </w:rPr>
        <w:t>相关</w:t>
      </w:r>
      <w:r w:rsidRPr="00017972">
        <w:rPr>
          <w:rFonts w:hAnsi="宋体" w:hint="eastAsia"/>
          <w:iCs/>
        </w:rPr>
        <w:t>关联股东将对公司股东大会审议本次关联交易的议案回避表决。</w:t>
      </w:r>
    </w:p>
    <w:p w:rsidR="00130A7A" w:rsidRPr="00130A7A" w:rsidRDefault="00130A7A" w:rsidP="00130A7A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</w:p>
    <w:p w:rsidR="00130A7A" w:rsidRPr="00130A7A" w:rsidRDefault="00130A7A" w:rsidP="00130A7A">
      <w:pPr>
        <w:pStyle w:val="Default"/>
        <w:spacing w:line="360" w:lineRule="auto"/>
        <w:ind w:firstLineChars="200" w:firstLine="482"/>
        <w:rPr>
          <w:rFonts w:hAnsi="宋体"/>
          <w:b/>
          <w:iCs/>
        </w:rPr>
      </w:pPr>
      <w:r w:rsidRPr="00130A7A">
        <w:rPr>
          <w:rFonts w:hAnsi="宋体" w:hint="eastAsia"/>
          <w:b/>
          <w:iCs/>
        </w:rPr>
        <w:t>一、关联交易概述</w:t>
      </w:r>
    </w:p>
    <w:p w:rsidR="006868C6" w:rsidRPr="006868C6" w:rsidRDefault="00130A7A" w:rsidP="00024C4D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/>
          <w:iCs/>
          <w:color w:val="000000"/>
          <w:kern w:val="0"/>
          <w:sz w:val="24"/>
        </w:rPr>
      </w:pPr>
      <w:r w:rsidRPr="00130A7A">
        <w:rPr>
          <w:rFonts w:ascii="宋体" w:hAnsi="宋体" w:cs="宋体" w:hint="eastAsia"/>
          <w:iCs/>
          <w:color w:val="000000"/>
          <w:kern w:val="0"/>
          <w:sz w:val="24"/>
        </w:rPr>
        <w:t>公司</w:t>
      </w:r>
      <w:r w:rsidRPr="00130A7A">
        <w:rPr>
          <w:rFonts w:ascii="宋体" w:hAnsi="宋体" w:cs="宋体" w:hint="eastAsia"/>
          <w:sz w:val="24"/>
        </w:rPr>
        <w:t>第九届董事会第</w:t>
      </w:r>
      <w:r w:rsidR="00B95E79">
        <w:rPr>
          <w:rFonts w:ascii="宋体" w:hAnsi="宋体" w:cs="宋体" w:hint="eastAsia"/>
          <w:sz w:val="24"/>
        </w:rPr>
        <w:t>十四</w:t>
      </w:r>
      <w:r w:rsidRPr="00130A7A">
        <w:rPr>
          <w:rFonts w:ascii="宋体" w:hAnsi="宋体" w:cs="宋体" w:hint="eastAsia"/>
          <w:sz w:val="24"/>
        </w:rPr>
        <w:t>次会议审议通过《</w:t>
      </w:r>
      <w:r w:rsidR="006868C6" w:rsidRPr="006868C6">
        <w:rPr>
          <w:rFonts w:ascii="宋体" w:hAnsi="宋体" w:cs="宋体" w:hint="eastAsia"/>
          <w:sz w:val="24"/>
        </w:rPr>
        <w:t>关于追加福建阳光集团有限公司系列关联交易额度的议案</w:t>
      </w:r>
      <w:r w:rsidRPr="00130A7A">
        <w:rPr>
          <w:rFonts w:ascii="宋体" w:hAnsi="宋体" w:cs="宋体" w:hint="eastAsia"/>
          <w:sz w:val="24"/>
        </w:rPr>
        <w:t>》，</w:t>
      </w:r>
      <w:r w:rsidR="00C96429">
        <w:rPr>
          <w:rFonts w:ascii="宋体" w:hAnsi="宋体" w:cs="宋体" w:hint="eastAsia"/>
          <w:sz w:val="24"/>
        </w:rPr>
        <w:t>同意</w:t>
      </w:r>
      <w:r w:rsidRPr="006868C6">
        <w:rPr>
          <w:rFonts w:ascii="宋体" w:hAnsi="宋体" w:cs="宋体" w:hint="eastAsia"/>
          <w:iCs/>
          <w:color w:val="000000"/>
          <w:kern w:val="0"/>
          <w:sz w:val="24"/>
        </w:rPr>
        <w:t>追加给予阳光系列授</w:t>
      </w:r>
      <w:proofErr w:type="gramStart"/>
      <w:r w:rsidRPr="006868C6">
        <w:rPr>
          <w:rFonts w:ascii="宋体" w:hAnsi="宋体" w:cs="宋体" w:hint="eastAsia"/>
          <w:iCs/>
          <w:color w:val="000000"/>
          <w:kern w:val="0"/>
          <w:sz w:val="24"/>
        </w:rPr>
        <w:t>信类关联</w:t>
      </w:r>
      <w:proofErr w:type="gramEnd"/>
      <w:r w:rsidRPr="006868C6">
        <w:rPr>
          <w:rFonts w:ascii="宋体" w:hAnsi="宋体" w:cs="宋体" w:hint="eastAsia"/>
          <w:iCs/>
          <w:color w:val="000000"/>
          <w:kern w:val="0"/>
          <w:sz w:val="24"/>
        </w:rPr>
        <w:t>交易额度</w:t>
      </w:r>
      <w:r w:rsidR="006868C6" w:rsidRPr="006868C6">
        <w:rPr>
          <w:rFonts w:ascii="宋体" w:hAnsi="宋体" w:cs="宋体" w:hint="eastAsia"/>
          <w:iCs/>
          <w:color w:val="000000"/>
          <w:kern w:val="0"/>
          <w:sz w:val="24"/>
        </w:rPr>
        <w:t>40</w:t>
      </w:r>
      <w:r w:rsidRPr="006868C6">
        <w:rPr>
          <w:rFonts w:ascii="宋体" w:hAnsi="宋体" w:cs="宋体" w:hint="eastAsia"/>
          <w:iCs/>
          <w:color w:val="000000"/>
          <w:kern w:val="0"/>
          <w:sz w:val="24"/>
        </w:rPr>
        <w:t>亿元</w:t>
      </w:r>
      <w:r w:rsidR="006868C6" w:rsidRPr="006868C6">
        <w:rPr>
          <w:rFonts w:ascii="宋体" w:hAnsi="宋体" w:cs="宋体" w:hint="eastAsia"/>
          <w:iCs/>
          <w:color w:val="000000"/>
          <w:kern w:val="0"/>
          <w:sz w:val="24"/>
        </w:rPr>
        <w:t>，其中：主体授信额度30亿元，非保本理财项下投资额度10亿元，</w:t>
      </w:r>
      <w:r w:rsidR="00BB6B5B" w:rsidRPr="00261B66">
        <w:rPr>
          <w:rFonts w:ascii="宋体" w:hAnsi="宋体" w:cs="宋体" w:hint="eastAsia"/>
          <w:iCs/>
          <w:color w:val="000000"/>
          <w:kern w:val="0"/>
          <w:sz w:val="24"/>
        </w:rPr>
        <w:t>有效期延长至2021年6月30日。</w:t>
      </w:r>
    </w:p>
    <w:p w:rsidR="00130A7A" w:rsidRPr="006868C6" w:rsidRDefault="006868C6" w:rsidP="001E61E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/>
          <w:iCs/>
          <w:color w:val="000000"/>
          <w:kern w:val="0"/>
          <w:sz w:val="24"/>
        </w:rPr>
      </w:pPr>
      <w:r w:rsidRPr="006868C6">
        <w:rPr>
          <w:rFonts w:ascii="宋体" w:hAnsi="宋体" w:cs="宋体" w:hint="eastAsia"/>
          <w:iCs/>
          <w:color w:val="000000"/>
          <w:kern w:val="0"/>
          <w:sz w:val="24"/>
        </w:rPr>
        <w:lastRenderedPageBreak/>
        <w:t>变更后，</w:t>
      </w:r>
      <w:r w:rsidR="00C96429">
        <w:rPr>
          <w:rFonts w:ascii="宋体" w:hAnsi="宋体" w:cs="宋体" w:hint="eastAsia"/>
          <w:iCs/>
          <w:color w:val="000000"/>
          <w:kern w:val="0"/>
          <w:sz w:val="24"/>
        </w:rPr>
        <w:t>公司</w:t>
      </w:r>
      <w:r w:rsidRPr="006868C6">
        <w:rPr>
          <w:rFonts w:ascii="宋体" w:hAnsi="宋体" w:cs="宋体" w:hint="eastAsia"/>
          <w:iCs/>
          <w:color w:val="000000"/>
          <w:kern w:val="0"/>
          <w:sz w:val="24"/>
        </w:rPr>
        <w:t>拟给予阳光系列关联交易额度人民币412亿元，有效期至</w:t>
      </w:r>
      <w:r w:rsidR="00BB6B5B" w:rsidRPr="006868C6">
        <w:rPr>
          <w:rFonts w:ascii="宋体" w:hAnsi="宋体" w:cs="宋体" w:hint="eastAsia"/>
          <w:iCs/>
          <w:color w:val="000000"/>
          <w:kern w:val="0"/>
          <w:sz w:val="24"/>
        </w:rPr>
        <w:t>2021年</w:t>
      </w:r>
      <w:r w:rsidR="00BB6B5B">
        <w:rPr>
          <w:rFonts w:ascii="宋体" w:hAnsi="宋体" w:cs="宋体" w:hint="eastAsia"/>
          <w:iCs/>
          <w:color w:val="000000"/>
          <w:kern w:val="0"/>
          <w:sz w:val="24"/>
        </w:rPr>
        <w:t>6</w:t>
      </w:r>
      <w:r w:rsidRPr="006868C6">
        <w:rPr>
          <w:rFonts w:ascii="宋体" w:hAnsi="宋体" w:cs="宋体" w:hint="eastAsia"/>
          <w:iCs/>
          <w:color w:val="000000"/>
          <w:kern w:val="0"/>
          <w:sz w:val="24"/>
        </w:rPr>
        <w:t>月30日止。具体为：（1）授</w:t>
      </w:r>
      <w:proofErr w:type="gramStart"/>
      <w:r w:rsidRPr="006868C6">
        <w:rPr>
          <w:rFonts w:ascii="宋体" w:hAnsi="宋体" w:cs="宋体" w:hint="eastAsia"/>
          <w:iCs/>
          <w:color w:val="000000"/>
          <w:kern w:val="0"/>
          <w:sz w:val="24"/>
        </w:rPr>
        <w:t>信类关联</w:t>
      </w:r>
      <w:proofErr w:type="gramEnd"/>
      <w:r w:rsidRPr="006868C6">
        <w:rPr>
          <w:rFonts w:ascii="宋体" w:hAnsi="宋体" w:cs="宋体" w:hint="eastAsia"/>
          <w:iCs/>
          <w:color w:val="000000"/>
          <w:kern w:val="0"/>
          <w:sz w:val="24"/>
        </w:rPr>
        <w:t>交易额度人民币220亿元，用于</w:t>
      </w:r>
      <w:r w:rsidR="00C10A8A" w:rsidRPr="00C10A8A">
        <w:rPr>
          <w:rFonts w:ascii="宋体" w:hAnsi="宋体" w:cs="宋体" w:hint="eastAsia"/>
          <w:iCs/>
          <w:color w:val="000000"/>
          <w:kern w:val="0"/>
          <w:sz w:val="24"/>
        </w:rPr>
        <w:t>福建阳光集团有限公司及其关联企业</w:t>
      </w:r>
      <w:r w:rsidRPr="006868C6">
        <w:rPr>
          <w:rFonts w:ascii="宋体" w:hAnsi="宋体" w:cs="宋体" w:hint="eastAsia"/>
          <w:iCs/>
          <w:color w:val="000000"/>
          <w:kern w:val="0"/>
          <w:sz w:val="24"/>
        </w:rPr>
        <w:t>开展各类短、中、长期业务品种；（2）</w:t>
      </w:r>
      <w:proofErr w:type="gramStart"/>
      <w:r w:rsidRPr="006868C6">
        <w:rPr>
          <w:rFonts w:ascii="宋体" w:hAnsi="宋体" w:cs="宋体" w:hint="eastAsia"/>
          <w:iCs/>
          <w:color w:val="000000"/>
          <w:kern w:val="0"/>
          <w:sz w:val="24"/>
        </w:rPr>
        <w:t>非授信类关联</w:t>
      </w:r>
      <w:proofErr w:type="gramEnd"/>
      <w:r w:rsidRPr="006868C6">
        <w:rPr>
          <w:rFonts w:ascii="宋体" w:hAnsi="宋体" w:cs="宋体" w:hint="eastAsia"/>
          <w:iCs/>
          <w:color w:val="000000"/>
          <w:kern w:val="0"/>
          <w:sz w:val="24"/>
        </w:rPr>
        <w:t>交易额度人民币192亿元，交易类别包括结构性存款及对公理财、资金业务、信贷资产转让、代理销售、债券承销、信托服务等业务。</w:t>
      </w:r>
    </w:p>
    <w:p w:rsidR="00130A7A" w:rsidRPr="00130A7A" w:rsidRDefault="00130A7A" w:rsidP="00130A7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</w:rPr>
      </w:pPr>
      <w:r w:rsidRPr="00017972">
        <w:rPr>
          <w:rFonts w:ascii="宋体" w:hAnsi="宋体" w:hint="eastAsia"/>
          <w:sz w:val="24"/>
        </w:rPr>
        <w:t>本次申请追加后，</w:t>
      </w:r>
      <w:r w:rsidR="00C96429">
        <w:rPr>
          <w:rFonts w:ascii="宋体" w:hAnsi="宋体" w:hint="eastAsia"/>
          <w:sz w:val="24"/>
        </w:rPr>
        <w:t>公司与</w:t>
      </w:r>
      <w:r w:rsidRPr="00017972">
        <w:rPr>
          <w:rFonts w:ascii="宋体" w:hAnsi="宋体" w:hint="eastAsia"/>
          <w:sz w:val="24"/>
        </w:rPr>
        <w:t>阳光系列</w:t>
      </w:r>
      <w:r w:rsidR="006868C6">
        <w:rPr>
          <w:rFonts w:ascii="宋体" w:hAnsi="宋体" w:hint="eastAsia"/>
          <w:color w:val="000000"/>
          <w:sz w:val="24"/>
        </w:rPr>
        <w:t>关联交易额度</w:t>
      </w:r>
      <w:r w:rsidRPr="00017972">
        <w:rPr>
          <w:rFonts w:ascii="宋体" w:hAnsi="宋体" w:hint="eastAsia"/>
          <w:color w:val="000000"/>
          <w:sz w:val="24"/>
        </w:rPr>
        <w:t>超过公司最近一期经审计净资产绝对值的</w:t>
      </w:r>
      <w:r w:rsidRPr="00017972">
        <w:rPr>
          <w:rFonts w:ascii="宋体" w:hAnsi="宋体"/>
          <w:color w:val="000000"/>
          <w:sz w:val="24"/>
        </w:rPr>
        <w:t>5%</w:t>
      </w:r>
      <w:r w:rsidRPr="00017972">
        <w:rPr>
          <w:rFonts w:ascii="宋体" w:hAnsi="宋体" w:hint="eastAsia"/>
          <w:color w:val="000000"/>
          <w:sz w:val="24"/>
        </w:rPr>
        <w:t>，</w:t>
      </w:r>
      <w:r w:rsidR="00305CA6" w:rsidRPr="00017972">
        <w:rPr>
          <w:rFonts w:ascii="宋体" w:hAnsi="宋体" w:hint="eastAsia"/>
          <w:color w:val="000000"/>
          <w:sz w:val="24"/>
        </w:rPr>
        <w:t>上述关联交易事项已</w:t>
      </w:r>
      <w:r w:rsidRPr="00017972">
        <w:rPr>
          <w:rFonts w:ascii="宋体" w:hAnsi="宋体" w:hint="eastAsia"/>
          <w:color w:val="000000"/>
          <w:sz w:val="24"/>
        </w:rPr>
        <w:t>由</w:t>
      </w:r>
      <w:r w:rsidR="00F91411" w:rsidRPr="00017972">
        <w:rPr>
          <w:rFonts w:ascii="宋体" w:hAnsi="宋体" w:hint="eastAsia"/>
          <w:color w:val="000000"/>
          <w:sz w:val="24"/>
        </w:rPr>
        <w:t>公司</w:t>
      </w:r>
      <w:r w:rsidRPr="00017972">
        <w:rPr>
          <w:rFonts w:ascii="宋体" w:hAnsi="宋体" w:hint="eastAsia"/>
          <w:color w:val="000000"/>
          <w:sz w:val="24"/>
        </w:rPr>
        <w:t>董事会审计与关联交易控制委员会审核</w:t>
      </w:r>
      <w:r w:rsidR="00305CA6" w:rsidRPr="00017972">
        <w:rPr>
          <w:rFonts w:ascii="宋体" w:hAnsi="宋体" w:hint="eastAsia"/>
          <w:color w:val="000000"/>
          <w:sz w:val="24"/>
        </w:rPr>
        <w:t>、</w:t>
      </w:r>
      <w:r w:rsidRPr="00017972">
        <w:rPr>
          <w:rFonts w:ascii="宋体" w:hAnsi="宋体" w:hint="eastAsia"/>
          <w:color w:val="000000"/>
          <w:sz w:val="24"/>
        </w:rPr>
        <w:t>董事会审议</w:t>
      </w:r>
      <w:r w:rsidR="00305CA6" w:rsidRPr="00017972">
        <w:rPr>
          <w:rFonts w:ascii="宋体" w:hAnsi="宋体" w:hint="eastAsia"/>
          <w:color w:val="000000"/>
          <w:sz w:val="24"/>
        </w:rPr>
        <w:t>通过，尚需提交</w:t>
      </w:r>
      <w:r w:rsidRPr="00017972">
        <w:rPr>
          <w:rFonts w:ascii="宋体" w:hAnsi="宋体" w:hint="eastAsia"/>
          <w:color w:val="000000"/>
          <w:sz w:val="24"/>
        </w:rPr>
        <w:t>股东大会审批。</w:t>
      </w:r>
    </w:p>
    <w:p w:rsidR="00CF3F82" w:rsidRDefault="00CF3F82" w:rsidP="00130A7A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="宋体" w:hAnsi="宋体" w:cs="宋体"/>
          <w:b/>
          <w:sz w:val="24"/>
        </w:rPr>
      </w:pPr>
    </w:p>
    <w:p w:rsidR="00130A7A" w:rsidRPr="00130A7A" w:rsidRDefault="00130A7A" w:rsidP="00130A7A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="宋体" w:hAnsi="宋体" w:cs="宋体"/>
          <w:b/>
          <w:sz w:val="24"/>
        </w:rPr>
      </w:pPr>
      <w:r w:rsidRPr="00130A7A">
        <w:rPr>
          <w:rFonts w:ascii="宋体" w:hAnsi="宋体" w:cs="宋体" w:hint="eastAsia"/>
          <w:b/>
          <w:sz w:val="24"/>
        </w:rPr>
        <w:t>二、关联方介绍</w:t>
      </w:r>
      <w:r w:rsidRPr="00130A7A">
        <w:rPr>
          <w:rFonts w:ascii="宋体" w:hAnsi="宋体" w:cs="宋体"/>
          <w:b/>
          <w:sz w:val="24"/>
        </w:rPr>
        <w:t xml:space="preserve"> </w:t>
      </w:r>
    </w:p>
    <w:p w:rsidR="00130A7A" w:rsidRPr="00130A7A" w:rsidRDefault="00130A7A" w:rsidP="00130A7A">
      <w:pPr>
        <w:pStyle w:val="Default"/>
        <w:spacing w:line="360" w:lineRule="auto"/>
        <w:ind w:firstLineChars="150" w:firstLine="360"/>
        <w:rPr>
          <w:rFonts w:hAnsi="宋体"/>
        </w:rPr>
      </w:pPr>
      <w:r w:rsidRPr="00130A7A">
        <w:rPr>
          <w:rFonts w:hAnsi="宋体" w:cs="Times New Roman" w:hint="eastAsia"/>
          <w:kern w:val="2"/>
        </w:rPr>
        <w:t>（一）关联方的基本情况</w:t>
      </w:r>
    </w:p>
    <w:p w:rsidR="000C092D" w:rsidRDefault="006868C6" w:rsidP="006868C6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6868C6">
        <w:rPr>
          <w:rFonts w:ascii="宋体" w:hAnsi="宋体" w:cs="宋体" w:hint="eastAsia"/>
          <w:kern w:val="0"/>
          <w:sz w:val="24"/>
        </w:rPr>
        <w:t>福建阳光集团有限公司成立于2002年2月，法定代表人吴洁，注册地福州，注册资本人民币71.6亿元，股东结构为：吴洁45.46%、林雪莺10.66%、阳光城控股集团有限公司43.88%。根据吴洁与阳光城控股实际控制人林腾蛟先生签署的《一致行动协议》安排，</w:t>
      </w:r>
      <w:r w:rsidR="00DF6FDE" w:rsidRPr="006868C6">
        <w:rPr>
          <w:rFonts w:ascii="宋体" w:hAnsi="宋体" w:cs="宋体" w:hint="eastAsia"/>
          <w:kern w:val="0"/>
          <w:sz w:val="24"/>
        </w:rPr>
        <w:t>林腾蛟与吴洁</w:t>
      </w:r>
      <w:proofErr w:type="gramStart"/>
      <w:r w:rsidR="00DF6FDE" w:rsidRPr="006868C6">
        <w:rPr>
          <w:rFonts w:ascii="宋体" w:hAnsi="宋体" w:cs="宋体" w:hint="eastAsia"/>
          <w:kern w:val="0"/>
          <w:sz w:val="24"/>
        </w:rPr>
        <w:t>系一致</w:t>
      </w:r>
      <w:proofErr w:type="gramEnd"/>
      <w:r w:rsidR="00DF6FDE" w:rsidRPr="006868C6">
        <w:rPr>
          <w:rFonts w:ascii="宋体" w:hAnsi="宋体" w:cs="宋体" w:hint="eastAsia"/>
          <w:kern w:val="0"/>
          <w:sz w:val="24"/>
        </w:rPr>
        <w:t>行动人</w:t>
      </w:r>
      <w:r w:rsidR="00DF6FDE">
        <w:rPr>
          <w:rFonts w:ascii="宋体" w:hAnsi="宋体" w:cs="宋体" w:hint="eastAsia"/>
          <w:kern w:val="0"/>
          <w:sz w:val="24"/>
        </w:rPr>
        <w:t>，</w:t>
      </w:r>
      <w:r w:rsidRPr="006868C6">
        <w:rPr>
          <w:rFonts w:ascii="宋体" w:hAnsi="宋体" w:cs="宋体" w:hint="eastAsia"/>
          <w:kern w:val="0"/>
          <w:sz w:val="24"/>
        </w:rPr>
        <w:t>吴洁合计享有阳光集团89.34%的表决权，为该公司的实际控制人。</w:t>
      </w:r>
    </w:p>
    <w:p w:rsidR="006868C6" w:rsidRDefault="006868C6" w:rsidP="006868C6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6868C6">
        <w:rPr>
          <w:rFonts w:ascii="宋体" w:hAnsi="宋体" w:cs="宋体" w:hint="eastAsia"/>
          <w:kern w:val="0"/>
          <w:sz w:val="24"/>
        </w:rPr>
        <w:t>截至</w:t>
      </w:r>
      <w:r w:rsidR="00D3166F" w:rsidRPr="005E35CA">
        <w:rPr>
          <w:rFonts w:ascii="宋体" w:hAnsi="宋体" w:cs="宋体"/>
          <w:kern w:val="0"/>
          <w:sz w:val="24"/>
        </w:rPr>
        <w:t>2018年9月末</w:t>
      </w:r>
      <w:r w:rsidRPr="005E35CA">
        <w:rPr>
          <w:rFonts w:ascii="宋体" w:hAnsi="宋体" w:cs="宋体" w:hint="eastAsia"/>
          <w:kern w:val="0"/>
          <w:sz w:val="24"/>
        </w:rPr>
        <w:t>，</w:t>
      </w:r>
      <w:r w:rsidRPr="006868C6">
        <w:rPr>
          <w:rFonts w:ascii="宋体" w:hAnsi="宋体" w:cs="宋体" w:hint="eastAsia"/>
          <w:kern w:val="0"/>
          <w:sz w:val="24"/>
        </w:rPr>
        <w:t>福建阳光集团有限公司合并总资产人民币3</w:t>
      </w:r>
      <w:r w:rsidR="001B5244">
        <w:rPr>
          <w:rFonts w:ascii="宋体" w:hAnsi="宋体" w:cs="宋体" w:hint="eastAsia"/>
          <w:kern w:val="0"/>
          <w:sz w:val="24"/>
        </w:rPr>
        <w:t>,</w:t>
      </w:r>
      <w:r w:rsidRPr="006868C6">
        <w:rPr>
          <w:rFonts w:ascii="宋体" w:hAnsi="宋体" w:cs="宋体" w:hint="eastAsia"/>
          <w:kern w:val="0"/>
          <w:sz w:val="24"/>
        </w:rPr>
        <w:t>088.44亿元，所有者权益人民币468.73亿元，资产负债率为84.82%,2018年1-9月实现营业收入人民币488.86亿元，净利润人民币16.73亿元,经营性净现金流入人民币102.26亿元。</w:t>
      </w:r>
    </w:p>
    <w:p w:rsidR="00130A7A" w:rsidRPr="00130A7A" w:rsidRDefault="00130A7A" w:rsidP="00130A7A">
      <w:pPr>
        <w:pStyle w:val="Default"/>
        <w:spacing w:line="360" w:lineRule="auto"/>
        <w:ind w:firstLineChars="150" w:firstLine="360"/>
        <w:rPr>
          <w:rFonts w:hAnsi="宋体"/>
        </w:rPr>
      </w:pPr>
      <w:r w:rsidRPr="00130A7A">
        <w:rPr>
          <w:rFonts w:hAnsi="宋体" w:hint="eastAsia"/>
        </w:rPr>
        <w:t>（二）与上市公司的关联关系</w:t>
      </w:r>
    </w:p>
    <w:p w:rsidR="00130A7A" w:rsidRPr="00130A7A" w:rsidRDefault="005E35CA" w:rsidP="00130A7A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686F04">
        <w:rPr>
          <w:rFonts w:ascii="宋体" w:hAnsi="宋体" w:cs="宋体" w:hint="eastAsia"/>
          <w:kern w:val="0"/>
          <w:sz w:val="24"/>
        </w:rPr>
        <w:t>福建阳光集团有限公司是阳光控股有限公司的子公司。</w:t>
      </w:r>
      <w:r w:rsidR="00130A7A" w:rsidRPr="00130A7A">
        <w:rPr>
          <w:rFonts w:ascii="宋体" w:hAnsi="宋体" w:hint="eastAsia"/>
          <w:sz w:val="24"/>
        </w:rPr>
        <w:t>阳光控股有限公司现持有</w:t>
      </w:r>
      <w:r w:rsidR="00F91411">
        <w:rPr>
          <w:rFonts w:ascii="宋体" w:hAnsi="宋体" w:hint="eastAsia"/>
          <w:sz w:val="24"/>
        </w:rPr>
        <w:t>公司</w:t>
      </w:r>
      <w:r w:rsidR="00130A7A" w:rsidRPr="00130A7A">
        <w:rPr>
          <w:rFonts w:ascii="宋体" w:hAnsi="宋体" w:hint="eastAsia"/>
          <w:sz w:val="24"/>
        </w:rPr>
        <w:t>总股份数的2.39%，</w:t>
      </w:r>
      <w:r w:rsidR="00130A7A" w:rsidRPr="00017972">
        <w:rPr>
          <w:rFonts w:ascii="宋体" w:hAnsi="宋体" w:hint="eastAsia"/>
          <w:sz w:val="24"/>
        </w:rPr>
        <w:t>经该公司推荐、</w:t>
      </w:r>
      <w:r w:rsidR="00F91411" w:rsidRPr="00017972">
        <w:rPr>
          <w:rFonts w:ascii="宋体" w:hAnsi="宋体" w:hint="eastAsia"/>
          <w:sz w:val="24"/>
        </w:rPr>
        <w:t>公司</w:t>
      </w:r>
      <w:r w:rsidR="00130A7A" w:rsidRPr="00017972">
        <w:rPr>
          <w:rFonts w:ascii="宋体" w:hAnsi="宋体" w:hint="eastAsia"/>
          <w:sz w:val="24"/>
        </w:rPr>
        <w:t>董事会审议和股东大会选举以及</w:t>
      </w:r>
      <w:r w:rsidR="00CF3F82">
        <w:rPr>
          <w:rFonts w:ascii="宋体" w:hAnsi="宋体" w:hint="eastAsia"/>
          <w:sz w:val="24"/>
        </w:rPr>
        <w:t>原</w:t>
      </w:r>
      <w:r w:rsidR="00130A7A" w:rsidRPr="00017972">
        <w:rPr>
          <w:rFonts w:ascii="宋体" w:hAnsi="宋体" w:hint="eastAsia"/>
          <w:sz w:val="24"/>
        </w:rPr>
        <w:t>中国银监会核准，该公司</w:t>
      </w:r>
      <w:r w:rsidR="00130A7A" w:rsidRPr="00130A7A">
        <w:rPr>
          <w:rFonts w:ascii="宋体" w:hAnsi="宋体" w:hint="eastAsia"/>
          <w:sz w:val="24"/>
        </w:rPr>
        <w:t>董事局主席林腾蛟先生担任</w:t>
      </w:r>
      <w:r w:rsidR="00F91411">
        <w:rPr>
          <w:rFonts w:ascii="宋体" w:hAnsi="宋体" w:hint="eastAsia"/>
          <w:sz w:val="24"/>
        </w:rPr>
        <w:t>公司</w:t>
      </w:r>
      <w:r w:rsidR="00130A7A" w:rsidRPr="00130A7A">
        <w:rPr>
          <w:rFonts w:ascii="宋体" w:hAnsi="宋体" w:hint="eastAsia"/>
          <w:sz w:val="24"/>
        </w:rPr>
        <w:t>董事，阳光控股有限公司以及林腾蛟先生及其近亲属</w:t>
      </w:r>
      <w:r w:rsidR="00130A7A" w:rsidRPr="00130A7A">
        <w:rPr>
          <w:rFonts w:ascii="宋体" w:hAnsi="宋体" w:cs="宋体" w:hint="eastAsia"/>
          <w:kern w:val="0"/>
          <w:sz w:val="24"/>
        </w:rPr>
        <w:t>直接、间接、共同控制或可施加重大影响的</w:t>
      </w:r>
      <w:r w:rsidR="00130A7A" w:rsidRPr="00130A7A">
        <w:rPr>
          <w:rFonts w:ascii="宋体" w:hAnsi="宋体" w:hint="eastAsia"/>
          <w:sz w:val="24"/>
        </w:rPr>
        <w:t>福建阳光集团有限公司等阳光系列企业属于</w:t>
      </w:r>
      <w:r w:rsidR="00F91411">
        <w:rPr>
          <w:rFonts w:ascii="宋体" w:hAnsi="宋体" w:hint="eastAsia"/>
          <w:sz w:val="24"/>
        </w:rPr>
        <w:t>公司</w:t>
      </w:r>
      <w:r w:rsidR="00130A7A" w:rsidRPr="00130A7A">
        <w:rPr>
          <w:rFonts w:ascii="宋体" w:hAnsi="宋体" w:hint="eastAsia"/>
          <w:sz w:val="24"/>
        </w:rPr>
        <w:t>关联法人。</w:t>
      </w:r>
    </w:p>
    <w:p w:rsidR="00CF3F82" w:rsidRDefault="00CF3F82" w:rsidP="00130A7A">
      <w:pPr>
        <w:pStyle w:val="Default"/>
        <w:spacing w:line="360" w:lineRule="auto"/>
        <w:ind w:firstLineChars="200" w:firstLine="482"/>
        <w:rPr>
          <w:rFonts w:hAnsi="宋体"/>
          <w:b/>
          <w:color w:val="auto"/>
        </w:rPr>
      </w:pPr>
    </w:p>
    <w:p w:rsidR="00130A7A" w:rsidRPr="00130A7A" w:rsidRDefault="00130A7A" w:rsidP="00130A7A">
      <w:pPr>
        <w:pStyle w:val="Default"/>
        <w:spacing w:line="360" w:lineRule="auto"/>
        <w:ind w:firstLineChars="200" w:firstLine="482"/>
        <w:rPr>
          <w:rFonts w:hAnsi="宋体"/>
          <w:b/>
          <w:color w:val="auto"/>
        </w:rPr>
      </w:pPr>
      <w:r w:rsidRPr="00130A7A">
        <w:rPr>
          <w:rFonts w:hAnsi="宋体" w:hint="eastAsia"/>
          <w:b/>
          <w:color w:val="auto"/>
        </w:rPr>
        <w:t>三、关联交易的主要内容和定价政策</w:t>
      </w:r>
    </w:p>
    <w:p w:rsidR="00130A7A" w:rsidRPr="00130A7A" w:rsidRDefault="00130A7A" w:rsidP="00130A7A">
      <w:pPr>
        <w:pStyle w:val="Default"/>
        <w:spacing w:line="360" w:lineRule="auto"/>
        <w:ind w:firstLineChars="200" w:firstLine="480"/>
        <w:rPr>
          <w:rFonts w:hAnsi="宋体"/>
          <w:color w:val="auto"/>
        </w:rPr>
      </w:pPr>
      <w:r w:rsidRPr="00130A7A">
        <w:rPr>
          <w:rFonts w:hAnsi="宋体" w:hint="eastAsia"/>
          <w:color w:val="auto"/>
        </w:rPr>
        <w:t>（一）关联交易主要内容</w:t>
      </w:r>
    </w:p>
    <w:p w:rsidR="006868C6" w:rsidRDefault="00710733" w:rsidP="00130A7A">
      <w:pPr>
        <w:spacing w:line="360" w:lineRule="auto"/>
        <w:ind w:firstLineChars="200" w:firstLine="480"/>
        <w:rPr>
          <w:rFonts w:ascii="宋体" w:hAnsi="宋体" w:cs="宋体"/>
          <w:iCs/>
          <w:color w:val="000000"/>
          <w:kern w:val="0"/>
          <w:sz w:val="24"/>
        </w:rPr>
      </w:pPr>
      <w:r>
        <w:rPr>
          <w:rFonts w:ascii="宋体" w:hAnsi="宋体" w:hint="eastAsia"/>
          <w:sz w:val="24"/>
        </w:rPr>
        <w:t>公司</w:t>
      </w:r>
      <w:r w:rsidR="00FB6159" w:rsidRPr="00FB6159">
        <w:rPr>
          <w:rFonts w:ascii="宋体" w:hAnsi="宋体" w:hint="eastAsia"/>
          <w:sz w:val="24"/>
        </w:rPr>
        <w:t>2017年年度股东大会于2018年5月审批给予阳光系列授</w:t>
      </w:r>
      <w:proofErr w:type="gramStart"/>
      <w:r w:rsidR="00FB6159" w:rsidRPr="00FB6159">
        <w:rPr>
          <w:rFonts w:ascii="宋体" w:hAnsi="宋体" w:hint="eastAsia"/>
          <w:sz w:val="24"/>
        </w:rPr>
        <w:t>信类关联</w:t>
      </w:r>
      <w:proofErr w:type="gramEnd"/>
      <w:r w:rsidR="00FB6159" w:rsidRPr="00FB6159">
        <w:rPr>
          <w:rFonts w:ascii="宋体" w:hAnsi="宋体" w:hint="eastAsia"/>
          <w:sz w:val="24"/>
        </w:rPr>
        <w:t>交易</w:t>
      </w:r>
      <w:r w:rsidR="00FB6159" w:rsidRPr="00FB6159">
        <w:rPr>
          <w:rFonts w:ascii="宋体" w:hAnsi="宋体" w:hint="eastAsia"/>
          <w:sz w:val="24"/>
        </w:rPr>
        <w:lastRenderedPageBreak/>
        <w:t>额度人民币180亿元、</w:t>
      </w:r>
      <w:proofErr w:type="gramStart"/>
      <w:r w:rsidR="00FB6159" w:rsidRPr="00FB6159">
        <w:rPr>
          <w:rFonts w:ascii="宋体" w:hAnsi="宋体" w:hint="eastAsia"/>
          <w:sz w:val="24"/>
        </w:rPr>
        <w:t>非授信类关联</w:t>
      </w:r>
      <w:proofErr w:type="gramEnd"/>
      <w:r w:rsidR="00FB6159" w:rsidRPr="00FB6159">
        <w:rPr>
          <w:rFonts w:ascii="宋体" w:hAnsi="宋体" w:hint="eastAsia"/>
          <w:sz w:val="24"/>
        </w:rPr>
        <w:t>交易额度人民币192亿元，有效期至2021年4月30日止。</w:t>
      </w:r>
      <w:r w:rsidR="00FB6159">
        <w:rPr>
          <w:rFonts w:ascii="宋体" w:hAnsi="宋体" w:hint="eastAsia"/>
          <w:sz w:val="24"/>
        </w:rPr>
        <w:t>根据公司</w:t>
      </w:r>
      <w:r w:rsidR="00FB6159" w:rsidRPr="00FB6159">
        <w:rPr>
          <w:rFonts w:ascii="宋体" w:hAnsi="宋体" w:hint="eastAsia"/>
          <w:sz w:val="24"/>
        </w:rPr>
        <w:t>与阳光系列进一步业务合作需要，</w:t>
      </w:r>
      <w:r w:rsidR="00FB6159">
        <w:rPr>
          <w:rFonts w:ascii="宋体" w:hAnsi="宋体" w:hint="eastAsia"/>
          <w:sz w:val="24"/>
        </w:rPr>
        <w:t>公司拟</w:t>
      </w:r>
      <w:r w:rsidR="00130A7A" w:rsidRPr="00130A7A">
        <w:rPr>
          <w:rFonts w:ascii="宋体" w:hAnsi="宋体" w:hint="eastAsia"/>
          <w:sz w:val="24"/>
        </w:rPr>
        <w:t>追加给予阳光系列授</w:t>
      </w:r>
      <w:proofErr w:type="gramStart"/>
      <w:r w:rsidR="00130A7A" w:rsidRPr="00130A7A">
        <w:rPr>
          <w:rFonts w:ascii="宋体" w:hAnsi="宋体" w:hint="eastAsia"/>
          <w:sz w:val="24"/>
        </w:rPr>
        <w:t>信类关联</w:t>
      </w:r>
      <w:proofErr w:type="gramEnd"/>
      <w:r w:rsidR="00130A7A" w:rsidRPr="00130A7A">
        <w:rPr>
          <w:rFonts w:ascii="宋体" w:hAnsi="宋体" w:hint="eastAsia"/>
          <w:sz w:val="24"/>
        </w:rPr>
        <w:t>交易额度</w:t>
      </w:r>
      <w:r w:rsidR="006868C6">
        <w:rPr>
          <w:rFonts w:ascii="宋体" w:hAnsi="宋体" w:hint="eastAsia"/>
          <w:sz w:val="24"/>
        </w:rPr>
        <w:t>40</w:t>
      </w:r>
      <w:r w:rsidR="00130A7A" w:rsidRPr="00130A7A">
        <w:rPr>
          <w:rFonts w:ascii="宋体" w:hAnsi="宋体" w:hint="eastAsia"/>
          <w:sz w:val="24"/>
        </w:rPr>
        <w:t>亿元，其中：</w:t>
      </w:r>
      <w:r w:rsidR="006868C6" w:rsidRPr="006868C6">
        <w:rPr>
          <w:rFonts w:ascii="宋体" w:hAnsi="宋体" w:hint="eastAsia"/>
          <w:sz w:val="24"/>
        </w:rPr>
        <w:t>主体授信额度30亿元</w:t>
      </w:r>
      <w:r w:rsidR="006868C6">
        <w:rPr>
          <w:rFonts w:ascii="宋体" w:hAnsi="宋体" w:hint="eastAsia"/>
          <w:sz w:val="24"/>
        </w:rPr>
        <w:t>，</w:t>
      </w:r>
      <w:r w:rsidR="006868C6" w:rsidRPr="006868C6">
        <w:rPr>
          <w:rFonts w:ascii="宋体" w:hAnsi="宋体" w:cs="宋体" w:hint="eastAsia"/>
          <w:iCs/>
          <w:color w:val="000000"/>
          <w:kern w:val="0"/>
          <w:sz w:val="24"/>
        </w:rPr>
        <w:t>非保本理财项下投资额度10亿元</w:t>
      </w:r>
      <w:r w:rsidR="00FB6159">
        <w:rPr>
          <w:rFonts w:ascii="宋体" w:hAnsi="宋体" w:cs="宋体" w:hint="eastAsia"/>
          <w:iCs/>
          <w:color w:val="000000"/>
          <w:kern w:val="0"/>
          <w:sz w:val="24"/>
        </w:rPr>
        <w:t>，</w:t>
      </w:r>
      <w:r w:rsidR="00FB6159" w:rsidRPr="00261B66">
        <w:rPr>
          <w:rFonts w:ascii="宋体" w:hAnsi="宋体" w:cs="宋体" w:hint="eastAsia"/>
          <w:iCs/>
          <w:color w:val="000000"/>
          <w:kern w:val="0"/>
          <w:sz w:val="24"/>
        </w:rPr>
        <w:t>有效期延长至2021年6月30日。</w:t>
      </w:r>
    </w:p>
    <w:p w:rsidR="00710733" w:rsidRPr="00130A7A" w:rsidRDefault="00130A7A" w:rsidP="00130A7A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30A7A">
        <w:rPr>
          <w:rFonts w:ascii="宋体" w:hAnsi="宋体" w:hint="eastAsia"/>
          <w:sz w:val="24"/>
        </w:rPr>
        <w:t>本次变更后</w:t>
      </w:r>
      <w:r w:rsidR="00F778F5">
        <w:rPr>
          <w:rFonts w:ascii="宋体" w:hAnsi="宋体" w:hint="eastAsia"/>
          <w:sz w:val="24"/>
        </w:rPr>
        <w:t>，</w:t>
      </w:r>
      <w:r w:rsidR="00710733">
        <w:rPr>
          <w:rFonts w:ascii="宋体" w:hAnsi="宋体" w:hint="eastAsia"/>
          <w:sz w:val="24"/>
        </w:rPr>
        <w:t>拟</w:t>
      </w:r>
      <w:r w:rsidRPr="00130A7A">
        <w:rPr>
          <w:rFonts w:ascii="宋体" w:hAnsi="宋体" w:hint="eastAsia"/>
          <w:sz w:val="24"/>
        </w:rPr>
        <w:t>给予</w:t>
      </w:r>
      <w:r w:rsidR="00710733" w:rsidRPr="006868C6">
        <w:rPr>
          <w:rFonts w:ascii="宋体" w:hAnsi="宋体" w:cs="宋体" w:hint="eastAsia"/>
          <w:iCs/>
          <w:color w:val="000000"/>
          <w:kern w:val="0"/>
          <w:sz w:val="24"/>
        </w:rPr>
        <w:t>阳光系列关联交易额度人民币412亿元，有效期至2021年</w:t>
      </w:r>
      <w:r w:rsidR="00710733">
        <w:rPr>
          <w:rFonts w:ascii="宋体" w:hAnsi="宋体" w:cs="宋体" w:hint="eastAsia"/>
          <w:iCs/>
          <w:color w:val="000000"/>
          <w:kern w:val="0"/>
          <w:sz w:val="24"/>
        </w:rPr>
        <w:t>6</w:t>
      </w:r>
      <w:r w:rsidR="00710733" w:rsidRPr="006868C6">
        <w:rPr>
          <w:rFonts w:ascii="宋体" w:hAnsi="宋体" w:cs="宋体" w:hint="eastAsia"/>
          <w:iCs/>
          <w:color w:val="000000"/>
          <w:kern w:val="0"/>
          <w:sz w:val="24"/>
        </w:rPr>
        <w:t>月30日止。具体为：（1）授</w:t>
      </w:r>
      <w:proofErr w:type="gramStart"/>
      <w:r w:rsidR="00710733" w:rsidRPr="006868C6">
        <w:rPr>
          <w:rFonts w:ascii="宋体" w:hAnsi="宋体" w:cs="宋体" w:hint="eastAsia"/>
          <w:iCs/>
          <w:color w:val="000000"/>
          <w:kern w:val="0"/>
          <w:sz w:val="24"/>
        </w:rPr>
        <w:t>信类关联</w:t>
      </w:r>
      <w:proofErr w:type="gramEnd"/>
      <w:r w:rsidR="00710733" w:rsidRPr="006868C6">
        <w:rPr>
          <w:rFonts w:ascii="宋体" w:hAnsi="宋体" w:cs="宋体" w:hint="eastAsia"/>
          <w:iCs/>
          <w:color w:val="000000"/>
          <w:kern w:val="0"/>
          <w:sz w:val="24"/>
        </w:rPr>
        <w:t>交易额度人民币220亿元，用于</w:t>
      </w:r>
      <w:r w:rsidR="00710733" w:rsidRPr="00C10A8A">
        <w:rPr>
          <w:rFonts w:ascii="宋体" w:hAnsi="宋体" w:cs="宋体" w:hint="eastAsia"/>
          <w:iCs/>
          <w:color w:val="000000"/>
          <w:kern w:val="0"/>
          <w:sz w:val="24"/>
        </w:rPr>
        <w:t>福建阳光集团有限公司及其关联企业</w:t>
      </w:r>
      <w:r w:rsidR="00710733" w:rsidRPr="006868C6">
        <w:rPr>
          <w:rFonts w:ascii="宋体" w:hAnsi="宋体" w:cs="宋体" w:hint="eastAsia"/>
          <w:iCs/>
          <w:color w:val="000000"/>
          <w:kern w:val="0"/>
          <w:sz w:val="24"/>
        </w:rPr>
        <w:t>开展各类短、中、长期业务品种；（2）</w:t>
      </w:r>
      <w:proofErr w:type="gramStart"/>
      <w:r w:rsidR="00710733" w:rsidRPr="006868C6">
        <w:rPr>
          <w:rFonts w:ascii="宋体" w:hAnsi="宋体" w:cs="宋体" w:hint="eastAsia"/>
          <w:iCs/>
          <w:color w:val="000000"/>
          <w:kern w:val="0"/>
          <w:sz w:val="24"/>
        </w:rPr>
        <w:t>非授信类关联</w:t>
      </w:r>
      <w:proofErr w:type="gramEnd"/>
      <w:r w:rsidR="00710733" w:rsidRPr="006868C6">
        <w:rPr>
          <w:rFonts w:ascii="宋体" w:hAnsi="宋体" w:cs="宋体" w:hint="eastAsia"/>
          <w:iCs/>
          <w:color w:val="000000"/>
          <w:kern w:val="0"/>
          <w:sz w:val="24"/>
        </w:rPr>
        <w:t>交易额度人民币192亿元，交易类别包括结构性存款及对公理财、资金业务、信贷资产转让、代理销售、债券承销、信托服务等业务。</w:t>
      </w:r>
    </w:p>
    <w:p w:rsidR="00130A7A" w:rsidRPr="00130A7A" w:rsidRDefault="00130A7A" w:rsidP="00130A7A">
      <w:pPr>
        <w:pStyle w:val="Default"/>
        <w:spacing w:line="360" w:lineRule="auto"/>
        <w:ind w:firstLineChars="200" w:firstLine="480"/>
        <w:rPr>
          <w:rFonts w:hAnsi="宋体" w:cs="Times New Roman"/>
          <w:color w:val="auto"/>
        </w:rPr>
      </w:pPr>
      <w:r w:rsidRPr="00130A7A">
        <w:rPr>
          <w:rFonts w:hAnsi="宋体" w:cs="Times New Roman" w:hint="eastAsia"/>
          <w:color w:val="auto"/>
        </w:rPr>
        <w:t>（二）定价政策</w:t>
      </w:r>
    </w:p>
    <w:p w:rsidR="00130A7A" w:rsidRPr="00130A7A" w:rsidRDefault="00130A7A" w:rsidP="00130A7A">
      <w:pPr>
        <w:pStyle w:val="Default"/>
        <w:spacing w:line="360" w:lineRule="auto"/>
        <w:ind w:firstLineChars="200" w:firstLine="480"/>
        <w:rPr>
          <w:rFonts w:hAnsi="宋体" w:cs="Times New Roman"/>
          <w:color w:val="auto"/>
        </w:rPr>
      </w:pPr>
      <w:r w:rsidRPr="00130A7A">
        <w:rPr>
          <w:rFonts w:hAnsi="宋体" w:cs="Times New Roman" w:hint="eastAsia"/>
          <w:color w:val="auto"/>
        </w:rPr>
        <w:t>公司与阳光系列的关联交易，交易定价参考</w:t>
      </w:r>
      <w:proofErr w:type="gramStart"/>
      <w:r w:rsidRPr="00130A7A">
        <w:rPr>
          <w:rFonts w:hAnsi="宋体" w:cs="Times New Roman" w:hint="eastAsia"/>
          <w:color w:val="auto"/>
        </w:rPr>
        <w:t>独立第三</w:t>
      </w:r>
      <w:proofErr w:type="gramEnd"/>
      <w:r w:rsidRPr="00130A7A">
        <w:rPr>
          <w:rFonts w:hAnsi="宋体" w:cs="Times New Roman" w:hint="eastAsia"/>
          <w:color w:val="auto"/>
        </w:rPr>
        <w:t>方的非关联交易价格。</w:t>
      </w:r>
      <w:proofErr w:type="gramStart"/>
      <w:r w:rsidRPr="00130A7A">
        <w:rPr>
          <w:rFonts w:hAnsi="宋体" w:cs="Times New Roman" w:hint="eastAsia"/>
          <w:color w:val="auto"/>
        </w:rPr>
        <w:t>如授信类关联</w:t>
      </w:r>
      <w:proofErr w:type="gramEnd"/>
      <w:r w:rsidRPr="00130A7A">
        <w:rPr>
          <w:rFonts w:hAnsi="宋体" w:cs="Times New Roman" w:hint="eastAsia"/>
          <w:color w:val="auto"/>
        </w:rPr>
        <w:t>交易，相关授信条件没有优于其他受</w:t>
      </w:r>
      <w:proofErr w:type="gramStart"/>
      <w:r w:rsidRPr="00130A7A">
        <w:rPr>
          <w:rFonts w:hAnsi="宋体" w:cs="Times New Roman" w:hint="eastAsia"/>
          <w:color w:val="auto"/>
        </w:rPr>
        <w:t>信主体</w:t>
      </w:r>
      <w:proofErr w:type="gramEnd"/>
      <w:r w:rsidRPr="00130A7A">
        <w:rPr>
          <w:rFonts w:hAnsi="宋体" w:cs="Times New Roman" w:hint="eastAsia"/>
          <w:color w:val="auto"/>
        </w:rPr>
        <w:t>同类授信的条件，关联交易价格参考</w:t>
      </w:r>
      <w:proofErr w:type="gramStart"/>
      <w:r w:rsidRPr="00130A7A">
        <w:rPr>
          <w:rFonts w:hAnsi="宋体" w:cs="Times New Roman" w:hint="eastAsia"/>
          <w:color w:val="auto"/>
        </w:rPr>
        <w:t>独立第三</w:t>
      </w:r>
      <w:proofErr w:type="gramEnd"/>
      <w:r w:rsidRPr="00130A7A">
        <w:rPr>
          <w:rFonts w:hAnsi="宋体" w:cs="Times New Roman" w:hint="eastAsia"/>
          <w:color w:val="auto"/>
        </w:rPr>
        <w:t>方的非关联交易价格，结算方式与</w:t>
      </w:r>
      <w:proofErr w:type="gramStart"/>
      <w:r w:rsidRPr="00130A7A">
        <w:rPr>
          <w:rFonts w:hAnsi="宋体" w:cs="Times New Roman" w:hint="eastAsia"/>
          <w:color w:val="auto"/>
        </w:rPr>
        <w:t>独立第三</w:t>
      </w:r>
      <w:proofErr w:type="gramEnd"/>
      <w:r w:rsidRPr="00130A7A">
        <w:rPr>
          <w:rFonts w:hAnsi="宋体" w:cs="Times New Roman" w:hint="eastAsia"/>
          <w:color w:val="auto"/>
        </w:rPr>
        <w:t>方的非关联交易相同；</w:t>
      </w:r>
      <w:proofErr w:type="gramStart"/>
      <w:r w:rsidRPr="00130A7A">
        <w:rPr>
          <w:rFonts w:hAnsi="宋体" w:cs="Times New Roman" w:hint="eastAsia"/>
          <w:color w:val="auto"/>
        </w:rPr>
        <w:t>非授信类关联</w:t>
      </w:r>
      <w:proofErr w:type="gramEnd"/>
      <w:r w:rsidRPr="00130A7A">
        <w:rPr>
          <w:rFonts w:hAnsi="宋体" w:cs="Times New Roman" w:hint="eastAsia"/>
          <w:color w:val="auto"/>
        </w:rPr>
        <w:t>交易属于公司日常业务经营中的合理交易，遵循一般商业原则，以不优于对非关联方同类交易的条件进行。</w:t>
      </w:r>
    </w:p>
    <w:p w:rsidR="00CF3F82" w:rsidRDefault="00CF3F82" w:rsidP="00130A7A">
      <w:pPr>
        <w:pStyle w:val="Default"/>
        <w:spacing w:line="360" w:lineRule="auto"/>
        <w:ind w:firstLineChars="200" w:firstLine="482"/>
        <w:rPr>
          <w:rFonts w:hAnsi="宋体" w:cs="Times New Roman"/>
          <w:b/>
          <w:color w:val="auto"/>
        </w:rPr>
      </w:pPr>
    </w:p>
    <w:p w:rsidR="00130A7A" w:rsidRPr="00130A7A" w:rsidRDefault="00130A7A" w:rsidP="00130A7A">
      <w:pPr>
        <w:pStyle w:val="Default"/>
        <w:spacing w:line="360" w:lineRule="auto"/>
        <w:ind w:firstLineChars="200" w:firstLine="482"/>
        <w:rPr>
          <w:rFonts w:hAnsi="宋体" w:cs="Times New Roman"/>
          <w:b/>
          <w:color w:val="auto"/>
        </w:rPr>
      </w:pPr>
      <w:r w:rsidRPr="00130A7A">
        <w:rPr>
          <w:rFonts w:hAnsi="宋体" w:cs="Times New Roman" w:hint="eastAsia"/>
          <w:b/>
          <w:color w:val="auto"/>
        </w:rPr>
        <w:t>四、关联交易的目的以及本次关联交易对上市公司的影响</w:t>
      </w:r>
      <w:r w:rsidRPr="00130A7A">
        <w:rPr>
          <w:rFonts w:hAnsi="宋体" w:cs="Times New Roman"/>
          <w:b/>
          <w:color w:val="auto"/>
        </w:rPr>
        <w:t xml:space="preserve"> </w:t>
      </w:r>
    </w:p>
    <w:p w:rsidR="006868C6" w:rsidRPr="006868C6" w:rsidRDefault="006868C6" w:rsidP="006868C6">
      <w:pPr>
        <w:pStyle w:val="Default"/>
        <w:spacing w:line="360" w:lineRule="auto"/>
        <w:ind w:firstLineChars="150" w:firstLine="360"/>
        <w:rPr>
          <w:rFonts w:hAnsi="宋体" w:cs="Times New Roman"/>
          <w:color w:val="auto"/>
        </w:rPr>
      </w:pPr>
      <w:r w:rsidRPr="00951346">
        <w:rPr>
          <w:rFonts w:hAnsi="宋体" w:cs="Times New Roman" w:hint="eastAsia"/>
          <w:color w:val="auto"/>
        </w:rPr>
        <w:t>考虑到</w:t>
      </w:r>
      <w:r w:rsidR="00DA5E38">
        <w:rPr>
          <w:rFonts w:hAnsi="宋体" w:cs="Times New Roman" w:hint="eastAsia"/>
          <w:color w:val="auto"/>
        </w:rPr>
        <w:t>公司</w:t>
      </w:r>
      <w:r w:rsidRPr="00951346">
        <w:rPr>
          <w:rFonts w:hAnsi="宋体" w:cs="Times New Roman" w:hint="eastAsia"/>
          <w:color w:val="auto"/>
        </w:rPr>
        <w:t>与阳光系列在多个业务领域的合作持续推进，相关业务需求不断增加，</w:t>
      </w:r>
      <w:r w:rsidR="00914C06">
        <w:rPr>
          <w:rFonts w:hAnsi="宋体" w:cs="Times New Roman" w:hint="eastAsia"/>
          <w:color w:val="auto"/>
        </w:rPr>
        <w:t>公司</w:t>
      </w:r>
      <w:r w:rsidRPr="006868C6">
        <w:rPr>
          <w:rFonts w:hAnsi="宋体" w:cs="Times New Roman" w:hint="eastAsia"/>
          <w:color w:val="auto"/>
        </w:rPr>
        <w:t>与</w:t>
      </w:r>
      <w:r w:rsidR="00710733">
        <w:rPr>
          <w:rFonts w:hAnsi="宋体" w:cs="Times New Roman" w:hint="eastAsia"/>
          <w:color w:val="auto"/>
        </w:rPr>
        <w:t>阳光系列</w:t>
      </w:r>
      <w:r w:rsidRPr="006868C6">
        <w:rPr>
          <w:rFonts w:hAnsi="宋体" w:cs="Times New Roman" w:hint="eastAsia"/>
          <w:color w:val="auto"/>
        </w:rPr>
        <w:t>关联方开展的相关业务有利于各方的进一步合作。</w:t>
      </w:r>
    </w:p>
    <w:p w:rsidR="006868C6" w:rsidRDefault="006868C6" w:rsidP="006868C6">
      <w:pPr>
        <w:pStyle w:val="Default"/>
        <w:spacing w:line="360" w:lineRule="auto"/>
        <w:ind w:firstLineChars="150" w:firstLine="360"/>
        <w:rPr>
          <w:rFonts w:hAnsi="宋体" w:cs="Times New Roman"/>
          <w:color w:val="auto"/>
        </w:rPr>
      </w:pPr>
      <w:r w:rsidRPr="006868C6">
        <w:rPr>
          <w:rFonts w:hAnsi="宋体" w:cs="Times New Roman" w:hint="eastAsia"/>
          <w:color w:val="auto"/>
        </w:rPr>
        <w:t>上述关联交易是</w:t>
      </w:r>
      <w:r w:rsidR="00914C06">
        <w:rPr>
          <w:rFonts w:hAnsi="宋体" w:cs="Times New Roman" w:hint="eastAsia"/>
          <w:color w:val="auto"/>
        </w:rPr>
        <w:t>公司</w:t>
      </w:r>
      <w:r w:rsidRPr="006868C6">
        <w:rPr>
          <w:rFonts w:hAnsi="宋体" w:cs="Times New Roman" w:hint="eastAsia"/>
          <w:color w:val="auto"/>
        </w:rPr>
        <w:t>在日常业务中按市场原则及一般商务条款或按照不优于适用于</w:t>
      </w:r>
      <w:proofErr w:type="gramStart"/>
      <w:r w:rsidRPr="006868C6">
        <w:rPr>
          <w:rFonts w:hAnsi="宋体" w:cs="Times New Roman" w:hint="eastAsia"/>
          <w:color w:val="auto"/>
        </w:rPr>
        <w:t>独立第三</w:t>
      </w:r>
      <w:proofErr w:type="gramEnd"/>
      <w:r w:rsidRPr="006868C6">
        <w:rPr>
          <w:rFonts w:hAnsi="宋体" w:cs="Times New Roman" w:hint="eastAsia"/>
          <w:color w:val="auto"/>
        </w:rPr>
        <w:t>方的条款而订立，交易条款公平合理，符合</w:t>
      </w:r>
      <w:r w:rsidR="00914C06">
        <w:rPr>
          <w:rFonts w:hAnsi="宋体" w:cs="Times New Roman" w:hint="eastAsia"/>
          <w:color w:val="auto"/>
        </w:rPr>
        <w:t>公司</w:t>
      </w:r>
      <w:r w:rsidRPr="006868C6">
        <w:rPr>
          <w:rFonts w:hAnsi="宋体" w:cs="Times New Roman" w:hint="eastAsia"/>
          <w:color w:val="auto"/>
        </w:rPr>
        <w:t>和全体股东的利益，符合监管部门相关法规要求及公司内部制度相关规定，不存在损害</w:t>
      </w:r>
      <w:r w:rsidR="00914C06">
        <w:rPr>
          <w:rFonts w:hAnsi="宋体" w:cs="Times New Roman" w:hint="eastAsia"/>
          <w:color w:val="auto"/>
        </w:rPr>
        <w:t>公司</w:t>
      </w:r>
      <w:r w:rsidRPr="006868C6">
        <w:rPr>
          <w:rFonts w:hAnsi="宋体" w:cs="Times New Roman" w:hint="eastAsia"/>
          <w:color w:val="auto"/>
        </w:rPr>
        <w:t>及中小股东利益的情况，并不会对</w:t>
      </w:r>
      <w:r w:rsidR="00914C06">
        <w:rPr>
          <w:rFonts w:hAnsi="宋体" w:cs="Times New Roman" w:hint="eastAsia"/>
          <w:color w:val="auto"/>
        </w:rPr>
        <w:t>公司</w:t>
      </w:r>
      <w:r w:rsidRPr="006868C6">
        <w:rPr>
          <w:rFonts w:hAnsi="宋体" w:cs="Times New Roman" w:hint="eastAsia"/>
          <w:color w:val="auto"/>
        </w:rPr>
        <w:t>本期及未来的财务状况产生不利影响，也不会影响上市公司的独立性。</w:t>
      </w:r>
    </w:p>
    <w:p w:rsidR="00CF3F82" w:rsidRDefault="00CF3F82" w:rsidP="006868C6">
      <w:pPr>
        <w:pStyle w:val="Default"/>
        <w:spacing w:line="360" w:lineRule="auto"/>
        <w:ind w:firstLineChars="150" w:firstLine="361"/>
        <w:rPr>
          <w:rFonts w:hAnsi="宋体"/>
          <w:b/>
        </w:rPr>
      </w:pPr>
    </w:p>
    <w:p w:rsidR="00130A7A" w:rsidRPr="00130A7A" w:rsidRDefault="00130A7A" w:rsidP="006868C6">
      <w:pPr>
        <w:pStyle w:val="Default"/>
        <w:spacing w:line="360" w:lineRule="auto"/>
        <w:ind w:firstLineChars="150" w:firstLine="361"/>
        <w:rPr>
          <w:rFonts w:hAnsi="宋体"/>
          <w:b/>
        </w:rPr>
      </w:pPr>
      <w:r w:rsidRPr="00017972">
        <w:rPr>
          <w:rFonts w:hAnsi="宋体" w:hint="eastAsia"/>
          <w:b/>
        </w:rPr>
        <w:t>五、独立董事意见</w:t>
      </w:r>
    </w:p>
    <w:p w:rsidR="00812DDA" w:rsidRPr="00812DDA" w:rsidRDefault="00812DDA" w:rsidP="00812DDA">
      <w:pPr>
        <w:pStyle w:val="Default"/>
        <w:spacing w:line="360" w:lineRule="auto"/>
        <w:ind w:firstLineChars="200" w:firstLine="480"/>
        <w:rPr>
          <w:rFonts w:hAnsi="宋体" w:cs="Times New Roman"/>
          <w:color w:val="auto"/>
        </w:rPr>
      </w:pPr>
      <w:r w:rsidRPr="00812DDA">
        <w:rPr>
          <w:rFonts w:hAnsi="宋体" w:cs="Times New Roman" w:hint="eastAsia"/>
          <w:color w:val="auto"/>
        </w:rPr>
        <w:t>公司独立董事</w:t>
      </w:r>
      <w:r w:rsidR="00CF3F82" w:rsidRPr="00CF3F82">
        <w:rPr>
          <w:rFonts w:hAnsi="宋体" w:cs="Times New Roman"/>
          <w:color w:val="auto"/>
        </w:rPr>
        <w:t>Paul M. Theil</w:t>
      </w:r>
      <w:r w:rsidR="006868C6" w:rsidRPr="006868C6">
        <w:rPr>
          <w:rFonts w:hAnsi="宋体" w:cs="Times New Roman" w:hint="eastAsia"/>
          <w:color w:val="auto"/>
        </w:rPr>
        <w:t>先生、朱青先生、刘世平先生、苏锡嘉先生、林华先生</w:t>
      </w:r>
      <w:r w:rsidRPr="00812DDA">
        <w:rPr>
          <w:rFonts w:hAnsi="宋体" w:cs="Times New Roman" w:hint="eastAsia"/>
          <w:color w:val="auto"/>
        </w:rPr>
        <w:t>对</w:t>
      </w:r>
      <w:r w:rsidR="00017972">
        <w:rPr>
          <w:rFonts w:hAnsi="宋体" w:cs="Times New Roman" w:hint="eastAsia"/>
          <w:color w:val="auto"/>
        </w:rPr>
        <w:t>上述</w:t>
      </w:r>
      <w:r w:rsidRPr="00812DDA">
        <w:rPr>
          <w:rFonts w:hAnsi="宋体" w:cs="Times New Roman" w:hint="eastAsia"/>
          <w:color w:val="auto"/>
        </w:rPr>
        <w:t>关联交易事项发表独立意见如下：</w:t>
      </w:r>
    </w:p>
    <w:p w:rsidR="001F0CCE" w:rsidRPr="00017972" w:rsidRDefault="001F0CCE" w:rsidP="001F0CC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017972">
        <w:rPr>
          <w:rFonts w:ascii="宋体" w:hAnsi="宋体" w:hint="eastAsia"/>
          <w:sz w:val="24"/>
        </w:rPr>
        <w:t>一、程序性。</w:t>
      </w:r>
      <w:r w:rsidR="00017972" w:rsidRPr="00017972">
        <w:rPr>
          <w:rFonts w:ascii="宋体" w:hAnsi="宋体" w:hint="eastAsia"/>
          <w:sz w:val="24"/>
        </w:rPr>
        <w:t>上述关联交易事项</w:t>
      </w:r>
      <w:r w:rsidR="001A7BBA" w:rsidRPr="001A7BBA">
        <w:rPr>
          <w:rFonts w:ascii="宋体" w:hAnsi="宋体" w:hint="eastAsia"/>
          <w:sz w:val="24"/>
        </w:rPr>
        <w:t>已履行董事会审议程序，尚待股东大会批准。董事会在审议上述关联交易议案时，关联董事已回避表决，符合中国银保监会、</w:t>
      </w:r>
      <w:r w:rsidR="001A7BBA" w:rsidRPr="001A7BBA">
        <w:rPr>
          <w:rFonts w:ascii="宋体" w:hAnsi="宋体" w:hint="eastAsia"/>
          <w:sz w:val="24"/>
        </w:rPr>
        <w:lastRenderedPageBreak/>
        <w:t>中国证监会、上海证券交易所等监管部门要求，符合</w:t>
      </w:r>
      <w:r w:rsidR="004F6572">
        <w:rPr>
          <w:rFonts w:ascii="宋体" w:hAnsi="宋体" w:hint="eastAsia"/>
          <w:sz w:val="24"/>
        </w:rPr>
        <w:t>公司</w:t>
      </w:r>
      <w:r w:rsidR="001A7BBA" w:rsidRPr="001A7BBA">
        <w:rPr>
          <w:rFonts w:ascii="宋体" w:hAnsi="宋体" w:hint="eastAsia"/>
          <w:sz w:val="24"/>
        </w:rPr>
        <w:t>章程、《关联交易管理办法》及其他相关规定。</w:t>
      </w:r>
    </w:p>
    <w:p w:rsidR="00812DDA" w:rsidRDefault="00812DDA" w:rsidP="008862F2">
      <w:pPr>
        <w:pStyle w:val="Default"/>
        <w:spacing w:line="360" w:lineRule="auto"/>
        <w:ind w:firstLineChars="200" w:firstLine="480"/>
        <w:rPr>
          <w:rFonts w:hAnsi="宋体" w:cs="Times New Roman"/>
          <w:color w:val="auto"/>
        </w:rPr>
      </w:pPr>
      <w:r w:rsidRPr="00812DDA">
        <w:rPr>
          <w:rFonts w:hAnsi="宋体" w:cs="Times New Roman" w:hint="eastAsia"/>
          <w:color w:val="auto"/>
        </w:rPr>
        <w:t>二、公允性。上述关联交易属于公司日常业务经营中的合理交易，遵循一般商业原则，且以不优于对非关联方同类交易的条件进行，交易条件公平、合理，符合监管部门相关法规要求及公司内部制度相关规定，未损害公司及股东、特别是中小股东的利益，并不会对公司本期及未来的财务状况产生不利影响，也不会影响上市公司的独立性。</w:t>
      </w:r>
    </w:p>
    <w:p w:rsidR="00CF3F82" w:rsidRPr="00812DDA" w:rsidRDefault="00CF3F82" w:rsidP="008862F2">
      <w:pPr>
        <w:pStyle w:val="Default"/>
        <w:spacing w:line="360" w:lineRule="auto"/>
        <w:ind w:firstLineChars="200" w:firstLine="480"/>
        <w:rPr>
          <w:rFonts w:hAnsi="宋体" w:cs="Times New Roman"/>
          <w:color w:val="auto"/>
        </w:rPr>
      </w:pPr>
    </w:p>
    <w:p w:rsidR="00130A7A" w:rsidRPr="00130A7A" w:rsidRDefault="00130A7A" w:rsidP="00130A7A">
      <w:pPr>
        <w:pStyle w:val="Default"/>
        <w:spacing w:line="360" w:lineRule="auto"/>
        <w:ind w:firstLineChars="150" w:firstLine="361"/>
        <w:rPr>
          <w:rFonts w:hAnsi="宋体"/>
          <w:b/>
        </w:rPr>
      </w:pPr>
      <w:r w:rsidRPr="00130A7A">
        <w:rPr>
          <w:rFonts w:hAnsi="宋体" w:hint="eastAsia"/>
          <w:b/>
        </w:rPr>
        <w:t>六、备查文件目录</w:t>
      </w:r>
      <w:r w:rsidRPr="00130A7A">
        <w:rPr>
          <w:rFonts w:hAnsi="宋体"/>
          <w:b/>
        </w:rPr>
        <w:t xml:space="preserve"> </w:t>
      </w:r>
    </w:p>
    <w:p w:rsidR="00130A7A" w:rsidRPr="00130A7A" w:rsidRDefault="00130A7A" w:rsidP="00130A7A">
      <w:pPr>
        <w:pStyle w:val="Default"/>
        <w:spacing w:line="360" w:lineRule="auto"/>
        <w:ind w:firstLineChars="150" w:firstLine="360"/>
        <w:rPr>
          <w:rFonts w:hAnsi="宋体"/>
        </w:rPr>
      </w:pPr>
      <w:r w:rsidRPr="00130A7A">
        <w:rPr>
          <w:rFonts w:hAnsi="宋体"/>
        </w:rPr>
        <w:t>1</w:t>
      </w:r>
      <w:r w:rsidRPr="00130A7A">
        <w:rPr>
          <w:rFonts w:hAnsi="宋体" w:hint="eastAsia"/>
        </w:rPr>
        <w:t>、董事会审计与关联交易控制委员会决议；</w:t>
      </w:r>
      <w:r w:rsidRPr="00130A7A">
        <w:rPr>
          <w:rFonts w:hAnsi="宋体"/>
        </w:rPr>
        <w:t xml:space="preserve"> </w:t>
      </w:r>
    </w:p>
    <w:p w:rsidR="00130A7A" w:rsidRPr="00130A7A" w:rsidRDefault="00130A7A" w:rsidP="00130A7A">
      <w:pPr>
        <w:pStyle w:val="Default"/>
        <w:spacing w:line="360" w:lineRule="auto"/>
        <w:ind w:firstLineChars="150" w:firstLine="360"/>
        <w:rPr>
          <w:rFonts w:hAnsi="宋体"/>
        </w:rPr>
      </w:pPr>
      <w:r w:rsidRPr="00130A7A">
        <w:rPr>
          <w:rFonts w:hAnsi="宋体"/>
        </w:rPr>
        <w:t>2</w:t>
      </w:r>
      <w:r w:rsidRPr="00130A7A">
        <w:rPr>
          <w:rFonts w:hAnsi="宋体" w:hint="eastAsia"/>
        </w:rPr>
        <w:t>、董事会决议；</w:t>
      </w:r>
    </w:p>
    <w:p w:rsidR="00812DDA" w:rsidRPr="00CD13D8" w:rsidRDefault="00812DDA" w:rsidP="00305CA6">
      <w:pPr>
        <w:pStyle w:val="Default"/>
        <w:spacing w:line="360" w:lineRule="auto"/>
        <w:ind w:firstLineChars="150" w:firstLine="360"/>
        <w:rPr>
          <w:rFonts w:hAnsi="宋体"/>
        </w:rPr>
      </w:pPr>
      <w:r w:rsidRPr="00CD13D8">
        <w:rPr>
          <w:rFonts w:hAnsi="宋体"/>
        </w:rPr>
        <w:t>3</w:t>
      </w:r>
      <w:r w:rsidRPr="00CD13D8">
        <w:rPr>
          <w:rFonts w:hAnsi="宋体" w:hint="eastAsia"/>
        </w:rPr>
        <w:t>、经独立董事签字确认的事前认可意见；</w:t>
      </w:r>
    </w:p>
    <w:p w:rsidR="00812DDA" w:rsidRDefault="00812DDA" w:rsidP="00305CA6">
      <w:pPr>
        <w:pStyle w:val="Default"/>
        <w:spacing w:line="360" w:lineRule="auto"/>
        <w:ind w:firstLineChars="150" w:firstLine="360"/>
        <w:rPr>
          <w:rFonts w:hAnsi="宋体"/>
        </w:rPr>
      </w:pPr>
      <w:r w:rsidRPr="00CD13D8">
        <w:rPr>
          <w:rFonts w:hAnsi="宋体" w:hint="eastAsia"/>
        </w:rPr>
        <w:t>4、经独立董事签字确认的独立意见。</w:t>
      </w:r>
    </w:p>
    <w:p w:rsidR="006E2225" w:rsidRDefault="006E2225" w:rsidP="00130A7A">
      <w:pPr>
        <w:pStyle w:val="Default"/>
        <w:spacing w:line="360" w:lineRule="auto"/>
        <w:ind w:firstLineChars="200" w:firstLine="480"/>
        <w:rPr>
          <w:rFonts w:hAnsi="宋体"/>
        </w:rPr>
      </w:pPr>
    </w:p>
    <w:p w:rsidR="00130A7A" w:rsidRPr="00130A7A" w:rsidRDefault="00130A7A" w:rsidP="00130A7A">
      <w:pPr>
        <w:pStyle w:val="Default"/>
        <w:spacing w:line="360" w:lineRule="auto"/>
        <w:ind w:firstLineChars="200" w:firstLine="480"/>
        <w:rPr>
          <w:rFonts w:hAnsi="宋体"/>
        </w:rPr>
      </w:pPr>
      <w:r w:rsidRPr="00130A7A">
        <w:rPr>
          <w:rFonts w:hAnsi="宋体" w:hint="eastAsia"/>
        </w:rPr>
        <w:t>特此公告。</w:t>
      </w:r>
      <w:r w:rsidRPr="00130A7A">
        <w:rPr>
          <w:rFonts w:hAnsi="宋体"/>
        </w:rPr>
        <w:t xml:space="preserve"> </w:t>
      </w:r>
    </w:p>
    <w:p w:rsidR="00130A7A" w:rsidRPr="00130A7A" w:rsidRDefault="00130A7A" w:rsidP="00130A7A">
      <w:pPr>
        <w:pStyle w:val="Default"/>
        <w:spacing w:line="360" w:lineRule="auto"/>
        <w:ind w:firstLineChars="200" w:firstLine="480"/>
        <w:rPr>
          <w:rFonts w:hAnsi="宋体"/>
        </w:rPr>
      </w:pPr>
    </w:p>
    <w:p w:rsidR="00130A7A" w:rsidRPr="00130A7A" w:rsidRDefault="00130A7A" w:rsidP="008718FA">
      <w:pPr>
        <w:pStyle w:val="Default"/>
        <w:spacing w:line="360" w:lineRule="auto"/>
        <w:ind w:firstLineChars="1850" w:firstLine="4440"/>
        <w:rPr>
          <w:rFonts w:hAnsi="宋体"/>
        </w:rPr>
      </w:pPr>
      <w:r w:rsidRPr="00130A7A">
        <w:rPr>
          <w:rFonts w:hAnsi="宋体" w:hint="eastAsia"/>
        </w:rPr>
        <w:t>兴业银行股份有限公司董事会</w:t>
      </w:r>
    </w:p>
    <w:p w:rsidR="00130A7A" w:rsidRPr="00130A7A" w:rsidRDefault="00130A7A" w:rsidP="00130A7A">
      <w:pPr>
        <w:pStyle w:val="Default"/>
        <w:spacing w:line="360" w:lineRule="auto"/>
        <w:ind w:firstLineChars="1000" w:firstLine="2400"/>
        <w:rPr>
          <w:rFonts w:hAnsi="宋体"/>
        </w:rPr>
      </w:pPr>
      <w:r w:rsidRPr="00130A7A">
        <w:rPr>
          <w:rFonts w:hAnsi="宋体"/>
        </w:rPr>
        <w:t xml:space="preserve"> </w:t>
      </w:r>
      <w:r w:rsidRPr="00130A7A">
        <w:rPr>
          <w:rFonts w:hAnsi="宋体" w:hint="eastAsia"/>
        </w:rPr>
        <w:t xml:space="preserve">                </w:t>
      </w:r>
      <w:r w:rsidR="008718FA">
        <w:rPr>
          <w:rFonts w:hAnsi="宋体" w:hint="eastAsia"/>
        </w:rPr>
        <w:t xml:space="preserve">  </w:t>
      </w:r>
      <w:r w:rsidRPr="00130A7A">
        <w:rPr>
          <w:rFonts w:hAnsi="宋体" w:hint="eastAsia"/>
        </w:rPr>
        <w:t xml:space="preserve">    </w:t>
      </w:r>
      <w:r w:rsidRPr="00130A7A">
        <w:rPr>
          <w:rFonts w:hAnsi="宋体"/>
        </w:rPr>
        <w:t>201</w:t>
      </w:r>
      <w:r w:rsidR="006868C6">
        <w:rPr>
          <w:rFonts w:hAnsi="宋体" w:hint="eastAsia"/>
        </w:rPr>
        <w:t>9</w:t>
      </w:r>
      <w:r w:rsidRPr="00130A7A">
        <w:rPr>
          <w:rFonts w:hAnsi="宋体" w:hint="eastAsia"/>
        </w:rPr>
        <w:t>年4月</w:t>
      </w:r>
      <w:r w:rsidR="006E2225">
        <w:rPr>
          <w:rFonts w:hAnsi="宋体" w:hint="eastAsia"/>
        </w:rPr>
        <w:t>30</w:t>
      </w:r>
      <w:r w:rsidRPr="00130A7A">
        <w:rPr>
          <w:rFonts w:hAnsi="宋体" w:hint="eastAsia"/>
        </w:rPr>
        <w:t>日</w:t>
      </w:r>
    </w:p>
    <w:p w:rsidR="00130A7A" w:rsidRPr="00130A7A" w:rsidRDefault="00130A7A" w:rsidP="00130A7A">
      <w:pPr>
        <w:autoSpaceDE w:val="0"/>
        <w:autoSpaceDN w:val="0"/>
        <w:adjustRightInd w:val="0"/>
        <w:spacing w:line="360" w:lineRule="auto"/>
        <w:ind w:firstLineChars="150" w:firstLine="360"/>
        <w:jc w:val="left"/>
        <w:rPr>
          <w:rFonts w:ascii="宋体" w:hAnsi="宋体"/>
          <w:sz w:val="24"/>
        </w:rPr>
      </w:pPr>
    </w:p>
    <w:p w:rsidR="009A3880" w:rsidRPr="00130A7A" w:rsidRDefault="009A3880" w:rsidP="00130A7A">
      <w:pPr>
        <w:spacing w:line="360" w:lineRule="auto"/>
        <w:ind w:firstLineChars="200" w:firstLine="480"/>
        <w:rPr>
          <w:rFonts w:ascii="宋体" w:hAnsi="宋体"/>
          <w:sz w:val="24"/>
        </w:rPr>
      </w:pPr>
    </w:p>
    <w:sectPr w:rsidR="009A3880" w:rsidRPr="00130A7A" w:rsidSect="00571501">
      <w:footerReference w:type="even" r:id="rId9"/>
      <w:footerReference w:type="default" r:id="rId10"/>
      <w:pgSz w:w="11906" w:h="16838"/>
      <w:pgMar w:top="1134" w:right="1797" w:bottom="73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949" w:rsidRDefault="00870949">
      <w:r>
        <w:separator/>
      </w:r>
    </w:p>
  </w:endnote>
  <w:endnote w:type="continuationSeparator" w:id="0">
    <w:p w:rsidR="00870949" w:rsidRDefault="0087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30" w:rsidRDefault="00D3166F" w:rsidP="00240CB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B2E3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B2E30" w:rsidRDefault="00FB2E3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14" w:rsidRDefault="00CF7A0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D6A0C" w:rsidRPr="00BD6A0C">
      <w:rPr>
        <w:noProof/>
        <w:lang w:val="zh-CN"/>
      </w:rPr>
      <w:t>4</w:t>
    </w:r>
    <w:r>
      <w:rPr>
        <w:noProof/>
        <w:lang w:val="zh-CN"/>
      </w:rPr>
      <w:fldChar w:fldCharType="end"/>
    </w:r>
  </w:p>
  <w:p w:rsidR="00FB2E30" w:rsidRDefault="00FB2E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949" w:rsidRDefault="00870949">
      <w:r>
        <w:separator/>
      </w:r>
    </w:p>
  </w:footnote>
  <w:footnote w:type="continuationSeparator" w:id="0">
    <w:p w:rsidR="00870949" w:rsidRDefault="00870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00C0"/>
    <w:multiLevelType w:val="hybridMultilevel"/>
    <w:tmpl w:val="4C748B9A"/>
    <w:lvl w:ilvl="0" w:tplc="91B2E074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0D2A35FC"/>
    <w:multiLevelType w:val="hybridMultilevel"/>
    <w:tmpl w:val="E48C6376"/>
    <w:lvl w:ilvl="0" w:tplc="CE5C4A82">
      <w:start w:val="1"/>
      <w:numFmt w:val="japaneseCounting"/>
      <w:lvlText w:val="%1、"/>
      <w:lvlJc w:val="left"/>
      <w:pPr>
        <w:tabs>
          <w:tab w:val="num" w:pos="1270"/>
        </w:tabs>
        <w:ind w:left="127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0"/>
        </w:tabs>
        <w:ind w:left="13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0"/>
        </w:tabs>
        <w:ind w:left="26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0"/>
        </w:tabs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0"/>
        </w:tabs>
        <w:ind w:left="39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0"/>
        </w:tabs>
        <w:ind w:left="4330" w:hanging="420"/>
      </w:pPr>
    </w:lvl>
  </w:abstractNum>
  <w:abstractNum w:abstractNumId="2">
    <w:nsid w:val="0F5D20B1"/>
    <w:multiLevelType w:val="multilevel"/>
    <w:tmpl w:val="A5AA0320"/>
    <w:lvl w:ilvl="0">
      <w:start w:val="1"/>
      <w:numFmt w:val="upperLetter"/>
      <w:pStyle w:val="1"/>
      <w:lvlText w:val="%1"/>
      <w:lvlJc w:val="left"/>
      <w:pPr>
        <w:tabs>
          <w:tab w:val="num" w:pos="425"/>
        </w:tabs>
        <w:ind w:left="425" w:hanging="425"/>
      </w:pPr>
      <w:rPr>
        <w:rFonts w:eastAsia="宋体" w:hint="eastAsia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none"/>
      <w:pStyle w:val="4"/>
      <w:lvlText w:val=""/>
      <w:lvlJc w:val="left"/>
      <w:pPr>
        <w:tabs>
          <w:tab w:val="num" w:pos="1636"/>
        </w:tabs>
        <w:ind w:left="567" w:firstLine="709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3">
    <w:nsid w:val="11935D94"/>
    <w:multiLevelType w:val="hybridMultilevel"/>
    <w:tmpl w:val="04C8B3E4"/>
    <w:lvl w:ilvl="0" w:tplc="914A310C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84"/>
        </w:tabs>
        <w:ind w:left="98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4"/>
        </w:tabs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4"/>
        </w:tabs>
        <w:ind w:left="182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44"/>
        </w:tabs>
        <w:ind w:left="224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64"/>
        </w:tabs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4"/>
        </w:tabs>
        <w:ind w:left="308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04"/>
        </w:tabs>
        <w:ind w:left="350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4"/>
        </w:tabs>
        <w:ind w:left="3924" w:hanging="420"/>
      </w:pPr>
    </w:lvl>
  </w:abstractNum>
  <w:abstractNum w:abstractNumId="4">
    <w:nsid w:val="122A008F"/>
    <w:multiLevelType w:val="hybridMultilevel"/>
    <w:tmpl w:val="FC32A34E"/>
    <w:lvl w:ilvl="0" w:tplc="5FE2CACE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5">
    <w:nsid w:val="13CD61C6"/>
    <w:multiLevelType w:val="hybridMultilevel"/>
    <w:tmpl w:val="0492B8A2"/>
    <w:lvl w:ilvl="0" w:tplc="EE56F14E">
      <w:start w:val="1"/>
      <w:numFmt w:val="japaneseCounting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6">
    <w:nsid w:val="15116663"/>
    <w:multiLevelType w:val="multilevel"/>
    <w:tmpl w:val="5A689B3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>
    <w:nsid w:val="153A7A3C"/>
    <w:multiLevelType w:val="hybridMultilevel"/>
    <w:tmpl w:val="83328702"/>
    <w:lvl w:ilvl="0" w:tplc="843A3A5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8">
    <w:nsid w:val="27227240"/>
    <w:multiLevelType w:val="hybridMultilevel"/>
    <w:tmpl w:val="2C1C80C6"/>
    <w:lvl w:ilvl="0" w:tplc="7B644226">
      <w:start w:val="1"/>
      <w:numFmt w:val="decimal"/>
      <w:lvlText w:val="%1、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9">
    <w:nsid w:val="289340C3"/>
    <w:multiLevelType w:val="multilevel"/>
    <w:tmpl w:val="319CAFA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none"/>
      <w:lvlText w:val="%3%1.%2..%4"/>
      <w:lvlJc w:val="left"/>
      <w:pPr>
        <w:tabs>
          <w:tab w:val="num" w:pos="1440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>
    <w:nsid w:val="2E343563"/>
    <w:multiLevelType w:val="multilevel"/>
    <w:tmpl w:val="6242F5AE"/>
    <w:lvl w:ilvl="0">
      <w:start w:val="1"/>
      <w:numFmt w:val="upperLetter"/>
      <w:lvlText w:val="%1"/>
      <w:lvlJc w:val="left"/>
      <w:pPr>
        <w:tabs>
          <w:tab w:val="num" w:pos="425"/>
        </w:tabs>
        <w:ind w:left="425" w:hanging="425"/>
      </w:pPr>
      <w:rPr>
        <w:rFonts w:eastAsia="宋体" w:hint="eastAsia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11">
    <w:nsid w:val="34CB1634"/>
    <w:multiLevelType w:val="hybridMultilevel"/>
    <w:tmpl w:val="D57452A0"/>
    <w:lvl w:ilvl="0" w:tplc="7C880A34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2">
    <w:nsid w:val="399416F0"/>
    <w:multiLevelType w:val="multilevel"/>
    <w:tmpl w:val="FEACA974"/>
    <w:lvl w:ilvl="0">
      <w:start w:val="1"/>
      <w:numFmt w:val="upperLetter"/>
      <w:lvlText w:val="%1"/>
      <w:lvlJc w:val="left"/>
      <w:pPr>
        <w:tabs>
          <w:tab w:val="num" w:pos="2268"/>
        </w:tabs>
        <w:ind w:left="2268" w:hanging="2268"/>
      </w:pPr>
      <w:rPr>
        <w:rFonts w:hint="eastAsia"/>
        <w:b/>
        <w:i w:val="0"/>
        <w:color w:val="0000FF"/>
        <w:sz w:val="28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984"/>
        </w:tabs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48AB1F31"/>
    <w:multiLevelType w:val="multilevel"/>
    <w:tmpl w:val="3BB045C0"/>
    <w:lvl w:ilvl="0">
      <w:start w:val="1"/>
      <w:numFmt w:val="decimal"/>
      <w:lvlText w:val="%1."/>
      <w:lvlJc w:val="left"/>
      <w:pPr>
        <w:tabs>
          <w:tab w:val="num" w:pos="879"/>
        </w:tabs>
        <w:ind w:left="879" w:hanging="425"/>
      </w:pPr>
      <w:rPr>
        <w:rFonts w:hint="eastAsia"/>
      </w:rPr>
    </w:lvl>
    <w:lvl w:ilvl="1">
      <w:start w:val="1"/>
      <w:numFmt w:val="none"/>
      <w:lvlText w:val=""/>
      <w:lvlJc w:val="left"/>
      <w:pPr>
        <w:tabs>
          <w:tab w:val="num" w:pos="1021"/>
        </w:tabs>
        <w:ind w:left="1021" w:hanging="567"/>
      </w:pPr>
      <w:rPr>
        <w:rFonts w:hint="eastAsia"/>
      </w:rPr>
    </w:lvl>
    <w:lvl w:ilvl="2">
      <w:start w:val="1"/>
      <w:numFmt w:val="none"/>
      <w:lvlText w:val=""/>
      <w:lvlJc w:val="left"/>
      <w:pPr>
        <w:tabs>
          <w:tab w:val="num" w:pos="1163"/>
        </w:tabs>
        <w:ind w:left="1163" w:hanging="709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305"/>
        </w:tabs>
        <w:ind w:left="1305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446"/>
        </w:tabs>
        <w:ind w:left="1446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588"/>
        </w:tabs>
        <w:ind w:left="1588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730"/>
        </w:tabs>
        <w:ind w:left="1730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872"/>
        </w:tabs>
        <w:ind w:left="1872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013"/>
        </w:tabs>
        <w:ind w:left="2013" w:hanging="1559"/>
      </w:pPr>
      <w:rPr>
        <w:rFonts w:hint="eastAsia"/>
      </w:rPr>
    </w:lvl>
  </w:abstractNum>
  <w:abstractNum w:abstractNumId="14">
    <w:nsid w:val="4B4F4DC5"/>
    <w:multiLevelType w:val="multilevel"/>
    <w:tmpl w:val="75026CB4"/>
    <w:lvl w:ilvl="0">
      <w:start w:val="1"/>
      <w:numFmt w:val="upperLetter"/>
      <w:suff w:val="nothing"/>
      <w:lvlText w:val="%1."/>
      <w:lvlJc w:val="center"/>
      <w:pPr>
        <w:ind w:left="425" w:hanging="137"/>
      </w:pPr>
      <w:rPr>
        <w:rFonts w:eastAsia="宋体" w:hint="eastAsia"/>
        <w:b/>
        <w:i w:val="0"/>
        <w:sz w:val="30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5">
    <w:nsid w:val="4BD26E0A"/>
    <w:multiLevelType w:val="hybridMultilevel"/>
    <w:tmpl w:val="37504184"/>
    <w:lvl w:ilvl="0" w:tplc="C1A45BF4">
      <w:start w:val="1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6">
    <w:nsid w:val="4E0D177A"/>
    <w:multiLevelType w:val="hybridMultilevel"/>
    <w:tmpl w:val="D0CE19E0"/>
    <w:lvl w:ilvl="0" w:tplc="E91EAD6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>
    <w:nsid w:val="547A124C"/>
    <w:multiLevelType w:val="hybridMultilevel"/>
    <w:tmpl w:val="E072FC3E"/>
    <w:lvl w:ilvl="0" w:tplc="7A4C25BA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5984A692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6AEC51D8">
      <w:start w:val="1"/>
      <w:numFmt w:val="japaneseCounting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56E30B34"/>
    <w:multiLevelType w:val="multilevel"/>
    <w:tmpl w:val="63425DC8"/>
    <w:lvl w:ilvl="0">
      <w:start w:val="1"/>
      <w:numFmt w:val="upperLetter"/>
      <w:lvlText w:val="%1"/>
      <w:lvlJc w:val="left"/>
      <w:pPr>
        <w:tabs>
          <w:tab w:val="num" w:pos="2268"/>
        </w:tabs>
        <w:ind w:left="2268" w:hanging="2268"/>
      </w:pPr>
      <w:rPr>
        <w:rFonts w:hint="eastAsia"/>
        <w:b/>
        <w:i w:val="0"/>
        <w:color w:val="0000FF"/>
        <w:sz w:val="28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984"/>
        </w:tabs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>
    <w:nsid w:val="57812EA6"/>
    <w:multiLevelType w:val="hybridMultilevel"/>
    <w:tmpl w:val="42984D06"/>
    <w:lvl w:ilvl="0" w:tplc="261AF526">
      <w:start w:val="1"/>
      <w:numFmt w:val="japaneseCounting"/>
      <w:lvlText w:val="(%1)"/>
      <w:lvlJc w:val="left"/>
      <w:pPr>
        <w:tabs>
          <w:tab w:val="num" w:pos="756"/>
        </w:tabs>
        <w:ind w:left="756" w:hanging="756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659F59DF"/>
    <w:multiLevelType w:val="multilevel"/>
    <w:tmpl w:val="55007C66"/>
    <w:lvl w:ilvl="0">
      <w:start w:val="1"/>
      <w:numFmt w:val="upperLetter"/>
      <w:lvlText w:val="%1."/>
      <w:lvlJc w:val="left"/>
      <w:pPr>
        <w:tabs>
          <w:tab w:val="num" w:pos="2268"/>
        </w:tabs>
        <w:ind w:left="2268" w:hanging="2268"/>
      </w:pPr>
      <w:rPr>
        <w:rFonts w:hint="eastAsia"/>
      </w:rPr>
    </w:lvl>
    <w:lvl w:ilvl="1">
      <w:start w:val="1"/>
      <w:numFmt w:val="decimal"/>
      <w:lvlText w:val="0%2"/>
      <w:lvlJc w:val="left"/>
      <w:pPr>
        <w:tabs>
          <w:tab w:val="num" w:pos="425"/>
        </w:tabs>
        <w:ind w:left="425" w:hanging="425"/>
      </w:pPr>
      <w:rPr>
        <w:rFonts w:hint="eastAsia"/>
        <w:b/>
        <w:i w:val="0"/>
        <w:sz w:val="24"/>
      </w:rPr>
    </w:lvl>
    <w:lvl w:ilvl="2">
      <w:start w:val="1"/>
      <w:numFmt w:val="decimal"/>
      <w:lvlText w:val="0%2%3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0%3%2%4"/>
      <w:lvlJc w:val="left"/>
      <w:pPr>
        <w:tabs>
          <w:tab w:val="num" w:pos="2098"/>
        </w:tabs>
        <w:ind w:left="2098" w:hanging="964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1">
    <w:nsid w:val="717154A5"/>
    <w:multiLevelType w:val="hybridMultilevel"/>
    <w:tmpl w:val="D9D8DA08"/>
    <w:lvl w:ilvl="0" w:tplc="74A2D82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F5425D0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20"/>
  </w:num>
  <w:num w:numId="3">
    <w:abstractNumId w:val="20"/>
  </w:num>
  <w:num w:numId="4">
    <w:abstractNumId w:val="20"/>
  </w:num>
  <w:num w:numId="5">
    <w:abstractNumId w:val="14"/>
  </w:num>
  <w:num w:numId="6">
    <w:abstractNumId w:val="9"/>
  </w:num>
  <w:num w:numId="7">
    <w:abstractNumId w:val="13"/>
  </w:num>
  <w:num w:numId="8">
    <w:abstractNumId w:val="13"/>
  </w:num>
  <w:num w:numId="9">
    <w:abstractNumId w:val="6"/>
  </w:num>
  <w:num w:numId="10">
    <w:abstractNumId w:val="13"/>
  </w:num>
  <w:num w:numId="11">
    <w:abstractNumId w:val="18"/>
  </w:num>
  <w:num w:numId="12">
    <w:abstractNumId w:val="9"/>
  </w:num>
  <w:num w:numId="13">
    <w:abstractNumId w:val="10"/>
  </w:num>
  <w:num w:numId="14">
    <w:abstractNumId w:val="2"/>
  </w:num>
  <w:num w:numId="15">
    <w:abstractNumId w:val="16"/>
  </w:num>
  <w:num w:numId="16">
    <w:abstractNumId w:val="4"/>
  </w:num>
  <w:num w:numId="17">
    <w:abstractNumId w:val="1"/>
  </w:num>
  <w:num w:numId="18">
    <w:abstractNumId w:val="3"/>
  </w:num>
  <w:num w:numId="19">
    <w:abstractNumId w:val="21"/>
  </w:num>
  <w:num w:numId="20">
    <w:abstractNumId w:val="19"/>
  </w:num>
  <w:num w:numId="21">
    <w:abstractNumId w:val="0"/>
  </w:num>
  <w:num w:numId="22">
    <w:abstractNumId w:val="7"/>
  </w:num>
  <w:num w:numId="23">
    <w:abstractNumId w:val="17"/>
  </w:num>
  <w:num w:numId="24">
    <w:abstractNumId w:val="8"/>
  </w:num>
  <w:num w:numId="25">
    <w:abstractNumId w:val="15"/>
  </w:num>
  <w:num w:numId="26">
    <w:abstractNumId w:val="5"/>
  </w:num>
  <w:num w:numId="27">
    <w:abstractNumId w:val="2"/>
  </w:num>
  <w:num w:numId="28">
    <w:abstractNumId w:val="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0F78"/>
    <w:rsid w:val="00007292"/>
    <w:rsid w:val="0001038F"/>
    <w:rsid w:val="000121F9"/>
    <w:rsid w:val="00012653"/>
    <w:rsid w:val="00013D73"/>
    <w:rsid w:val="00017776"/>
    <w:rsid w:val="00017972"/>
    <w:rsid w:val="00020DB1"/>
    <w:rsid w:val="00022B1F"/>
    <w:rsid w:val="00022C0B"/>
    <w:rsid w:val="00024C4D"/>
    <w:rsid w:val="00030359"/>
    <w:rsid w:val="00031A33"/>
    <w:rsid w:val="00032D33"/>
    <w:rsid w:val="0003479C"/>
    <w:rsid w:val="00034E37"/>
    <w:rsid w:val="00036EF6"/>
    <w:rsid w:val="000370C2"/>
    <w:rsid w:val="000440FB"/>
    <w:rsid w:val="00044C73"/>
    <w:rsid w:val="00046497"/>
    <w:rsid w:val="00053039"/>
    <w:rsid w:val="000551BC"/>
    <w:rsid w:val="0005718D"/>
    <w:rsid w:val="0006276A"/>
    <w:rsid w:val="00075E74"/>
    <w:rsid w:val="00081D16"/>
    <w:rsid w:val="000821C1"/>
    <w:rsid w:val="0008483C"/>
    <w:rsid w:val="0009018C"/>
    <w:rsid w:val="000904A6"/>
    <w:rsid w:val="00091C2C"/>
    <w:rsid w:val="00093620"/>
    <w:rsid w:val="000972BD"/>
    <w:rsid w:val="000A3B8C"/>
    <w:rsid w:val="000A49B3"/>
    <w:rsid w:val="000A5462"/>
    <w:rsid w:val="000A60AB"/>
    <w:rsid w:val="000A6D6B"/>
    <w:rsid w:val="000B0C64"/>
    <w:rsid w:val="000B321D"/>
    <w:rsid w:val="000B33EF"/>
    <w:rsid w:val="000B6A0C"/>
    <w:rsid w:val="000C092D"/>
    <w:rsid w:val="000C13ED"/>
    <w:rsid w:val="000C4F26"/>
    <w:rsid w:val="000C52A4"/>
    <w:rsid w:val="000C54A4"/>
    <w:rsid w:val="000C5FA8"/>
    <w:rsid w:val="000C6EE1"/>
    <w:rsid w:val="000C722F"/>
    <w:rsid w:val="000D2754"/>
    <w:rsid w:val="000D2953"/>
    <w:rsid w:val="000D55DA"/>
    <w:rsid w:val="000D5899"/>
    <w:rsid w:val="000D5AF5"/>
    <w:rsid w:val="000D7865"/>
    <w:rsid w:val="000E3CB7"/>
    <w:rsid w:val="000F0F01"/>
    <w:rsid w:val="000F37DA"/>
    <w:rsid w:val="00100708"/>
    <w:rsid w:val="00100A5A"/>
    <w:rsid w:val="00101561"/>
    <w:rsid w:val="00103AB2"/>
    <w:rsid w:val="00104B2D"/>
    <w:rsid w:val="00110907"/>
    <w:rsid w:val="001118C2"/>
    <w:rsid w:val="00113648"/>
    <w:rsid w:val="001137AA"/>
    <w:rsid w:val="001167D6"/>
    <w:rsid w:val="00123814"/>
    <w:rsid w:val="00125B54"/>
    <w:rsid w:val="00130A7A"/>
    <w:rsid w:val="00136826"/>
    <w:rsid w:val="001532DC"/>
    <w:rsid w:val="00153D7F"/>
    <w:rsid w:val="001558CC"/>
    <w:rsid w:val="0015778D"/>
    <w:rsid w:val="00162B12"/>
    <w:rsid w:val="00162B7D"/>
    <w:rsid w:val="00165F00"/>
    <w:rsid w:val="0017027F"/>
    <w:rsid w:val="00171EF3"/>
    <w:rsid w:val="00172D2B"/>
    <w:rsid w:val="001776F5"/>
    <w:rsid w:val="00180386"/>
    <w:rsid w:val="00180DDB"/>
    <w:rsid w:val="00181DA2"/>
    <w:rsid w:val="001842DF"/>
    <w:rsid w:val="001A035A"/>
    <w:rsid w:val="001A047E"/>
    <w:rsid w:val="001A548B"/>
    <w:rsid w:val="001A7BBA"/>
    <w:rsid w:val="001B029A"/>
    <w:rsid w:val="001B34D7"/>
    <w:rsid w:val="001B5244"/>
    <w:rsid w:val="001B58C5"/>
    <w:rsid w:val="001B7E6C"/>
    <w:rsid w:val="001D3F45"/>
    <w:rsid w:val="001D45C4"/>
    <w:rsid w:val="001D5416"/>
    <w:rsid w:val="001D58FC"/>
    <w:rsid w:val="001E4434"/>
    <w:rsid w:val="001E5CB4"/>
    <w:rsid w:val="001E61E8"/>
    <w:rsid w:val="001F06C1"/>
    <w:rsid w:val="001F0CCE"/>
    <w:rsid w:val="001F17DA"/>
    <w:rsid w:val="001F3D39"/>
    <w:rsid w:val="001F3DA2"/>
    <w:rsid w:val="001F3F82"/>
    <w:rsid w:val="002024EE"/>
    <w:rsid w:val="00203AB8"/>
    <w:rsid w:val="00203D1D"/>
    <w:rsid w:val="00204A0B"/>
    <w:rsid w:val="00207928"/>
    <w:rsid w:val="00212B93"/>
    <w:rsid w:val="00225112"/>
    <w:rsid w:val="00227288"/>
    <w:rsid w:val="00235CC7"/>
    <w:rsid w:val="002374B5"/>
    <w:rsid w:val="00240CBA"/>
    <w:rsid w:val="0024183E"/>
    <w:rsid w:val="00242B53"/>
    <w:rsid w:val="00245B45"/>
    <w:rsid w:val="002473FA"/>
    <w:rsid w:val="002475E8"/>
    <w:rsid w:val="00250D62"/>
    <w:rsid w:val="00252BFC"/>
    <w:rsid w:val="002543B8"/>
    <w:rsid w:val="00254FAD"/>
    <w:rsid w:val="0025573E"/>
    <w:rsid w:val="00255F80"/>
    <w:rsid w:val="002608A5"/>
    <w:rsid w:val="002615C0"/>
    <w:rsid w:val="002647A0"/>
    <w:rsid w:val="00264879"/>
    <w:rsid w:val="00271C6E"/>
    <w:rsid w:val="002738EB"/>
    <w:rsid w:val="00274D8C"/>
    <w:rsid w:val="002840D7"/>
    <w:rsid w:val="0028724C"/>
    <w:rsid w:val="00295CE0"/>
    <w:rsid w:val="00297110"/>
    <w:rsid w:val="002A2123"/>
    <w:rsid w:val="002A4B7B"/>
    <w:rsid w:val="002A501F"/>
    <w:rsid w:val="002A6DC6"/>
    <w:rsid w:val="002B0197"/>
    <w:rsid w:val="002B0E7C"/>
    <w:rsid w:val="002B7DD3"/>
    <w:rsid w:val="002C6207"/>
    <w:rsid w:val="002D120E"/>
    <w:rsid w:val="002D3BF5"/>
    <w:rsid w:val="002D5045"/>
    <w:rsid w:val="002D515E"/>
    <w:rsid w:val="002E04A2"/>
    <w:rsid w:val="002E1268"/>
    <w:rsid w:val="002E21C7"/>
    <w:rsid w:val="002E6785"/>
    <w:rsid w:val="002F02F1"/>
    <w:rsid w:val="002F2125"/>
    <w:rsid w:val="002F410F"/>
    <w:rsid w:val="002F6D97"/>
    <w:rsid w:val="00305CA6"/>
    <w:rsid w:val="0030614C"/>
    <w:rsid w:val="00310C7C"/>
    <w:rsid w:val="00312F0F"/>
    <w:rsid w:val="003136AB"/>
    <w:rsid w:val="003158A3"/>
    <w:rsid w:val="00316F76"/>
    <w:rsid w:val="00322B04"/>
    <w:rsid w:val="00330838"/>
    <w:rsid w:val="00332036"/>
    <w:rsid w:val="00334254"/>
    <w:rsid w:val="00334BD0"/>
    <w:rsid w:val="0034124C"/>
    <w:rsid w:val="00343B8C"/>
    <w:rsid w:val="0034673A"/>
    <w:rsid w:val="00346BDE"/>
    <w:rsid w:val="00347534"/>
    <w:rsid w:val="003503A3"/>
    <w:rsid w:val="00351720"/>
    <w:rsid w:val="0035462A"/>
    <w:rsid w:val="00357381"/>
    <w:rsid w:val="00357B77"/>
    <w:rsid w:val="00370553"/>
    <w:rsid w:val="003839AC"/>
    <w:rsid w:val="003847AD"/>
    <w:rsid w:val="00385481"/>
    <w:rsid w:val="0038776B"/>
    <w:rsid w:val="003A4DF8"/>
    <w:rsid w:val="003A799B"/>
    <w:rsid w:val="003B25C2"/>
    <w:rsid w:val="003B29EF"/>
    <w:rsid w:val="003C0C98"/>
    <w:rsid w:val="003C162B"/>
    <w:rsid w:val="003C3273"/>
    <w:rsid w:val="003C4EBE"/>
    <w:rsid w:val="003D26D3"/>
    <w:rsid w:val="003D4DF0"/>
    <w:rsid w:val="003E4D4B"/>
    <w:rsid w:val="003E52B7"/>
    <w:rsid w:val="003E7AED"/>
    <w:rsid w:val="003F0360"/>
    <w:rsid w:val="003F69E9"/>
    <w:rsid w:val="003F74A9"/>
    <w:rsid w:val="0040575F"/>
    <w:rsid w:val="00406937"/>
    <w:rsid w:val="004103D0"/>
    <w:rsid w:val="00410BEF"/>
    <w:rsid w:val="004142E4"/>
    <w:rsid w:val="004168F5"/>
    <w:rsid w:val="0041764E"/>
    <w:rsid w:val="00417CE3"/>
    <w:rsid w:val="004203EA"/>
    <w:rsid w:val="004305FC"/>
    <w:rsid w:val="004363F2"/>
    <w:rsid w:val="00440022"/>
    <w:rsid w:val="00441042"/>
    <w:rsid w:val="00441897"/>
    <w:rsid w:val="00447F83"/>
    <w:rsid w:val="00454FC4"/>
    <w:rsid w:val="004560EE"/>
    <w:rsid w:val="00465FF3"/>
    <w:rsid w:val="00466BCF"/>
    <w:rsid w:val="00466D4C"/>
    <w:rsid w:val="004707A8"/>
    <w:rsid w:val="00471E3F"/>
    <w:rsid w:val="004745C5"/>
    <w:rsid w:val="00483989"/>
    <w:rsid w:val="00485018"/>
    <w:rsid w:val="00491564"/>
    <w:rsid w:val="004949DC"/>
    <w:rsid w:val="00494BB1"/>
    <w:rsid w:val="004A0655"/>
    <w:rsid w:val="004A1F72"/>
    <w:rsid w:val="004A4DBF"/>
    <w:rsid w:val="004A595A"/>
    <w:rsid w:val="004B09E7"/>
    <w:rsid w:val="004B4DA1"/>
    <w:rsid w:val="004B5FAA"/>
    <w:rsid w:val="004B784A"/>
    <w:rsid w:val="004C217E"/>
    <w:rsid w:val="004C2B1B"/>
    <w:rsid w:val="004D0553"/>
    <w:rsid w:val="004D2BD4"/>
    <w:rsid w:val="004E1DBE"/>
    <w:rsid w:val="004E2BAE"/>
    <w:rsid w:val="004F0ECD"/>
    <w:rsid w:val="004F654A"/>
    <w:rsid w:val="004F6572"/>
    <w:rsid w:val="004F7B53"/>
    <w:rsid w:val="00500D10"/>
    <w:rsid w:val="005062B7"/>
    <w:rsid w:val="00514DCE"/>
    <w:rsid w:val="005313CD"/>
    <w:rsid w:val="00531483"/>
    <w:rsid w:val="005368D8"/>
    <w:rsid w:val="00540E95"/>
    <w:rsid w:val="005414B0"/>
    <w:rsid w:val="00542ED8"/>
    <w:rsid w:val="00543AF1"/>
    <w:rsid w:val="00545812"/>
    <w:rsid w:val="005461BF"/>
    <w:rsid w:val="00551655"/>
    <w:rsid w:val="00551BEA"/>
    <w:rsid w:val="00552AB8"/>
    <w:rsid w:val="005546E4"/>
    <w:rsid w:val="0055512A"/>
    <w:rsid w:val="00561A0B"/>
    <w:rsid w:val="00571501"/>
    <w:rsid w:val="00571833"/>
    <w:rsid w:val="00573DC8"/>
    <w:rsid w:val="00573EA6"/>
    <w:rsid w:val="005804DF"/>
    <w:rsid w:val="00585125"/>
    <w:rsid w:val="00585DB3"/>
    <w:rsid w:val="00586BB1"/>
    <w:rsid w:val="005910CF"/>
    <w:rsid w:val="0059395B"/>
    <w:rsid w:val="005939BC"/>
    <w:rsid w:val="00597A21"/>
    <w:rsid w:val="005A6DEC"/>
    <w:rsid w:val="005B0D3E"/>
    <w:rsid w:val="005B643F"/>
    <w:rsid w:val="005B6E18"/>
    <w:rsid w:val="005C23FE"/>
    <w:rsid w:val="005C4C52"/>
    <w:rsid w:val="005C54EA"/>
    <w:rsid w:val="005C64BE"/>
    <w:rsid w:val="005D29EE"/>
    <w:rsid w:val="005D3B3F"/>
    <w:rsid w:val="005D7493"/>
    <w:rsid w:val="005D7CF9"/>
    <w:rsid w:val="005D7D0A"/>
    <w:rsid w:val="005E0E4B"/>
    <w:rsid w:val="005E1A67"/>
    <w:rsid w:val="005E28A8"/>
    <w:rsid w:val="005E35CA"/>
    <w:rsid w:val="005E46A2"/>
    <w:rsid w:val="005E70F3"/>
    <w:rsid w:val="005E76A2"/>
    <w:rsid w:val="005F0C8F"/>
    <w:rsid w:val="005F0E60"/>
    <w:rsid w:val="005F2B73"/>
    <w:rsid w:val="005F5DFF"/>
    <w:rsid w:val="00606701"/>
    <w:rsid w:val="00613414"/>
    <w:rsid w:val="00614625"/>
    <w:rsid w:val="00615308"/>
    <w:rsid w:val="006166A2"/>
    <w:rsid w:val="0062091F"/>
    <w:rsid w:val="006222D1"/>
    <w:rsid w:val="00623EC6"/>
    <w:rsid w:val="0062704C"/>
    <w:rsid w:val="00630371"/>
    <w:rsid w:val="006333DB"/>
    <w:rsid w:val="00636869"/>
    <w:rsid w:val="00640785"/>
    <w:rsid w:val="0064184B"/>
    <w:rsid w:val="00645D0E"/>
    <w:rsid w:val="0065130D"/>
    <w:rsid w:val="00651CC8"/>
    <w:rsid w:val="0065723D"/>
    <w:rsid w:val="00663634"/>
    <w:rsid w:val="00663ED6"/>
    <w:rsid w:val="0066671F"/>
    <w:rsid w:val="006739D0"/>
    <w:rsid w:val="00677476"/>
    <w:rsid w:val="006818F1"/>
    <w:rsid w:val="006868C6"/>
    <w:rsid w:val="00686F04"/>
    <w:rsid w:val="00691EDF"/>
    <w:rsid w:val="00697C00"/>
    <w:rsid w:val="006A04D4"/>
    <w:rsid w:val="006A4A47"/>
    <w:rsid w:val="006A5337"/>
    <w:rsid w:val="006B3846"/>
    <w:rsid w:val="006C0E0E"/>
    <w:rsid w:val="006C475D"/>
    <w:rsid w:val="006D01D2"/>
    <w:rsid w:val="006D3BD3"/>
    <w:rsid w:val="006D6519"/>
    <w:rsid w:val="006E0DB3"/>
    <w:rsid w:val="006E1779"/>
    <w:rsid w:val="006E2225"/>
    <w:rsid w:val="006E2AD8"/>
    <w:rsid w:val="006E36D0"/>
    <w:rsid w:val="006E7A13"/>
    <w:rsid w:val="006F525D"/>
    <w:rsid w:val="006F66E5"/>
    <w:rsid w:val="006F7D6D"/>
    <w:rsid w:val="007014B8"/>
    <w:rsid w:val="00701C39"/>
    <w:rsid w:val="0070727C"/>
    <w:rsid w:val="00710733"/>
    <w:rsid w:val="00710F09"/>
    <w:rsid w:val="0071372D"/>
    <w:rsid w:val="007139C5"/>
    <w:rsid w:val="00714F31"/>
    <w:rsid w:val="007205B2"/>
    <w:rsid w:val="00725AAA"/>
    <w:rsid w:val="00726F2A"/>
    <w:rsid w:val="00727D1C"/>
    <w:rsid w:val="00733559"/>
    <w:rsid w:val="00742A50"/>
    <w:rsid w:val="007430C3"/>
    <w:rsid w:val="00743E4F"/>
    <w:rsid w:val="00744181"/>
    <w:rsid w:val="00747FCB"/>
    <w:rsid w:val="00750534"/>
    <w:rsid w:val="00754D15"/>
    <w:rsid w:val="00757D82"/>
    <w:rsid w:val="00757D95"/>
    <w:rsid w:val="00762051"/>
    <w:rsid w:val="007622E2"/>
    <w:rsid w:val="00765B92"/>
    <w:rsid w:val="00767B3F"/>
    <w:rsid w:val="0077079B"/>
    <w:rsid w:val="007714EC"/>
    <w:rsid w:val="00772DDE"/>
    <w:rsid w:val="00773255"/>
    <w:rsid w:val="007739C8"/>
    <w:rsid w:val="00774037"/>
    <w:rsid w:val="00774D8D"/>
    <w:rsid w:val="0078447B"/>
    <w:rsid w:val="00792070"/>
    <w:rsid w:val="0079350A"/>
    <w:rsid w:val="0079603F"/>
    <w:rsid w:val="007966F9"/>
    <w:rsid w:val="00796F8C"/>
    <w:rsid w:val="007A0B9C"/>
    <w:rsid w:val="007A639C"/>
    <w:rsid w:val="007B0F78"/>
    <w:rsid w:val="007B1880"/>
    <w:rsid w:val="007C18D2"/>
    <w:rsid w:val="007C63E1"/>
    <w:rsid w:val="007C6709"/>
    <w:rsid w:val="007D1871"/>
    <w:rsid w:val="007D7981"/>
    <w:rsid w:val="007E06C2"/>
    <w:rsid w:val="007E3CF9"/>
    <w:rsid w:val="007E4F5F"/>
    <w:rsid w:val="007E5359"/>
    <w:rsid w:val="007E6B2A"/>
    <w:rsid w:val="007E78F0"/>
    <w:rsid w:val="007F4082"/>
    <w:rsid w:val="007F589C"/>
    <w:rsid w:val="008036D1"/>
    <w:rsid w:val="00803DCC"/>
    <w:rsid w:val="008048BA"/>
    <w:rsid w:val="00804DEF"/>
    <w:rsid w:val="008065EF"/>
    <w:rsid w:val="00812DDA"/>
    <w:rsid w:val="0081794F"/>
    <w:rsid w:val="00817CEC"/>
    <w:rsid w:val="00822269"/>
    <w:rsid w:val="00824381"/>
    <w:rsid w:val="008255DA"/>
    <w:rsid w:val="008269F8"/>
    <w:rsid w:val="008310B5"/>
    <w:rsid w:val="00832622"/>
    <w:rsid w:val="0083333B"/>
    <w:rsid w:val="00835529"/>
    <w:rsid w:val="008374BD"/>
    <w:rsid w:val="00842022"/>
    <w:rsid w:val="008422CC"/>
    <w:rsid w:val="008456CA"/>
    <w:rsid w:val="0084740E"/>
    <w:rsid w:val="0085058E"/>
    <w:rsid w:val="00851589"/>
    <w:rsid w:val="00860D6C"/>
    <w:rsid w:val="00864719"/>
    <w:rsid w:val="00866FDC"/>
    <w:rsid w:val="00867278"/>
    <w:rsid w:val="00870949"/>
    <w:rsid w:val="00871571"/>
    <w:rsid w:val="008718FA"/>
    <w:rsid w:val="00871E06"/>
    <w:rsid w:val="008759F7"/>
    <w:rsid w:val="00875B82"/>
    <w:rsid w:val="00882D02"/>
    <w:rsid w:val="00882FE6"/>
    <w:rsid w:val="00884B14"/>
    <w:rsid w:val="00885A18"/>
    <w:rsid w:val="00886292"/>
    <w:rsid w:val="008862F2"/>
    <w:rsid w:val="0089462F"/>
    <w:rsid w:val="00894ADA"/>
    <w:rsid w:val="00895D07"/>
    <w:rsid w:val="00896DC9"/>
    <w:rsid w:val="008A2BA7"/>
    <w:rsid w:val="008A57C4"/>
    <w:rsid w:val="008A5E72"/>
    <w:rsid w:val="008A62A6"/>
    <w:rsid w:val="008A7CC2"/>
    <w:rsid w:val="008B0C9E"/>
    <w:rsid w:val="008B23D1"/>
    <w:rsid w:val="008B3998"/>
    <w:rsid w:val="008B3DA6"/>
    <w:rsid w:val="008B63D1"/>
    <w:rsid w:val="008B76F1"/>
    <w:rsid w:val="008C06BC"/>
    <w:rsid w:val="008C374A"/>
    <w:rsid w:val="008C634B"/>
    <w:rsid w:val="008D0874"/>
    <w:rsid w:val="008D2E4C"/>
    <w:rsid w:val="008D5208"/>
    <w:rsid w:val="008D60A9"/>
    <w:rsid w:val="008E0A0E"/>
    <w:rsid w:val="008E17C2"/>
    <w:rsid w:val="008E2443"/>
    <w:rsid w:val="008E24DD"/>
    <w:rsid w:val="008E7F27"/>
    <w:rsid w:val="008F0071"/>
    <w:rsid w:val="008F0863"/>
    <w:rsid w:val="008F0D7B"/>
    <w:rsid w:val="008F1F50"/>
    <w:rsid w:val="00905FA2"/>
    <w:rsid w:val="00913FA7"/>
    <w:rsid w:val="009143BC"/>
    <w:rsid w:val="00914C06"/>
    <w:rsid w:val="00916EDE"/>
    <w:rsid w:val="0092671F"/>
    <w:rsid w:val="009274F1"/>
    <w:rsid w:val="00945F53"/>
    <w:rsid w:val="00950FA2"/>
    <w:rsid w:val="00951346"/>
    <w:rsid w:val="00952ACA"/>
    <w:rsid w:val="00955EA4"/>
    <w:rsid w:val="0095709F"/>
    <w:rsid w:val="00963E81"/>
    <w:rsid w:val="00970069"/>
    <w:rsid w:val="00970BD7"/>
    <w:rsid w:val="0097301C"/>
    <w:rsid w:val="00974C0B"/>
    <w:rsid w:val="009763BE"/>
    <w:rsid w:val="00977D3B"/>
    <w:rsid w:val="00980D41"/>
    <w:rsid w:val="00981B8B"/>
    <w:rsid w:val="009857A4"/>
    <w:rsid w:val="00987CB3"/>
    <w:rsid w:val="009A1357"/>
    <w:rsid w:val="009A1B87"/>
    <w:rsid w:val="009A1D7E"/>
    <w:rsid w:val="009A3880"/>
    <w:rsid w:val="009A5FAE"/>
    <w:rsid w:val="009B4453"/>
    <w:rsid w:val="009B5114"/>
    <w:rsid w:val="009B5615"/>
    <w:rsid w:val="009B5B6A"/>
    <w:rsid w:val="009C0F29"/>
    <w:rsid w:val="009C6BBE"/>
    <w:rsid w:val="009D06F7"/>
    <w:rsid w:val="009D23CF"/>
    <w:rsid w:val="009D28D0"/>
    <w:rsid w:val="009D36DB"/>
    <w:rsid w:val="009D6579"/>
    <w:rsid w:val="009E28E8"/>
    <w:rsid w:val="009E3070"/>
    <w:rsid w:val="009F29DB"/>
    <w:rsid w:val="009F3363"/>
    <w:rsid w:val="009F715C"/>
    <w:rsid w:val="009F741B"/>
    <w:rsid w:val="00A033C0"/>
    <w:rsid w:val="00A053B6"/>
    <w:rsid w:val="00A10FFA"/>
    <w:rsid w:val="00A11A40"/>
    <w:rsid w:val="00A205A6"/>
    <w:rsid w:val="00A22BC9"/>
    <w:rsid w:val="00A230A3"/>
    <w:rsid w:val="00A2788E"/>
    <w:rsid w:val="00A27F7E"/>
    <w:rsid w:val="00A3088C"/>
    <w:rsid w:val="00A31C34"/>
    <w:rsid w:val="00A359C7"/>
    <w:rsid w:val="00A41059"/>
    <w:rsid w:val="00A44327"/>
    <w:rsid w:val="00A45645"/>
    <w:rsid w:val="00A46DEC"/>
    <w:rsid w:val="00A50A6E"/>
    <w:rsid w:val="00A541AC"/>
    <w:rsid w:val="00A546AE"/>
    <w:rsid w:val="00A54B64"/>
    <w:rsid w:val="00A55F9D"/>
    <w:rsid w:val="00A560E9"/>
    <w:rsid w:val="00A57189"/>
    <w:rsid w:val="00A6056A"/>
    <w:rsid w:val="00A645E8"/>
    <w:rsid w:val="00A65901"/>
    <w:rsid w:val="00A6755C"/>
    <w:rsid w:val="00A75331"/>
    <w:rsid w:val="00A913AD"/>
    <w:rsid w:val="00A93BBE"/>
    <w:rsid w:val="00A957C8"/>
    <w:rsid w:val="00A96557"/>
    <w:rsid w:val="00AA2BC5"/>
    <w:rsid w:val="00AA4E8C"/>
    <w:rsid w:val="00AB3B11"/>
    <w:rsid w:val="00AC5642"/>
    <w:rsid w:val="00AC6793"/>
    <w:rsid w:val="00AD3642"/>
    <w:rsid w:val="00AD69E1"/>
    <w:rsid w:val="00AE047D"/>
    <w:rsid w:val="00AF2061"/>
    <w:rsid w:val="00AF5526"/>
    <w:rsid w:val="00AF559D"/>
    <w:rsid w:val="00B0451B"/>
    <w:rsid w:val="00B165B3"/>
    <w:rsid w:val="00B22538"/>
    <w:rsid w:val="00B25566"/>
    <w:rsid w:val="00B25BB4"/>
    <w:rsid w:val="00B3220B"/>
    <w:rsid w:val="00B37975"/>
    <w:rsid w:val="00B4244E"/>
    <w:rsid w:val="00B51FEC"/>
    <w:rsid w:val="00B556EB"/>
    <w:rsid w:val="00B574F5"/>
    <w:rsid w:val="00B62C31"/>
    <w:rsid w:val="00B643CD"/>
    <w:rsid w:val="00B733AC"/>
    <w:rsid w:val="00B872B6"/>
    <w:rsid w:val="00B8742B"/>
    <w:rsid w:val="00B907C8"/>
    <w:rsid w:val="00B94282"/>
    <w:rsid w:val="00B945DC"/>
    <w:rsid w:val="00B95E79"/>
    <w:rsid w:val="00BA2EC6"/>
    <w:rsid w:val="00BA674C"/>
    <w:rsid w:val="00BA6F0E"/>
    <w:rsid w:val="00BB190D"/>
    <w:rsid w:val="00BB48DC"/>
    <w:rsid w:val="00BB6B5B"/>
    <w:rsid w:val="00BB6C66"/>
    <w:rsid w:val="00BC2526"/>
    <w:rsid w:val="00BD0976"/>
    <w:rsid w:val="00BD4094"/>
    <w:rsid w:val="00BD674B"/>
    <w:rsid w:val="00BD6A0C"/>
    <w:rsid w:val="00BD790C"/>
    <w:rsid w:val="00BE3C30"/>
    <w:rsid w:val="00BE62D1"/>
    <w:rsid w:val="00BF3D9F"/>
    <w:rsid w:val="00BF3E5C"/>
    <w:rsid w:val="00BF6EDA"/>
    <w:rsid w:val="00C019A5"/>
    <w:rsid w:val="00C074F8"/>
    <w:rsid w:val="00C10A8A"/>
    <w:rsid w:val="00C1246C"/>
    <w:rsid w:val="00C1759D"/>
    <w:rsid w:val="00C23256"/>
    <w:rsid w:val="00C23D88"/>
    <w:rsid w:val="00C2726D"/>
    <w:rsid w:val="00C34E8E"/>
    <w:rsid w:val="00C36579"/>
    <w:rsid w:val="00C451DC"/>
    <w:rsid w:val="00C45907"/>
    <w:rsid w:val="00C45F53"/>
    <w:rsid w:val="00C47DCA"/>
    <w:rsid w:val="00C50A2F"/>
    <w:rsid w:val="00C55AA6"/>
    <w:rsid w:val="00C561A7"/>
    <w:rsid w:val="00C56F78"/>
    <w:rsid w:val="00C618B2"/>
    <w:rsid w:val="00C6254B"/>
    <w:rsid w:val="00C62805"/>
    <w:rsid w:val="00C652A2"/>
    <w:rsid w:val="00C6582D"/>
    <w:rsid w:val="00C65D79"/>
    <w:rsid w:val="00C70D62"/>
    <w:rsid w:val="00C74B62"/>
    <w:rsid w:val="00C74DCE"/>
    <w:rsid w:val="00C76FAE"/>
    <w:rsid w:val="00C773A0"/>
    <w:rsid w:val="00C77FCE"/>
    <w:rsid w:val="00C85182"/>
    <w:rsid w:val="00C96429"/>
    <w:rsid w:val="00CA0108"/>
    <w:rsid w:val="00CA1E94"/>
    <w:rsid w:val="00CA1EDB"/>
    <w:rsid w:val="00CA3D3D"/>
    <w:rsid w:val="00CA3FC1"/>
    <w:rsid w:val="00CB09EB"/>
    <w:rsid w:val="00CB155C"/>
    <w:rsid w:val="00CB40F2"/>
    <w:rsid w:val="00CB60B6"/>
    <w:rsid w:val="00CC1F13"/>
    <w:rsid w:val="00CC57A2"/>
    <w:rsid w:val="00CC67D9"/>
    <w:rsid w:val="00CD3407"/>
    <w:rsid w:val="00CD345A"/>
    <w:rsid w:val="00CE74AE"/>
    <w:rsid w:val="00CF34CA"/>
    <w:rsid w:val="00CF3F82"/>
    <w:rsid w:val="00CF4EF4"/>
    <w:rsid w:val="00CF6019"/>
    <w:rsid w:val="00CF7A09"/>
    <w:rsid w:val="00D022BA"/>
    <w:rsid w:val="00D03199"/>
    <w:rsid w:val="00D11652"/>
    <w:rsid w:val="00D1203D"/>
    <w:rsid w:val="00D134BA"/>
    <w:rsid w:val="00D13520"/>
    <w:rsid w:val="00D1522F"/>
    <w:rsid w:val="00D16706"/>
    <w:rsid w:val="00D16B31"/>
    <w:rsid w:val="00D21339"/>
    <w:rsid w:val="00D23CBD"/>
    <w:rsid w:val="00D24903"/>
    <w:rsid w:val="00D3166F"/>
    <w:rsid w:val="00D34428"/>
    <w:rsid w:val="00D35D5E"/>
    <w:rsid w:val="00D35E77"/>
    <w:rsid w:val="00D4086F"/>
    <w:rsid w:val="00D410CC"/>
    <w:rsid w:val="00D435D1"/>
    <w:rsid w:val="00D43622"/>
    <w:rsid w:val="00D44743"/>
    <w:rsid w:val="00D47DFE"/>
    <w:rsid w:val="00D50582"/>
    <w:rsid w:val="00D621C3"/>
    <w:rsid w:val="00D628B8"/>
    <w:rsid w:val="00D63DFB"/>
    <w:rsid w:val="00D67BE7"/>
    <w:rsid w:val="00D7196A"/>
    <w:rsid w:val="00D7619B"/>
    <w:rsid w:val="00D768A4"/>
    <w:rsid w:val="00D82EAF"/>
    <w:rsid w:val="00D83985"/>
    <w:rsid w:val="00D843A3"/>
    <w:rsid w:val="00D855F1"/>
    <w:rsid w:val="00D91CAC"/>
    <w:rsid w:val="00DA15D7"/>
    <w:rsid w:val="00DA2265"/>
    <w:rsid w:val="00DA3F6A"/>
    <w:rsid w:val="00DA5E38"/>
    <w:rsid w:val="00DB0B51"/>
    <w:rsid w:val="00DB4E25"/>
    <w:rsid w:val="00DB5131"/>
    <w:rsid w:val="00DB592D"/>
    <w:rsid w:val="00DB663B"/>
    <w:rsid w:val="00DB7200"/>
    <w:rsid w:val="00DC2CF7"/>
    <w:rsid w:val="00DC5C92"/>
    <w:rsid w:val="00DD041C"/>
    <w:rsid w:val="00DD0541"/>
    <w:rsid w:val="00DD4160"/>
    <w:rsid w:val="00DD7708"/>
    <w:rsid w:val="00DD7AA1"/>
    <w:rsid w:val="00DE1369"/>
    <w:rsid w:val="00DE1807"/>
    <w:rsid w:val="00DE5431"/>
    <w:rsid w:val="00DE6E43"/>
    <w:rsid w:val="00DF0FFC"/>
    <w:rsid w:val="00DF1390"/>
    <w:rsid w:val="00DF1518"/>
    <w:rsid w:val="00DF2B69"/>
    <w:rsid w:val="00DF3D96"/>
    <w:rsid w:val="00DF6FDE"/>
    <w:rsid w:val="00E0232E"/>
    <w:rsid w:val="00E02897"/>
    <w:rsid w:val="00E100A2"/>
    <w:rsid w:val="00E10E77"/>
    <w:rsid w:val="00E16264"/>
    <w:rsid w:val="00E20BB3"/>
    <w:rsid w:val="00E307F0"/>
    <w:rsid w:val="00E31A40"/>
    <w:rsid w:val="00E32D0C"/>
    <w:rsid w:val="00E33A0F"/>
    <w:rsid w:val="00E3592C"/>
    <w:rsid w:val="00E404E5"/>
    <w:rsid w:val="00E4254A"/>
    <w:rsid w:val="00E42E76"/>
    <w:rsid w:val="00E4319B"/>
    <w:rsid w:val="00E446B5"/>
    <w:rsid w:val="00E47212"/>
    <w:rsid w:val="00E5070A"/>
    <w:rsid w:val="00E51594"/>
    <w:rsid w:val="00E5207B"/>
    <w:rsid w:val="00E54B53"/>
    <w:rsid w:val="00E54C0E"/>
    <w:rsid w:val="00E57F16"/>
    <w:rsid w:val="00E63A39"/>
    <w:rsid w:val="00E64C7A"/>
    <w:rsid w:val="00E65650"/>
    <w:rsid w:val="00E679D5"/>
    <w:rsid w:val="00E75CE7"/>
    <w:rsid w:val="00E853FF"/>
    <w:rsid w:val="00EA32E6"/>
    <w:rsid w:val="00EA60A1"/>
    <w:rsid w:val="00EA6571"/>
    <w:rsid w:val="00EA7914"/>
    <w:rsid w:val="00EA7F74"/>
    <w:rsid w:val="00EB0CE3"/>
    <w:rsid w:val="00EB202D"/>
    <w:rsid w:val="00EB4F0E"/>
    <w:rsid w:val="00EB5902"/>
    <w:rsid w:val="00EB793D"/>
    <w:rsid w:val="00EB7EA8"/>
    <w:rsid w:val="00EC003B"/>
    <w:rsid w:val="00EC2D04"/>
    <w:rsid w:val="00EC783E"/>
    <w:rsid w:val="00EE1521"/>
    <w:rsid w:val="00EE1DA5"/>
    <w:rsid w:val="00EE552F"/>
    <w:rsid w:val="00EE5DD0"/>
    <w:rsid w:val="00EE6331"/>
    <w:rsid w:val="00EE77DA"/>
    <w:rsid w:val="00EF1FEF"/>
    <w:rsid w:val="00EF461C"/>
    <w:rsid w:val="00F149AC"/>
    <w:rsid w:val="00F16195"/>
    <w:rsid w:val="00F16584"/>
    <w:rsid w:val="00F17D0F"/>
    <w:rsid w:val="00F200A4"/>
    <w:rsid w:val="00F21381"/>
    <w:rsid w:val="00F23237"/>
    <w:rsid w:val="00F2333D"/>
    <w:rsid w:val="00F356F9"/>
    <w:rsid w:val="00F3741A"/>
    <w:rsid w:val="00F400AA"/>
    <w:rsid w:val="00F44D41"/>
    <w:rsid w:val="00F465A1"/>
    <w:rsid w:val="00F46E1F"/>
    <w:rsid w:val="00F47D11"/>
    <w:rsid w:val="00F515C0"/>
    <w:rsid w:val="00F52E66"/>
    <w:rsid w:val="00F5405D"/>
    <w:rsid w:val="00F56FF6"/>
    <w:rsid w:val="00F61571"/>
    <w:rsid w:val="00F61D11"/>
    <w:rsid w:val="00F636C1"/>
    <w:rsid w:val="00F651A7"/>
    <w:rsid w:val="00F70D53"/>
    <w:rsid w:val="00F7257A"/>
    <w:rsid w:val="00F7335B"/>
    <w:rsid w:val="00F76419"/>
    <w:rsid w:val="00F778F5"/>
    <w:rsid w:val="00F83A13"/>
    <w:rsid w:val="00F85A23"/>
    <w:rsid w:val="00F90A22"/>
    <w:rsid w:val="00F91411"/>
    <w:rsid w:val="00FB0DE6"/>
    <w:rsid w:val="00FB2E30"/>
    <w:rsid w:val="00FB5A43"/>
    <w:rsid w:val="00FB6159"/>
    <w:rsid w:val="00FC4500"/>
    <w:rsid w:val="00FD61FB"/>
    <w:rsid w:val="00FD7ED7"/>
    <w:rsid w:val="00FE1297"/>
    <w:rsid w:val="00FE3BAD"/>
    <w:rsid w:val="00FE3CF9"/>
    <w:rsid w:val="00FF1020"/>
    <w:rsid w:val="00FF2F97"/>
    <w:rsid w:val="00FF3206"/>
    <w:rsid w:val="00FF725E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66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"/>
    <w:qFormat/>
    <w:rsid w:val="00D3166F"/>
    <w:pPr>
      <w:keepNext/>
      <w:keepLines/>
      <w:numPr>
        <w:numId w:val="14"/>
      </w:numPr>
      <w:spacing w:before="340" w:after="330"/>
    </w:pPr>
    <w:rPr>
      <w:bCs w:val="0"/>
      <w:kern w:val="44"/>
      <w:sz w:val="28"/>
      <w:szCs w:val="44"/>
    </w:rPr>
  </w:style>
  <w:style w:type="paragraph" w:styleId="2">
    <w:name w:val="heading 2"/>
    <w:basedOn w:val="a0"/>
    <w:next w:val="a"/>
    <w:qFormat/>
    <w:rsid w:val="00D3166F"/>
    <w:pPr>
      <w:keepNext/>
      <w:keepLines/>
      <w:spacing w:before="260" w:after="260"/>
      <w:jc w:val="left"/>
      <w:outlineLvl w:val="1"/>
    </w:pPr>
    <w:rPr>
      <w:bCs w:val="0"/>
      <w:sz w:val="24"/>
    </w:rPr>
  </w:style>
  <w:style w:type="paragraph" w:styleId="3">
    <w:name w:val="heading 3"/>
    <w:basedOn w:val="a0"/>
    <w:next w:val="a"/>
    <w:qFormat/>
    <w:rsid w:val="00D3166F"/>
    <w:pPr>
      <w:keepNext/>
      <w:keepLines/>
      <w:spacing w:before="260" w:after="260"/>
      <w:jc w:val="left"/>
      <w:outlineLvl w:val="2"/>
    </w:pPr>
    <w:rPr>
      <w:bCs w:val="0"/>
      <w:sz w:val="21"/>
    </w:rPr>
  </w:style>
  <w:style w:type="paragraph" w:styleId="4">
    <w:name w:val="heading 4"/>
    <w:basedOn w:val="a0"/>
    <w:next w:val="a"/>
    <w:qFormat/>
    <w:rsid w:val="00D3166F"/>
    <w:pPr>
      <w:keepNext/>
      <w:keepLines/>
      <w:numPr>
        <w:ilvl w:val="3"/>
        <w:numId w:val="14"/>
      </w:numPr>
      <w:spacing w:before="280" w:after="290"/>
      <w:jc w:val="left"/>
      <w:outlineLvl w:val="3"/>
    </w:pPr>
    <w:rPr>
      <w:b w:val="0"/>
      <w:bCs w:val="0"/>
      <w:sz w:val="21"/>
      <w:szCs w:val="28"/>
    </w:rPr>
  </w:style>
  <w:style w:type="paragraph" w:styleId="5">
    <w:name w:val="heading 5"/>
    <w:basedOn w:val="a"/>
    <w:next w:val="a"/>
    <w:qFormat/>
    <w:rsid w:val="00D3166F"/>
    <w:pPr>
      <w:keepNext/>
      <w:keepLines/>
      <w:tabs>
        <w:tab w:val="num" w:pos="1008"/>
      </w:tabs>
      <w:spacing w:before="280" w:after="290" w:line="376" w:lineRule="auto"/>
      <w:ind w:left="1008" w:hanging="1008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D3166F"/>
    <w:pPr>
      <w:keepNext/>
      <w:keepLines/>
      <w:tabs>
        <w:tab w:val="num" w:pos="1152"/>
      </w:tabs>
      <w:spacing w:before="240" w:after="64" w:line="320" w:lineRule="auto"/>
      <w:ind w:left="1152" w:hanging="1152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qFormat/>
    <w:rsid w:val="00D3166F"/>
    <w:pPr>
      <w:keepNext/>
      <w:keepLines/>
      <w:tabs>
        <w:tab w:val="num" w:pos="1296"/>
      </w:tabs>
      <w:spacing w:before="240" w:after="64" w:line="320" w:lineRule="auto"/>
      <w:ind w:left="1296" w:hanging="1296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D3166F"/>
    <w:pPr>
      <w:keepNext/>
      <w:keepLines/>
      <w:tabs>
        <w:tab w:val="num" w:pos="1440"/>
      </w:tabs>
      <w:spacing w:before="240" w:after="64" w:line="320" w:lineRule="auto"/>
      <w:ind w:left="1440" w:hanging="1440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qFormat/>
    <w:rsid w:val="00D3166F"/>
    <w:pPr>
      <w:keepNext/>
      <w:keepLines/>
      <w:tabs>
        <w:tab w:val="num" w:pos="1584"/>
      </w:tabs>
      <w:spacing w:before="240" w:after="64" w:line="320" w:lineRule="auto"/>
      <w:ind w:left="1584" w:hanging="1584"/>
      <w:outlineLvl w:val="8"/>
    </w:pPr>
    <w:rPr>
      <w:rFonts w:ascii="Arial" w:eastAsia="黑体" w:hAnsi="Arial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rsid w:val="00D3166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Body Text Indent"/>
    <w:basedOn w:val="a"/>
    <w:rsid w:val="00D3166F"/>
    <w:pPr>
      <w:ind w:firstLineChars="200" w:firstLine="560"/>
    </w:pPr>
    <w:rPr>
      <w:rFonts w:ascii="仿宋_GB2312" w:eastAsia="仿宋_GB2312"/>
      <w:sz w:val="28"/>
    </w:rPr>
  </w:style>
  <w:style w:type="paragraph" w:styleId="a5">
    <w:name w:val="footnote text"/>
    <w:basedOn w:val="a"/>
    <w:semiHidden/>
    <w:rsid w:val="00D3166F"/>
    <w:pPr>
      <w:snapToGrid w:val="0"/>
      <w:jc w:val="left"/>
    </w:pPr>
    <w:rPr>
      <w:sz w:val="18"/>
      <w:szCs w:val="18"/>
    </w:rPr>
  </w:style>
  <w:style w:type="character" w:styleId="a6">
    <w:name w:val="footnote reference"/>
    <w:semiHidden/>
    <w:rsid w:val="00D3166F"/>
    <w:rPr>
      <w:vertAlign w:val="superscript"/>
    </w:rPr>
  </w:style>
  <w:style w:type="paragraph" w:styleId="a7">
    <w:name w:val="footer"/>
    <w:basedOn w:val="a"/>
    <w:link w:val="Char"/>
    <w:uiPriority w:val="99"/>
    <w:rsid w:val="00D31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1"/>
    <w:rsid w:val="00D3166F"/>
  </w:style>
  <w:style w:type="character" w:customStyle="1" w:styleId="da">
    <w:name w:val="da"/>
    <w:basedOn w:val="a1"/>
    <w:rsid w:val="000C54A4"/>
  </w:style>
  <w:style w:type="paragraph" w:styleId="a9">
    <w:name w:val="Balloon Text"/>
    <w:basedOn w:val="a"/>
    <w:semiHidden/>
    <w:rsid w:val="008B0C9E"/>
    <w:rPr>
      <w:sz w:val="18"/>
      <w:szCs w:val="18"/>
    </w:rPr>
  </w:style>
  <w:style w:type="paragraph" w:styleId="aa">
    <w:name w:val="header"/>
    <w:basedOn w:val="a"/>
    <w:rsid w:val="003D4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Date"/>
    <w:basedOn w:val="a"/>
    <w:next w:val="a"/>
    <w:rsid w:val="00227288"/>
    <w:pPr>
      <w:ind w:leftChars="2500" w:left="100"/>
    </w:pPr>
  </w:style>
  <w:style w:type="paragraph" w:styleId="ac">
    <w:name w:val="Normal (Web)"/>
    <w:basedOn w:val="a"/>
    <w:uiPriority w:val="99"/>
    <w:rsid w:val="002272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0">
    <w:name w:val="List 3"/>
    <w:basedOn w:val="a"/>
    <w:rsid w:val="00227288"/>
    <w:pPr>
      <w:ind w:leftChars="400" w:left="100" w:hangingChars="200" w:hanging="200"/>
    </w:pPr>
  </w:style>
  <w:style w:type="character" w:customStyle="1" w:styleId="Char">
    <w:name w:val="页脚 Char"/>
    <w:link w:val="a7"/>
    <w:uiPriority w:val="99"/>
    <w:rsid w:val="0034673A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Default">
    <w:name w:val="Default"/>
    <w:rsid w:val="001A047E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10">
    <w:name w:val="toc 1"/>
    <w:basedOn w:val="a"/>
    <w:next w:val="a"/>
    <w:autoRedefine/>
    <w:rsid w:val="006D3BD3"/>
    <w:rPr>
      <w:szCs w:val="20"/>
    </w:rPr>
  </w:style>
  <w:style w:type="paragraph" w:customStyle="1" w:styleId="CharChar">
    <w:name w:val="Char Char"/>
    <w:basedOn w:val="a"/>
    <w:autoRedefine/>
    <w:rsid w:val="007739C8"/>
    <w:pPr>
      <w:tabs>
        <w:tab w:val="num" w:pos="1500"/>
      </w:tabs>
      <w:spacing w:line="360" w:lineRule="auto"/>
      <w:ind w:left="1500" w:firstLineChars="200" w:firstLine="480"/>
    </w:pPr>
    <w:rPr>
      <w:sz w:val="24"/>
    </w:rPr>
  </w:style>
  <w:style w:type="paragraph" w:styleId="ad">
    <w:name w:val="List Paragraph"/>
    <w:basedOn w:val="a"/>
    <w:uiPriority w:val="34"/>
    <w:qFormat/>
    <w:rsid w:val="007739C8"/>
    <w:pPr>
      <w:ind w:firstLineChars="200" w:firstLine="420"/>
    </w:pPr>
    <w:rPr>
      <w:sz w:val="28"/>
    </w:rPr>
  </w:style>
  <w:style w:type="paragraph" w:styleId="ae">
    <w:name w:val="Revision"/>
    <w:hidden/>
    <w:uiPriority w:val="99"/>
    <w:semiHidden/>
    <w:rsid w:val="008E17C2"/>
    <w:rPr>
      <w:kern w:val="2"/>
      <w:sz w:val="21"/>
      <w:szCs w:val="24"/>
    </w:rPr>
  </w:style>
  <w:style w:type="character" w:styleId="af">
    <w:name w:val="annotation reference"/>
    <w:rsid w:val="00B62C31"/>
    <w:rPr>
      <w:sz w:val="21"/>
      <w:szCs w:val="21"/>
    </w:rPr>
  </w:style>
  <w:style w:type="paragraph" w:styleId="af0">
    <w:name w:val="annotation text"/>
    <w:basedOn w:val="a"/>
    <w:link w:val="Char0"/>
    <w:rsid w:val="00B62C31"/>
    <w:pPr>
      <w:jc w:val="left"/>
    </w:pPr>
  </w:style>
  <w:style w:type="character" w:customStyle="1" w:styleId="Char0">
    <w:name w:val="批注文字 Char"/>
    <w:link w:val="af0"/>
    <w:rsid w:val="00B62C31"/>
    <w:rPr>
      <w:kern w:val="2"/>
      <w:sz w:val="21"/>
      <w:szCs w:val="24"/>
    </w:rPr>
  </w:style>
  <w:style w:type="paragraph" w:styleId="af1">
    <w:name w:val="annotation subject"/>
    <w:basedOn w:val="af0"/>
    <w:next w:val="af0"/>
    <w:link w:val="Char1"/>
    <w:rsid w:val="00B62C31"/>
    <w:rPr>
      <w:b/>
      <w:bCs/>
    </w:rPr>
  </w:style>
  <w:style w:type="character" w:customStyle="1" w:styleId="Char1">
    <w:name w:val="批注主题 Char"/>
    <w:link w:val="af1"/>
    <w:rsid w:val="00B62C31"/>
    <w:rPr>
      <w:b/>
      <w:bCs/>
      <w:kern w:val="2"/>
      <w:sz w:val="21"/>
      <w:szCs w:val="24"/>
    </w:rPr>
  </w:style>
  <w:style w:type="character" w:styleId="af2">
    <w:name w:val="Hyperlink"/>
    <w:basedOn w:val="a1"/>
    <w:rsid w:val="006868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A9108-8F12-4773-9CCE-FE64F004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405</Words>
  <Characters>2309</Characters>
  <Application>Microsoft Office Word</Application>
  <DocSecurity>0</DocSecurity>
  <Lines>19</Lines>
  <Paragraphs>5</Paragraphs>
  <ScaleCrop>false</ScaleCrop>
  <Company>COMMONORG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四、特别说明事项</dc:title>
  <dc:creator>卢淋丽</dc:creator>
  <cp:lastModifiedBy>X201</cp:lastModifiedBy>
  <cp:revision>31</cp:revision>
  <cp:lastPrinted>2019-04-24T07:31:00Z</cp:lastPrinted>
  <dcterms:created xsi:type="dcterms:W3CDTF">2019-04-22T07:57:00Z</dcterms:created>
  <dcterms:modified xsi:type="dcterms:W3CDTF">2019-04-29T02:58:00Z</dcterms:modified>
</cp:coreProperties>
</file>