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32" w:rsidRPr="00B86779" w:rsidRDefault="00570B32" w:rsidP="00570B32">
      <w:pPr>
        <w:spacing w:line="500" w:lineRule="exact"/>
        <w:rPr>
          <w:rFonts w:ascii="宋体" w:hAnsi="宋体"/>
          <w:b/>
          <w:sz w:val="24"/>
          <w:szCs w:val="28"/>
        </w:rPr>
      </w:pPr>
      <w:r w:rsidRPr="00106183">
        <w:rPr>
          <w:rFonts w:ascii="宋体" w:hAnsi="宋体" w:hint="eastAsia"/>
          <w:b/>
          <w:sz w:val="24"/>
          <w:szCs w:val="28"/>
        </w:rPr>
        <w:t xml:space="preserve">A股代码:601166          </w:t>
      </w:r>
      <w:r w:rsidRPr="00106183">
        <w:rPr>
          <w:rFonts w:ascii="宋体" w:hAnsi="宋体"/>
          <w:b/>
          <w:sz w:val="24"/>
          <w:szCs w:val="28"/>
        </w:rPr>
        <w:t xml:space="preserve"> </w:t>
      </w:r>
      <w:r w:rsidRPr="00106183">
        <w:rPr>
          <w:rFonts w:ascii="宋体" w:hAnsi="宋体" w:hint="eastAsia"/>
          <w:b/>
          <w:sz w:val="24"/>
          <w:szCs w:val="28"/>
        </w:rPr>
        <w:t xml:space="preserve"> A股简称:兴业银行       </w:t>
      </w:r>
      <w:r w:rsidRPr="00106183">
        <w:rPr>
          <w:rFonts w:ascii="宋体" w:hAnsi="宋体"/>
          <w:b/>
          <w:sz w:val="24"/>
          <w:szCs w:val="28"/>
        </w:rPr>
        <w:t xml:space="preserve">   </w:t>
      </w:r>
      <w:r w:rsidRPr="00106183">
        <w:rPr>
          <w:rFonts w:ascii="宋体" w:hAnsi="宋体" w:hint="eastAsia"/>
          <w:b/>
          <w:sz w:val="24"/>
          <w:szCs w:val="28"/>
        </w:rPr>
        <w:t>编号:</w:t>
      </w:r>
      <w:r w:rsidR="003B6D09">
        <w:rPr>
          <w:rFonts w:ascii="宋体" w:hAnsi="宋体" w:hint="eastAsia"/>
          <w:b/>
          <w:sz w:val="24"/>
          <w:szCs w:val="28"/>
        </w:rPr>
        <w:t>临2018-27</w:t>
      </w:r>
    </w:p>
    <w:p w:rsidR="00570B32" w:rsidRDefault="00570B32" w:rsidP="00570B32">
      <w:pPr>
        <w:spacing w:line="500" w:lineRule="exact"/>
        <w:jc w:val="left"/>
        <w:rPr>
          <w:rFonts w:ascii="宋体" w:hAnsi="宋体"/>
          <w:b/>
          <w:sz w:val="24"/>
          <w:szCs w:val="28"/>
        </w:rPr>
      </w:pPr>
      <w:r w:rsidRPr="002024EE">
        <w:rPr>
          <w:rFonts w:ascii="宋体" w:hAnsi="宋体" w:hint="eastAsia"/>
          <w:b/>
          <w:sz w:val="24"/>
          <w:szCs w:val="28"/>
        </w:rPr>
        <w:t>优先股代码：360005、360012        优先股简称：兴业优1、兴业优2</w:t>
      </w:r>
    </w:p>
    <w:p w:rsidR="00570B32" w:rsidRPr="00297110" w:rsidRDefault="00570B32" w:rsidP="00570B32">
      <w:pPr>
        <w:spacing w:line="50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570B32" w:rsidRPr="00570B32" w:rsidRDefault="00570B32" w:rsidP="00570B32">
      <w:pPr>
        <w:jc w:val="center"/>
        <w:rPr>
          <w:rFonts w:ascii="黑体" w:eastAsia="黑体"/>
          <w:color w:val="FF0000"/>
          <w:sz w:val="32"/>
          <w:szCs w:val="32"/>
        </w:rPr>
      </w:pPr>
      <w:r w:rsidRPr="00570B32">
        <w:rPr>
          <w:rFonts w:ascii="黑体" w:eastAsia="黑体" w:hint="eastAsia"/>
          <w:color w:val="FF0000"/>
          <w:sz w:val="32"/>
          <w:szCs w:val="32"/>
        </w:rPr>
        <w:t>兴业银行股份有限公司</w:t>
      </w:r>
    </w:p>
    <w:p w:rsidR="00570B32" w:rsidRPr="00570B32" w:rsidRDefault="00570B32" w:rsidP="00570B32">
      <w:pPr>
        <w:jc w:val="center"/>
        <w:rPr>
          <w:rFonts w:ascii="黑体" w:eastAsia="黑体"/>
          <w:color w:val="FF0000"/>
          <w:sz w:val="32"/>
          <w:szCs w:val="32"/>
        </w:rPr>
      </w:pPr>
      <w:r w:rsidRPr="00570B32">
        <w:rPr>
          <w:rFonts w:ascii="黑体" w:eastAsia="黑体" w:hint="eastAsia"/>
          <w:color w:val="FF0000"/>
          <w:sz w:val="32"/>
          <w:szCs w:val="32"/>
        </w:rPr>
        <w:t>关于与龙岩市汇金发展集团有限公司系列关联交易的公告</w:t>
      </w:r>
    </w:p>
    <w:p w:rsidR="00570B32" w:rsidRPr="00CF34CA" w:rsidRDefault="00570B32" w:rsidP="00570B32">
      <w:pPr>
        <w:spacing w:line="420" w:lineRule="exact"/>
        <w:ind w:firstLine="570"/>
        <w:rPr>
          <w:rFonts w:ascii="宋体" w:hAnsi="宋体"/>
          <w:sz w:val="24"/>
        </w:rPr>
      </w:pPr>
    </w:p>
    <w:p w:rsidR="00642394" w:rsidRDefault="00570B32" w:rsidP="00C7567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E5DD0"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570B32" w:rsidRPr="00EE5DD0" w:rsidRDefault="00570B32" w:rsidP="00570B32">
      <w:pPr>
        <w:spacing w:line="360" w:lineRule="auto"/>
        <w:ind w:firstLine="570"/>
        <w:rPr>
          <w:rFonts w:ascii="宋体" w:hAnsi="宋体"/>
          <w:sz w:val="24"/>
        </w:rPr>
      </w:pPr>
    </w:p>
    <w:p w:rsidR="00642394" w:rsidRDefault="00570B32" w:rsidP="00C75679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130A7A">
        <w:rPr>
          <w:rFonts w:ascii="宋体" w:hAnsi="宋体" w:cs="宋体" w:hint="eastAsia"/>
          <w:b/>
          <w:color w:val="000000"/>
          <w:kern w:val="0"/>
          <w:sz w:val="24"/>
        </w:rPr>
        <w:t xml:space="preserve">重要内容提示： </w:t>
      </w:r>
    </w:p>
    <w:p w:rsidR="00642394" w:rsidRDefault="00570B32" w:rsidP="00C7567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5369EA">
        <w:rPr>
          <w:rFonts w:ascii="宋体" w:hAnsi="宋体" w:cs="宋体" w:hint="eastAsia"/>
          <w:color w:val="000000"/>
          <w:kern w:val="0"/>
          <w:sz w:val="24"/>
        </w:rPr>
        <w:t>（一）交易内容</w:t>
      </w:r>
      <w:r w:rsidRPr="000571F7">
        <w:rPr>
          <w:rFonts w:ascii="宋体" w:hAnsi="宋体" w:cs="宋体" w:hint="eastAsia"/>
          <w:color w:val="000000"/>
          <w:kern w:val="0"/>
          <w:sz w:val="24"/>
        </w:rPr>
        <w:t>：本公司过去12个月与龙岩市汇</w:t>
      </w:r>
      <w:proofErr w:type="gramStart"/>
      <w:r w:rsidRPr="000571F7">
        <w:rPr>
          <w:rFonts w:ascii="宋体" w:hAnsi="宋体" w:cs="宋体" w:hint="eastAsia"/>
          <w:color w:val="000000"/>
          <w:kern w:val="0"/>
          <w:sz w:val="24"/>
        </w:rPr>
        <w:t>金发展</w:t>
      </w:r>
      <w:proofErr w:type="gramEnd"/>
      <w:r w:rsidRPr="000571F7">
        <w:rPr>
          <w:rFonts w:ascii="宋体" w:hAnsi="宋体" w:cs="宋体" w:hint="eastAsia"/>
          <w:color w:val="000000"/>
          <w:kern w:val="0"/>
          <w:sz w:val="24"/>
        </w:rPr>
        <w:t>集</w:t>
      </w:r>
      <w:bookmarkStart w:id="0" w:name="_GoBack"/>
      <w:bookmarkEnd w:id="0"/>
      <w:r w:rsidRPr="000571F7">
        <w:rPr>
          <w:rFonts w:ascii="宋体" w:hAnsi="宋体" w:cs="宋体" w:hint="eastAsia"/>
          <w:color w:val="000000"/>
          <w:kern w:val="0"/>
          <w:sz w:val="24"/>
        </w:rPr>
        <w:t>团有限公司及其关联企业（以下简称“龙岩汇金系列”）</w:t>
      </w:r>
      <w:r>
        <w:rPr>
          <w:rFonts w:ascii="宋体" w:hAnsi="宋体" w:cs="宋体" w:hint="eastAsia"/>
          <w:color w:val="000000"/>
          <w:kern w:val="0"/>
          <w:sz w:val="24"/>
        </w:rPr>
        <w:t>累计</w:t>
      </w:r>
      <w:r w:rsidRPr="000571F7">
        <w:rPr>
          <w:rFonts w:ascii="宋体" w:hAnsi="宋体" w:cs="宋体" w:hint="eastAsia"/>
          <w:color w:val="000000"/>
          <w:kern w:val="0"/>
          <w:sz w:val="24"/>
        </w:rPr>
        <w:t>发生</w:t>
      </w:r>
      <w:proofErr w:type="gramStart"/>
      <w:r w:rsidRPr="000571F7">
        <w:rPr>
          <w:rFonts w:ascii="宋体" w:hAnsi="宋体" w:cs="宋体" w:hint="eastAsia"/>
          <w:color w:val="000000"/>
          <w:kern w:val="0"/>
          <w:sz w:val="24"/>
        </w:rPr>
        <w:t>非授信类关联</w:t>
      </w:r>
      <w:proofErr w:type="gramEnd"/>
      <w:r w:rsidRPr="000571F7">
        <w:rPr>
          <w:rFonts w:ascii="宋体" w:hAnsi="宋体" w:cs="宋体" w:hint="eastAsia"/>
          <w:color w:val="000000"/>
          <w:kern w:val="0"/>
          <w:sz w:val="24"/>
        </w:rPr>
        <w:t>交易</w:t>
      </w:r>
      <w:r>
        <w:rPr>
          <w:rFonts w:ascii="宋体" w:hAnsi="宋体" w:cs="宋体" w:hint="eastAsia"/>
          <w:color w:val="000000"/>
          <w:kern w:val="0"/>
          <w:sz w:val="24"/>
        </w:rPr>
        <w:t>人民币</w:t>
      </w:r>
      <w:r w:rsidRPr="000571F7">
        <w:rPr>
          <w:rFonts w:ascii="宋体" w:hAnsi="宋体" w:cs="宋体" w:hint="eastAsia"/>
          <w:color w:val="000000"/>
          <w:kern w:val="0"/>
          <w:sz w:val="24"/>
        </w:rPr>
        <w:t>20.20</w:t>
      </w:r>
      <w:r>
        <w:rPr>
          <w:rFonts w:ascii="宋体" w:hAnsi="宋体" w:cs="宋体" w:hint="eastAsia"/>
          <w:color w:val="000000"/>
          <w:kern w:val="0"/>
          <w:sz w:val="24"/>
        </w:rPr>
        <w:t>亿元，均为</w:t>
      </w:r>
      <w:r w:rsidRPr="00CB036C">
        <w:rPr>
          <w:rFonts w:ascii="宋体" w:hAnsi="宋体" w:cs="宋体" w:hint="eastAsia"/>
          <w:color w:val="000000"/>
          <w:kern w:val="0"/>
          <w:sz w:val="24"/>
        </w:rPr>
        <w:t>结构性存款</w:t>
      </w:r>
      <w:r>
        <w:rPr>
          <w:rFonts w:ascii="宋体" w:hAnsi="宋体" w:cs="宋体" w:hint="eastAsia"/>
          <w:color w:val="000000"/>
          <w:kern w:val="0"/>
          <w:sz w:val="24"/>
        </w:rPr>
        <w:t>和</w:t>
      </w:r>
      <w:r w:rsidRPr="00CB036C">
        <w:rPr>
          <w:rFonts w:ascii="宋体" w:hAnsi="宋体" w:cs="宋体" w:hint="eastAsia"/>
          <w:color w:val="000000"/>
          <w:kern w:val="0"/>
          <w:sz w:val="24"/>
        </w:rPr>
        <w:t>对公理财</w:t>
      </w:r>
      <w:r>
        <w:rPr>
          <w:rFonts w:ascii="宋体" w:hAnsi="宋体" w:cs="宋体" w:hint="eastAsia"/>
          <w:color w:val="000000"/>
          <w:kern w:val="0"/>
          <w:sz w:val="24"/>
        </w:rPr>
        <w:t>业务，后续</w:t>
      </w:r>
      <w:r w:rsidRPr="000571F7">
        <w:rPr>
          <w:rFonts w:ascii="宋体" w:hAnsi="宋体" w:cs="宋体" w:hint="eastAsia"/>
          <w:color w:val="000000"/>
          <w:kern w:val="0"/>
          <w:sz w:val="24"/>
        </w:rPr>
        <w:t>还将与龙岩汇金系列关联法人发生结构性存款及对公理财、资产托管</w:t>
      </w:r>
      <w:r>
        <w:rPr>
          <w:rFonts w:ascii="宋体" w:hAnsi="宋体" w:cs="宋体" w:hint="eastAsia"/>
          <w:color w:val="000000"/>
          <w:kern w:val="0"/>
          <w:sz w:val="24"/>
        </w:rPr>
        <w:t>、债券承销</w:t>
      </w:r>
      <w:r w:rsidRPr="000571F7">
        <w:rPr>
          <w:rFonts w:ascii="宋体" w:hAnsi="宋体" w:cs="宋体" w:hint="eastAsia"/>
          <w:color w:val="000000"/>
          <w:kern w:val="0"/>
          <w:sz w:val="24"/>
        </w:rPr>
        <w:t>等</w:t>
      </w:r>
      <w:proofErr w:type="gramStart"/>
      <w:r w:rsidRPr="000571F7">
        <w:rPr>
          <w:rFonts w:ascii="宋体" w:hAnsi="宋体" w:cs="宋体" w:hint="eastAsia"/>
          <w:color w:val="000000"/>
          <w:kern w:val="0"/>
          <w:sz w:val="24"/>
        </w:rPr>
        <w:t>非授信类关联</w:t>
      </w:r>
      <w:proofErr w:type="gramEnd"/>
      <w:r w:rsidRPr="000571F7">
        <w:rPr>
          <w:rFonts w:ascii="宋体" w:hAnsi="宋体" w:cs="宋体" w:hint="eastAsia"/>
          <w:color w:val="000000"/>
          <w:kern w:val="0"/>
          <w:sz w:val="24"/>
        </w:rPr>
        <w:t>交易</w:t>
      </w:r>
      <w:r>
        <w:rPr>
          <w:rFonts w:ascii="宋体" w:hAnsi="宋体" w:cs="宋体" w:hint="eastAsia"/>
          <w:color w:val="000000"/>
          <w:kern w:val="0"/>
          <w:sz w:val="24"/>
        </w:rPr>
        <w:t>不超过人民币18</w:t>
      </w:r>
      <w:r w:rsidRPr="000571F7">
        <w:rPr>
          <w:rFonts w:ascii="宋体" w:hAnsi="宋体" w:cs="宋体" w:hint="eastAsia"/>
          <w:color w:val="000000"/>
          <w:kern w:val="0"/>
          <w:sz w:val="24"/>
        </w:rPr>
        <w:t>.80亿元</w:t>
      </w:r>
      <w:r>
        <w:rPr>
          <w:rFonts w:ascii="宋体" w:hAnsi="宋体" w:cs="宋体" w:hint="eastAsia"/>
          <w:color w:val="000000"/>
          <w:kern w:val="0"/>
          <w:sz w:val="24"/>
        </w:rPr>
        <w:t>，上述关联交易金额合计将不超过人民币39亿元。</w:t>
      </w:r>
    </w:p>
    <w:p w:rsidR="00642394" w:rsidRDefault="00570B32" w:rsidP="00C75679">
      <w:pPr>
        <w:pStyle w:val="Default"/>
        <w:spacing w:line="360" w:lineRule="auto"/>
        <w:ind w:firstLineChars="200" w:firstLine="480"/>
        <w:rPr>
          <w:rFonts w:hAnsi="宋体"/>
        </w:rPr>
      </w:pPr>
      <w:r w:rsidRPr="005369EA">
        <w:rPr>
          <w:rFonts w:hAnsi="宋体" w:hint="eastAsia"/>
        </w:rPr>
        <w:t>（</w:t>
      </w:r>
      <w:r>
        <w:rPr>
          <w:rFonts w:hAnsi="宋体" w:hint="eastAsia"/>
        </w:rPr>
        <w:t>二</w:t>
      </w:r>
      <w:r w:rsidRPr="005369EA">
        <w:rPr>
          <w:rFonts w:hAnsi="宋体" w:hint="eastAsia"/>
        </w:rPr>
        <w:t>）关联交易影响：</w:t>
      </w:r>
      <w:r>
        <w:rPr>
          <w:rFonts w:hAnsi="宋体" w:hint="eastAsia"/>
        </w:rPr>
        <w:t>上述</w:t>
      </w:r>
      <w:r w:rsidRPr="005369EA">
        <w:rPr>
          <w:rFonts w:hAnsi="宋体" w:hint="eastAsia"/>
        </w:rPr>
        <w:t>关联交易是公司日常业务经营中的合理交易，对公司经营活动及财务状况无重大影响，不会影响公司的独立性。</w:t>
      </w:r>
      <w:r w:rsidRPr="005369EA">
        <w:rPr>
          <w:rFonts w:hAnsi="宋体"/>
        </w:rPr>
        <w:t xml:space="preserve"> </w:t>
      </w:r>
    </w:p>
    <w:p w:rsidR="00642394" w:rsidRDefault="00570B32" w:rsidP="00C7567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5369EA">
        <w:rPr>
          <w:rFonts w:ascii="宋体" w:hAnsi="宋体" w:cs="宋体" w:hint="eastAsia"/>
          <w:color w:val="000000"/>
          <w:kern w:val="0"/>
          <w:sz w:val="24"/>
        </w:rPr>
        <w:t>（</w:t>
      </w:r>
      <w:r>
        <w:rPr>
          <w:rFonts w:ascii="宋体" w:hAnsi="宋体" w:cs="宋体" w:hint="eastAsia"/>
          <w:color w:val="000000"/>
          <w:kern w:val="0"/>
          <w:sz w:val="24"/>
        </w:rPr>
        <w:t>三）上述关联交易金额占公司</w:t>
      </w:r>
      <w:r w:rsidRPr="005369EA">
        <w:rPr>
          <w:rFonts w:ascii="宋体" w:hAnsi="宋体" w:cs="宋体" w:hint="eastAsia"/>
          <w:color w:val="000000"/>
          <w:kern w:val="0"/>
          <w:sz w:val="24"/>
        </w:rPr>
        <w:t>最近一期经审计净资产绝对值的0.5%</w:t>
      </w:r>
      <w:r>
        <w:rPr>
          <w:rFonts w:ascii="宋体" w:hAnsi="宋体" w:cs="宋体" w:hint="eastAsia"/>
          <w:color w:val="000000"/>
          <w:kern w:val="0"/>
          <w:sz w:val="24"/>
        </w:rPr>
        <w:t>以上，但</w:t>
      </w:r>
      <w:r w:rsidRPr="00DC2564">
        <w:rPr>
          <w:rFonts w:ascii="宋体" w:hAnsi="宋体" w:cs="宋体" w:hint="eastAsia"/>
          <w:color w:val="000000"/>
          <w:kern w:val="0"/>
          <w:sz w:val="24"/>
        </w:rPr>
        <w:t>未达到公司最近一期经审计净资产绝对值的1%，属于一般关联交易</w:t>
      </w:r>
      <w:r>
        <w:rPr>
          <w:rFonts w:ascii="宋体" w:hAnsi="宋体" w:cs="宋体" w:hint="eastAsia"/>
          <w:color w:val="000000"/>
          <w:kern w:val="0"/>
          <w:sz w:val="24"/>
        </w:rPr>
        <w:t>，应当予以披露，无需提交公司董事会审议。</w:t>
      </w:r>
    </w:p>
    <w:p w:rsidR="00570B32" w:rsidRDefault="00570B32" w:rsidP="00570B32">
      <w:pPr>
        <w:autoSpaceDE w:val="0"/>
        <w:autoSpaceDN w:val="0"/>
        <w:adjustRightInd w:val="0"/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</w:p>
    <w:p w:rsidR="00570B32" w:rsidRPr="005369EA" w:rsidRDefault="00570B32" w:rsidP="00570B32">
      <w:pPr>
        <w:pStyle w:val="Default"/>
        <w:spacing w:line="360" w:lineRule="auto"/>
        <w:ind w:firstLineChars="200" w:firstLine="482"/>
        <w:rPr>
          <w:rFonts w:hAnsi="宋体"/>
          <w:b/>
        </w:rPr>
      </w:pPr>
      <w:r w:rsidRPr="005369EA">
        <w:rPr>
          <w:rFonts w:hAnsi="宋体" w:hint="eastAsia"/>
          <w:b/>
        </w:rPr>
        <w:t>一、关联交易概述</w:t>
      </w:r>
    </w:p>
    <w:p w:rsidR="00642394" w:rsidRDefault="00570B32" w:rsidP="00C7567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CB036C">
        <w:rPr>
          <w:rFonts w:ascii="宋体" w:hAnsi="宋体" w:cs="宋体" w:hint="eastAsia"/>
          <w:color w:val="000000"/>
          <w:kern w:val="0"/>
          <w:sz w:val="24"/>
        </w:rPr>
        <w:t>截至本公告日，本公司在过去12个月与龙岩汇金系列关联法人</w:t>
      </w:r>
      <w:r>
        <w:rPr>
          <w:rFonts w:ascii="宋体" w:hAnsi="宋体" w:cs="宋体" w:hint="eastAsia"/>
          <w:color w:val="000000"/>
          <w:kern w:val="0"/>
          <w:sz w:val="24"/>
        </w:rPr>
        <w:t>累计</w:t>
      </w:r>
      <w:r w:rsidRPr="00CB036C">
        <w:rPr>
          <w:rFonts w:ascii="宋体" w:hAnsi="宋体" w:cs="宋体" w:hint="eastAsia"/>
          <w:color w:val="000000"/>
          <w:kern w:val="0"/>
          <w:sz w:val="24"/>
        </w:rPr>
        <w:t>发生</w:t>
      </w:r>
      <w:proofErr w:type="gramStart"/>
      <w:r w:rsidRPr="00CB036C">
        <w:rPr>
          <w:rFonts w:ascii="宋体" w:hAnsi="宋体" w:cs="宋体" w:hint="eastAsia"/>
          <w:color w:val="000000"/>
          <w:kern w:val="0"/>
          <w:sz w:val="24"/>
        </w:rPr>
        <w:t>非授信类关联</w:t>
      </w:r>
      <w:proofErr w:type="gramEnd"/>
      <w:r w:rsidRPr="00CB036C">
        <w:rPr>
          <w:rFonts w:ascii="宋体" w:hAnsi="宋体" w:cs="宋体" w:hint="eastAsia"/>
          <w:color w:val="000000"/>
          <w:kern w:val="0"/>
          <w:sz w:val="24"/>
        </w:rPr>
        <w:t>交易人民币20.20亿元，</w:t>
      </w:r>
      <w:r>
        <w:rPr>
          <w:rFonts w:ascii="宋体" w:hAnsi="宋体" w:cs="宋体" w:hint="eastAsia"/>
          <w:color w:val="000000"/>
          <w:kern w:val="0"/>
          <w:sz w:val="24"/>
        </w:rPr>
        <w:t>均为</w:t>
      </w:r>
      <w:r w:rsidRPr="00CB036C">
        <w:rPr>
          <w:rFonts w:ascii="宋体" w:hAnsi="宋体" w:cs="宋体" w:hint="eastAsia"/>
          <w:color w:val="000000"/>
          <w:kern w:val="0"/>
          <w:sz w:val="24"/>
        </w:rPr>
        <w:t>结构性存款</w:t>
      </w:r>
      <w:r>
        <w:rPr>
          <w:rFonts w:ascii="宋体" w:hAnsi="宋体" w:cs="宋体" w:hint="eastAsia"/>
          <w:color w:val="000000"/>
          <w:kern w:val="0"/>
          <w:sz w:val="24"/>
        </w:rPr>
        <w:t>和</w:t>
      </w:r>
      <w:r w:rsidRPr="00CB036C">
        <w:rPr>
          <w:rFonts w:ascii="宋体" w:hAnsi="宋体" w:cs="宋体" w:hint="eastAsia"/>
          <w:color w:val="000000"/>
          <w:kern w:val="0"/>
          <w:sz w:val="24"/>
        </w:rPr>
        <w:t>对公理财</w:t>
      </w:r>
      <w:r>
        <w:rPr>
          <w:rFonts w:ascii="宋体" w:hAnsi="宋体" w:cs="宋体" w:hint="eastAsia"/>
          <w:color w:val="000000"/>
          <w:kern w:val="0"/>
          <w:sz w:val="24"/>
        </w:rPr>
        <w:t>业务，</w:t>
      </w:r>
      <w:r w:rsidRPr="00CB036C">
        <w:rPr>
          <w:rFonts w:ascii="宋体" w:hAnsi="宋体" w:cs="宋体" w:hint="eastAsia"/>
          <w:color w:val="000000"/>
          <w:kern w:val="0"/>
          <w:sz w:val="24"/>
        </w:rPr>
        <w:t>后续还将与龙岩汇金系列关联法人发生结构性存款及对公理财、资产托管、债券承销等</w:t>
      </w:r>
      <w:proofErr w:type="gramStart"/>
      <w:r w:rsidRPr="00CB036C">
        <w:rPr>
          <w:rFonts w:ascii="宋体" w:hAnsi="宋体" w:cs="宋体" w:hint="eastAsia"/>
          <w:color w:val="000000"/>
          <w:kern w:val="0"/>
          <w:sz w:val="24"/>
        </w:rPr>
        <w:t>非授信类关联</w:t>
      </w:r>
      <w:proofErr w:type="gramEnd"/>
      <w:r w:rsidRPr="00CB036C">
        <w:rPr>
          <w:rFonts w:ascii="宋体" w:hAnsi="宋体" w:cs="宋体" w:hint="eastAsia"/>
          <w:color w:val="000000"/>
          <w:kern w:val="0"/>
          <w:sz w:val="24"/>
        </w:rPr>
        <w:t>交易不超过人民币18.80亿元</w:t>
      </w:r>
      <w:r>
        <w:rPr>
          <w:rFonts w:ascii="宋体" w:hAnsi="宋体" w:cs="宋体" w:hint="eastAsia"/>
          <w:color w:val="000000"/>
          <w:kern w:val="0"/>
          <w:sz w:val="24"/>
        </w:rPr>
        <w:t>，上述关联交易金额合计将不超过人民币39亿元。</w:t>
      </w:r>
      <w:r w:rsidRPr="00CB036C">
        <w:rPr>
          <w:rFonts w:ascii="宋体" w:hAnsi="宋体" w:cs="宋体" w:hint="eastAsia"/>
          <w:color w:val="000000"/>
          <w:kern w:val="0"/>
          <w:sz w:val="24"/>
        </w:rPr>
        <w:t>根据中国证券监督管理委员会《公开发行证券的公司信息披露编报规则第26号-商业银行信息披露特别规定（2014年修订）》、上海证券交易所《上市公司关联交易实施指引》以及《兴业银行股份有限公司关联交易管理办法》规定，</w:t>
      </w:r>
      <w:r>
        <w:rPr>
          <w:rFonts w:ascii="宋体" w:hAnsi="宋体" w:cs="宋体" w:hint="eastAsia"/>
          <w:color w:val="000000"/>
          <w:kern w:val="0"/>
          <w:sz w:val="24"/>
        </w:rPr>
        <w:lastRenderedPageBreak/>
        <w:t>公司与龙岩汇金系列关联法人已发生和后续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拟发生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的</w:t>
      </w:r>
      <w:r w:rsidRPr="00CB036C">
        <w:rPr>
          <w:rFonts w:ascii="宋体" w:hAnsi="宋体" w:cs="宋体" w:hint="eastAsia"/>
          <w:color w:val="000000"/>
          <w:kern w:val="0"/>
          <w:sz w:val="24"/>
        </w:rPr>
        <w:t>关联交易金额占公司最近一期经审计净资产绝对值的0.5%以上，但未达到公司最近一期经审计净资产绝对值的1%，属于一般关联交易，应当予以披露。</w:t>
      </w:r>
    </w:p>
    <w:p w:rsidR="00570B32" w:rsidRPr="005A59EF" w:rsidRDefault="00570B32" w:rsidP="00570B32">
      <w:pPr>
        <w:pStyle w:val="Default"/>
        <w:spacing w:line="360" w:lineRule="auto"/>
        <w:ind w:firstLineChars="200" w:firstLine="480"/>
        <w:rPr>
          <w:lang w:val="zh-CN"/>
        </w:rPr>
      </w:pPr>
      <w:r>
        <w:rPr>
          <w:rFonts w:hint="eastAsia"/>
          <w:lang w:val="zh-CN"/>
        </w:rPr>
        <w:t>本公司监事袁俊先生同时担任</w:t>
      </w:r>
      <w:r w:rsidRPr="00C2771F">
        <w:rPr>
          <w:rFonts w:hAnsi="宋体" w:cs="Times New Roman" w:hint="eastAsia"/>
          <w:kern w:val="2"/>
        </w:rPr>
        <w:t>龙岩市汇金发展集团有限公司</w:t>
      </w:r>
      <w:r>
        <w:rPr>
          <w:rFonts w:hAnsi="宋体" w:cs="Times New Roman" w:hint="eastAsia"/>
          <w:kern w:val="2"/>
        </w:rPr>
        <w:t>常务副总经理，根据《</w:t>
      </w:r>
      <w:r>
        <w:rPr>
          <w:rFonts w:hAnsi="宋体" w:hint="eastAsia"/>
        </w:rPr>
        <w:t>上海证券交易所股票上市规则》、</w:t>
      </w:r>
      <w:r w:rsidRPr="00D97EB1">
        <w:rPr>
          <w:rFonts w:hAnsi="宋体" w:cs="Times New Roman" w:hint="eastAsia"/>
          <w:kern w:val="2"/>
        </w:rPr>
        <w:t>《</w:t>
      </w:r>
      <w:r>
        <w:rPr>
          <w:rFonts w:hAnsi="宋体" w:hint="eastAsia"/>
        </w:rPr>
        <w:t>上海证券交易所</w:t>
      </w:r>
      <w:r w:rsidRPr="00D97EB1">
        <w:rPr>
          <w:rFonts w:hAnsi="宋体" w:cs="Times New Roman" w:hint="eastAsia"/>
          <w:kern w:val="2"/>
        </w:rPr>
        <w:t>上市公司关联交易实施指引》</w:t>
      </w:r>
      <w:r>
        <w:rPr>
          <w:rFonts w:hAnsi="宋体" w:cs="Times New Roman" w:hint="eastAsia"/>
          <w:kern w:val="2"/>
        </w:rPr>
        <w:t>等</w:t>
      </w:r>
      <w:r w:rsidRPr="00D97EB1">
        <w:rPr>
          <w:rFonts w:hAnsi="宋体" w:cs="Times New Roman" w:hint="eastAsia"/>
          <w:kern w:val="2"/>
        </w:rPr>
        <w:t>规定</w:t>
      </w:r>
      <w:r>
        <w:rPr>
          <w:rFonts w:hAnsi="宋体" w:cs="Times New Roman" w:hint="eastAsia"/>
          <w:kern w:val="2"/>
        </w:rPr>
        <w:t>，龙</w:t>
      </w:r>
      <w:r w:rsidRPr="00C2771F">
        <w:rPr>
          <w:rFonts w:hAnsi="宋体" w:cs="Times New Roman" w:hint="eastAsia"/>
          <w:kern w:val="2"/>
        </w:rPr>
        <w:t>岩市汇金发展集团有限公司</w:t>
      </w:r>
      <w:r>
        <w:rPr>
          <w:rFonts w:hAnsi="宋体" w:cs="Times New Roman" w:hint="eastAsia"/>
          <w:kern w:val="2"/>
        </w:rPr>
        <w:t>及其关联企业</w:t>
      </w:r>
      <w:r w:rsidRPr="00C2771F">
        <w:rPr>
          <w:rFonts w:hAnsi="宋体" w:cs="Times New Roman" w:hint="eastAsia"/>
          <w:kern w:val="2"/>
        </w:rPr>
        <w:t>属于公司关联法人</w:t>
      </w:r>
      <w:r>
        <w:rPr>
          <w:rFonts w:hAnsi="宋体" w:cs="Times New Roman" w:hint="eastAsia"/>
          <w:kern w:val="2"/>
        </w:rPr>
        <w:t>，本次交易构成公司的关联交易。</w:t>
      </w:r>
    </w:p>
    <w:p w:rsidR="00570B32" w:rsidRPr="00130A7A" w:rsidRDefault="00570B32" w:rsidP="00570B32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sz w:val="24"/>
        </w:rPr>
      </w:pPr>
      <w:r w:rsidRPr="00130A7A">
        <w:rPr>
          <w:rFonts w:ascii="宋体" w:hAnsi="宋体" w:cs="宋体" w:hint="eastAsia"/>
          <w:b/>
          <w:sz w:val="24"/>
        </w:rPr>
        <w:t>二、关联方介绍</w:t>
      </w:r>
      <w:r w:rsidRPr="00130A7A">
        <w:rPr>
          <w:rFonts w:ascii="宋体" w:hAnsi="宋体" w:cs="宋体"/>
          <w:b/>
          <w:sz w:val="24"/>
        </w:rPr>
        <w:t xml:space="preserve"> </w:t>
      </w:r>
    </w:p>
    <w:p w:rsidR="00570B32" w:rsidRPr="00AF5EAD" w:rsidRDefault="00570B32" w:rsidP="00570B32">
      <w:pPr>
        <w:pStyle w:val="Default"/>
        <w:spacing w:line="360" w:lineRule="auto"/>
        <w:ind w:firstLineChars="200" w:firstLine="480"/>
        <w:jc w:val="both"/>
        <w:rPr>
          <w:rFonts w:hAnsi="宋体" w:cs="Times New Roman"/>
          <w:kern w:val="2"/>
        </w:rPr>
      </w:pPr>
      <w:r w:rsidRPr="000571F7">
        <w:rPr>
          <w:rFonts w:hAnsi="宋体" w:cs="Times New Roman" w:hint="eastAsia"/>
          <w:kern w:val="2"/>
        </w:rPr>
        <w:t>龙岩市汇</w:t>
      </w:r>
      <w:proofErr w:type="gramStart"/>
      <w:r w:rsidRPr="000571F7">
        <w:rPr>
          <w:rFonts w:hAnsi="宋体" w:cs="Times New Roman" w:hint="eastAsia"/>
          <w:kern w:val="2"/>
        </w:rPr>
        <w:t>金发展</w:t>
      </w:r>
      <w:proofErr w:type="gramEnd"/>
      <w:r w:rsidRPr="000571F7">
        <w:rPr>
          <w:rFonts w:hAnsi="宋体" w:cs="Times New Roman" w:hint="eastAsia"/>
          <w:kern w:val="2"/>
        </w:rPr>
        <w:t>集团有限公司成立于2010年11月9日，注册地为福建龙岩，法定代表人王兰胜，注册资本20亿元。该公司是由龙岩市国有资产管理中心出资，对国有资产依法行使经营、收益、投资、保值增值的国有独资公司，主要从事经营性国有资产的运营管理、重点参与地方金融企业及</w:t>
      </w:r>
      <w:proofErr w:type="gramStart"/>
      <w:r w:rsidRPr="000571F7">
        <w:rPr>
          <w:rFonts w:hAnsi="宋体" w:cs="Times New Roman" w:hint="eastAsia"/>
          <w:kern w:val="2"/>
        </w:rPr>
        <w:t>优质产业</w:t>
      </w:r>
      <w:proofErr w:type="gramEnd"/>
      <w:r w:rsidRPr="000571F7">
        <w:rPr>
          <w:rFonts w:hAnsi="宋体" w:cs="Times New Roman" w:hint="eastAsia"/>
          <w:kern w:val="2"/>
        </w:rPr>
        <w:t>的股权投资，发展对外贸易、资产租赁、红色旅游等多元化业务。截至2017年末，该公司合并总资产141.93亿元，合并营业收入10.52亿元，合并利润总额2.61亿元。</w:t>
      </w:r>
    </w:p>
    <w:p w:rsidR="00570B32" w:rsidRDefault="00570B32" w:rsidP="00570B32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sz w:val="24"/>
        </w:rPr>
      </w:pPr>
      <w:r w:rsidRPr="00D97EB1">
        <w:rPr>
          <w:rFonts w:ascii="宋体" w:hAnsi="宋体" w:cs="宋体" w:hint="eastAsia"/>
          <w:b/>
          <w:sz w:val="24"/>
        </w:rPr>
        <w:t>三、关联交易的定价政策</w:t>
      </w:r>
    </w:p>
    <w:p w:rsidR="00570B32" w:rsidRDefault="00570B32" w:rsidP="00570B32">
      <w:pPr>
        <w:pStyle w:val="Default"/>
        <w:spacing w:line="360" w:lineRule="auto"/>
        <w:ind w:firstLine="480"/>
        <w:rPr>
          <w:rFonts w:hAnsi="宋体" w:cs="Times New Roman"/>
          <w:kern w:val="2"/>
        </w:rPr>
      </w:pPr>
      <w:r w:rsidRPr="00D97EB1">
        <w:rPr>
          <w:rFonts w:hAnsi="宋体" w:cs="Times New Roman" w:hint="eastAsia"/>
          <w:kern w:val="2"/>
        </w:rPr>
        <w:t>公司与</w:t>
      </w:r>
      <w:r>
        <w:rPr>
          <w:rFonts w:hAnsi="宋体" w:cs="Times New Roman" w:hint="eastAsia"/>
          <w:kern w:val="2"/>
        </w:rPr>
        <w:t>龙岩汇金系列关联法人的</w:t>
      </w:r>
      <w:r w:rsidRPr="00D97EB1">
        <w:rPr>
          <w:rFonts w:hAnsi="宋体" w:cs="Times New Roman" w:hint="eastAsia"/>
          <w:kern w:val="2"/>
        </w:rPr>
        <w:t>关联交易，交易定价参考</w:t>
      </w:r>
      <w:proofErr w:type="gramStart"/>
      <w:r w:rsidRPr="00D97EB1">
        <w:rPr>
          <w:rFonts w:hAnsi="宋体" w:cs="Times New Roman" w:hint="eastAsia"/>
          <w:kern w:val="2"/>
        </w:rPr>
        <w:t>独立第三</w:t>
      </w:r>
      <w:proofErr w:type="gramEnd"/>
      <w:r w:rsidRPr="00D97EB1">
        <w:rPr>
          <w:rFonts w:hAnsi="宋体" w:cs="Times New Roman" w:hint="eastAsia"/>
          <w:kern w:val="2"/>
        </w:rPr>
        <w:t>方的非关联交易价格。如</w:t>
      </w:r>
      <w:proofErr w:type="gramStart"/>
      <w:r w:rsidRPr="00D97EB1">
        <w:rPr>
          <w:rFonts w:hAnsi="宋体" w:cs="Times New Roman" w:hint="eastAsia"/>
          <w:kern w:val="2"/>
        </w:rPr>
        <w:t>非授信类关联</w:t>
      </w:r>
      <w:proofErr w:type="gramEnd"/>
      <w:r w:rsidRPr="00D97EB1">
        <w:rPr>
          <w:rFonts w:hAnsi="宋体" w:cs="Times New Roman" w:hint="eastAsia"/>
          <w:kern w:val="2"/>
        </w:rPr>
        <w:t>交易属于公司日常业务经营中的合理交易，遵循一般商业原则，以不优于对非关联方同类交易的条件进行。</w:t>
      </w:r>
    </w:p>
    <w:p w:rsidR="00642394" w:rsidRDefault="00570B32" w:rsidP="00C75679">
      <w:pPr>
        <w:pStyle w:val="Default"/>
        <w:spacing w:line="360" w:lineRule="auto"/>
        <w:ind w:firstLineChars="200" w:firstLine="482"/>
        <w:rPr>
          <w:rFonts w:hAnsi="宋体"/>
          <w:b/>
          <w:color w:val="auto"/>
          <w:kern w:val="2"/>
        </w:rPr>
      </w:pPr>
      <w:r w:rsidRPr="002A1E96">
        <w:rPr>
          <w:rFonts w:hAnsi="宋体" w:hint="eastAsia"/>
          <w:b/>
          <w:color w:val="auto"/>
          <w:kern w:val="2"/>
        </w:rPr>
        <w:t>四、关联交易的目的以及本次关联交易对上市公司的影响</w:t>
      </w:r>
    </w:p>
    <w:p w:rsidR="00570B32" w:rsidRDefault="00570B32" w:rsidP="00570B32">
      <w:pPr>
        <w:pStyle w:val="Default"/>
        <w:spacing w:line="360" w:lineRule="auto"/>
        <w:ind w:firstLine="480"/>
        <w:rPr>
          <w:rFonts w:hAnsi="宋体" w:cs="Times New Roman"/>
          <w:kern w:val="2"/>
        </w:rPr>
      </w:pPr>
      <w:r w:rsidRPr="002A1E96">
        <w:rPr>
          <w:rFonts w:hAnsi="宋体" w:cs="Times New Roman" w:hint="eastAsia"/>
          <w:kern w:val="2"/>
        </w:rPr>
        <w:t>公司与</w:t>
      </w:r>
      <w:r>
        <w:rPr>
          <w:rFonts w:hAnsi="宋体" w:cs="Times New Roman" w:hint="eastAsia"/>
          <w:kern w:val="2"/>
        </w:rPr>
        <w:t>龙岩汇金系列关联法人</w:t>
      </w:r>
      <w:r w:rsidRPr="002A1E96">
        <w:rPr>
          <w:rFonts w:hAnsi="宋体" w:cs="Times New Roman" w:hint="eastAsia"/>
          <w:kern w:val="2"/>
        </w:rPr>
        <w:t>开展的相关业务有利于双方的合作持续推进。对上述关联交易，公司将在日常业务中按一般商业条款或按照不优于适用于</w:t>
      </w:r>
      <w:proofErr w:type="gramStart"/>
      <w:r w:rsidRPr="002A1E96">
        <w:rPr>
          <w:rFonts w:hAnsi="宋体" w:cs="Times New Roman" w:hint="eastAsia"/>
          <w:kern w:val="2"/>
        </w:rPr>
        <w:t>独立第三</w:t>
      </w:r>
      <w:proofErr w:type="gramEnd"/>
      <w:r w:rsidRPr="002A1E96">
        <w:rPr>
          <w:rFonts w:hAnsi="宋体" w:cs="Times New Roman" w:hint="eastAsia"/>
          <w:kern w:val="2"/>
        </w:rPr>
        <w:t>方的条款而订立，交易条款公平合理，符合公司和全体股东的利益，符合监管部门相关法规要求及公司内部制度相关规定，不存在损害公司及中小股东利益的情况，且不会对公司本期及未来的财务状况产生不利影响，也不会影响公司的独立性。</w:t>
      </w:r>
    </w:p>
    <w:p w:rsidR="00642394" w:rsidRDefault="00570B32" w:rsidP="00C75679">
      <w:pPr>
        <w:pStyle w:val="Default"/>
        <w:spacing w:line="360" w:lineRule="auto"/>
        <w:ind w:firstLineChars="200" w:firstLine="482"/>
        <w:rPr>
          <w:rFonts w:hAnsi="宋体"/>
          <w:b/>
          <w:color w:val="auto"/>
          <w:kern w:val="2"/>
        </w:rPr>
      </w:pPr>
      <w:r w:rsidRPr="00521F4C">
        <w:rPr>
          <w:rFonts w:hAnsi="宋体" w:hint="eastAsia"/>
          <w:b/>
          <w:color w:val="auto"/>
          <w:kern w:val="2"/>
        </w:rPr>
        <w:t>五、独立董事意见</w:t>
      </w:r>
    </w:p>
    <w:p w:rsidR="00593BE2" w:rsidRDefault="00593BE2" w:rsidP="00593BE2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0C54A4">
        <w:rPr>
          <w:rFonts w:ascii="宋体" w:hAnsi="宋体" w:hint="eastAsia"/>
          <w:sz w:val="24"/>
        </w:rPr>
        <w:t>本公司</w:t>
      </w:r>
      <w:r w:rsidRPr="00C51EEF">
        <w:rPr>
          <w:rFonts w:ascii="宋体" w:hAnsi="宋体" w:hint="eastAsia"/>
          <w:sz w:val="24"/>
        </w:rPr>
        <w:t>独立董事</w:t>
      </w:r>
      <w:r w:rsidRPr="00AB4FF9">
        <w:rPr>
          <w:rFonts w:ascii="宋体" w:hAnsi="宋体" w:hint="eastAsia"/>
          <w:sz w:val="24"/>
        </w:rPr>
        <w:t>Paul M. Theil先生、朱青先生、刘世平先生</w:t>
      </w:r>
      <w:r>
        <w:rPr>
          <w:rFonts w:ascii="宋体" w:hAnsi="宋体" w:hint="eastAsia"/>
          <w:sz w:val="24"/>
        </w:rPr>
        <w:t>、苏锡嘉先生、林华先生</w:t>
      </w:r>
      <w:r w:rsidRPr="000C54A4">
        <w:rPr>
          <w:rFonts w:ascii="宋体" w:hAnsi="宋体" w:hint="eastAsia"/>
          <w:sz w:val="24"/>
        </w:rPr>
        <w:t>对该关联交易事项发表独立意见如下：</w:t>
      </w:r>
    </w:p>
    <w:p w:rsidR="00642394" w:rsidRDefault="00CB7050" w:rsidP="00C75679">
      <w:pPr>
        <w:pStyle w:val="Default"/>
        <w:spacing w:line="360" w:lineRule="auto"/>
        <w:ind w:firstLineChars="200" w:firstLine="480"/>
        <w:rPr>
          <w:rFonts w:hAnsi="宋体" w:cs="Times New Roman"/>
          <w:kern w:val="2"/>
        </w:rPr>
      </w:pPr>
      <w:r>
        <w:rPr>
          <w:rFonts w:hAnsi="宋体" w:cs="Times New Roman" w:hint="eastAsia"/>
          <w:kern w:val="2"/>
        </w:rPr>
        <w:t>(</w:t>
      </w:r>
      <w:proofErr w:type="gramStart"/>
      <w:r w:rsidR="00593BE2" w:rsidRPr="00593BE2">
        <w:rPr>
          <w:rFonts w:hAnsi="宋体" w:cs="Times New Roman" w:hint="eastAsia"/>
          <w:kern w:val="2"/>
        </w:rPr>
        <w:t>一</w:t>
      </w:r>
      <w:proofErr w:type="gramEnd"/>
      <w:r>
        <w:rPr>
          <w:rFonts w:hAnsi="宋体" w:cs="Times New Roman" w:hint="eastAsia"/>
          <w:kern w:val="2"/>
        </w:rPr>
        <w:t>)</w:t>
      </w:r>
      <w:r w:rsidR="00593BE2" w:rsidRPr="00593BE2">
        <w:rPr>
          <w:rFonts w:hAnsi="宋体" w:cs="Times New Roman" w:hint="eastAsia"/>
          <w:kern w:val="2"/>
        </w:rPr>
        <w:t>程序性。根据有关法律法规、监管规则及</w:t>
      </w:r>
      <w:r w:rsidR="00815E46">
        <w:rPr>
          <w:rFonts w:hAnsi="宋体" w:cs="Times New Roman" w:hint="eastAsia"/>
          <w:kern w:val="2"/>
        </w:rPr>
        <w:t>公司</w:t>
      </w:r>
      <w:r w:rsidR="00593BE2" w:rsidRPr="00593BE2">
        <w:rPr>
          <w:rFonts w:hAnsi="宋体" w:cs="Times New Roman" w:hint="eastAsia"/>
          <w:kern w:val="2"/>
        </w:rPr>
        <w:t>章程、《关联交易管理办</w:t>
      </w:r>
      <w:r w:rsidR="00593BE2" w:rsidRPr="00593BE2">
        <w:rPr>
          <w:rFonts w:hAnsi="宋体" w:cs="Times New Roman" w:hint="eastAsia"/>
          <w:kern w:val="2"/>
        </w:rPr>
        <w:lastRenderedPageBreak/>
        <w:t>法》规定，</w:t>
      </w:r>
      <w:r w:rsidR="00815E46">
        <w:rPr>
          <w:rFonts w:hAnsi="宋体" w:cs="Times New Roman" w:hint="eastAsia"/>
          <w:kern w:val="2"/>
        </w:rPr>
        <w:t>公司</w:t>
      </w:r>
      <w:r w:rsidR="00593BE2" w:rsidRPr="00593BE2">
        <w:rPr>
          <w:rFonts w:hAnsi="宋体" w:cs="Times New Roman" w:hint="eastAsia"/>
          <w:kern w:val="2"/>
        </w:rPr>
        <w:t>与龙岩汇</w:t>
      </w:r>
      <w:proofErr w:type="gramStart"/>
      <w:r w:rsidR="00593BE2" w:rsidRPr="00593BE2">
        <w:rPr>
          <w:rFonts w:hAnsi="宋体" w:cs="Times New Roman" w:hint="eastAsia"/>
          <w:kern w:val="2"/>
        </w:rPr>
        <w:t>金发展</w:t>
      </w:r>
      <w:proofErr w:type="gramEnd"/>
      <w:r w:rsidR="00593BE2" w:rsidRPr="00593BE2">
        <w:rPr>
          <w:rFonts w:hAnsi="宋体" w:cs="Times New Roman" w:hint="eastAsia"/>
          <w:kern w:val="2"/>
        </w:rPr>
        <w:t>集团有限公司及其关联企业已发生和</w:t>
      </w:r>
      <w:proofErr w:type="gramStart"/>
      <w:r w:rsidR="00593BE2" w:rsidRPr="00593BE2">
        <w:rPr>
          <w:rFonts w:hAnsi="宋体" w:cs="Times New Roman" w:hint="eastAsia"/>
          <w:kern w:val="2"/>
        </w:rPr>
        <w:t>拟发生</w:t>
      </w:r>
      <w:proofErr w:type="gramEnd"/>
      <w:r w:rsidR="00593BE2" w:rsidRPr="00593BE2">
        <w:rPr>
          <w:rFonts w:hAnsi="宋体" w:cs="Times New Roman" w:hint="eastAsia"/>
          <w:kern w:val="2"/>
        </w:rPr>
        <w:t>的关联交易金额未达到最近一期经审计净资产的1%，属于一般关联交易，</w:t>
      </w:r>
      <w:r w:rsidR="00055532">
        <w:rPr>
          <w:rFonts w:hAnsi="宋体" w:cs="Times New Roman" w:hint="eastAsia"/>
          <w:kern w:val="2"/>
        </w:rPr>
        <w:t>符合</w:t>
      </w:r>
      <w:r w:rsidR="00815E46">
        <w:rPr>
          <w:rFonts w:hAnsi="宋体" w:cs="Times New Roman" w:hint="eastAsia"/>
          <w:kern w:val="2"/>
        </w:rPr>
        <w:t>公司</w:t>
      </w:r>
      <w:r w:rsidR="00055532">
        <w:rPr>
          <w:rFonts w:hAnsi="宋体" w:cs="Times New Roman" w:hint="eastAsia"/>
          <w:kern w:val="2"/>
        </w:rPr>
        <w:t>业务审核流程</w:t>
      </w:r>
      <w:r w:rsidR="00593BE2" w:rsidRPr="00593BE2">
        <w:rPr>
          <w:rFonts w:hAnsi="宋体" w:cs="Times New Roman" w:hint="eastAsia"/>
          <w:kern w:val="2"/>
        </w:rPr>
        <w:t xml:space="preserve">，无需提交董事会审议。 </w:t>
      </w:r>
    </w:p>
    <w:p w:rsidR="00642394" w:rsidRDefault="00CB7050" w:rsidP="00C75679">
      <w:pPr>
        <w:pStyle w:val="Default"/>
        <w:spacing w:line="360" w:lineRule="auto"/>
        <w:ind w:firstLineChars="200" w:firstLine="480"/>
        <w:rPr>
          <w:rFonts w:hAnsi="宋体" w:cs="Times New Roman"/>
          <w:kern w:val="2"/>
        </w:rPr>
      </w:pPr>
      <w:r>
        <w:rPr>
          <w:rFonts w:hAnsi="宋体" w:cs="Times New Roman" w:hint="eastAsia"/>
          <w:kern w:val="2"/>
        </w:rPr>
        <w:t>(</w:t>
      </w:r>
      <w:r w:rsidR="00593BE2" w:rsidRPr="00593BE2">
        <w:rPr>
          <w:rFonts w:hAnsi="宋体" w:cs="Times New Roman" w:hint="eastAsia"/>
          <w:kern w:val="2"/>
        </w:rPr>
        <w:t>二</w:t>
      </w:r>
      <w:r>
        <w:rPr>
          <w:rFonts w:hAnsi="宋体" w:cs="Times New Roman" w:hint="eastAsia"/>
          <w:kern w:val="2"/>
        </w:rPr>
        <w:t>)</w:t>
      </w:r>
      <w:r w:rsidR="00593BE2" w:rsidRPr="00593BE2">
        <w:rPr>
          <w:rFonts w:hAnsi="宋体" w:cs="Times New Roman" w:hint="eastAsia"/>
          <w:kern w:val="2"/>
        </w:rPr>
        <w:t>公允性。上述关联交易属于</w:t>
      </w:r>
      <w:r w:rsidR="00815E46">
        <w:rPr>
          <w:rFonts w:hAnsi="宋体" w:cs="Times New Roman" w:hint="eastAsia"/>
          <w:kern w:val="2"/>
        </w:rPr>
        <w:t>公司</w:t>
      </w:r>
      <w:r w:rsidR="00593BE2" w:rsidRPr="00593BE2">
        <w:rPr>
          <w:rFonts w:hAnsi="宋体" w:cs="Times New Roman" w:hint="eastAsia"/>
          <w:kern w:val="2"/>
        </w:rPr>
        <w:t>日常业务经营中的合理交易，遵循一般商业原则，且以不优于对非关联方同类交易的条件进行，交易条件公平、合理，符合监管部门相关法规要求及</w:t>
      </w:r>
      <w:r w:rsidR="00815E46">
        <w:rPr>
          <w:rFonts w:hAnsi="宋体" w:cs="Times New Roman" w:hint="eastAsia"/>
          <w:kern w:val="2"/>
        </w:rPr>
        <w:t>公司</w:t>
      </w:r>
      <w:r w:rsidR="00593BE2" w:rsidRPr="00593BE2">
        <w:rPr>
          <w:rFonts w:hAnsi="宋体" w:cs="Times New Roman" w:hint="eastAsia"/>
          <w:kern w:val="2"/>
        </w:rPr>
        <w:t>内部制度相关规定，不存在</w:t>
      </w:r>
      <w:r w:rsidR="00815E46">
        <w:rPr>
          <w:rFonts w:hAnsi="宋体" w:cs="Times New Roman" w:hint="eastAsia"/>
          <w:kern w:val="2"/>
        </w:rPr>
        <w:t>损害公司</w:t>
      </w:r>
      <w:r w:rsidR="00593BE2" w:rsidRPr="00593BE2">
        <w:rPr>
          <w:rFonts w:hAnsi="宋体" w:cs="Times New Roman" w:hint="eastAsia"/>
          <w:kern w:val="2"/>
        </w:rPr>
        <w:t>及股东、特别是中小股东的利益的情形，并不会对</w:t>
      </w:r>
      <w:r w:rsidR="00815E46">
        <w:rPr>
          <w:rFonts w:hAnsi="宋体" w:cs="Times New Roman" w:hint="eastAsia"/>
          <w:kern w:val="2"/>
        </w:rPr>
        <w:t>公司</w:t>
      </w:r>
      <w:r w:rsidR="00593BE2" w:rsidRPr="00593BE2">
        <w:rPr>
          <w:rFonts w:hAnsi="宋体" w:cs="Times New Roman" w:hint="eastAsia"/>
          <w:kern w:val="2"/>
        </w:rPr>
        <w:t>本期及未来的财务状况产生不利影响，也不会影响</w:t>
      </w:r>
      <w:r w:rsidR="00815E46">
        <w:rPr>
          <w:rFonts w:hAnsi="宋体" w:cs="Times New Roman" w:hint="eastAsia"/>
          <w:kern w:val="2"/>
        </w:rPr>
        <w:t>公司</w:t>
      </w:r>
      <w:r w:rsidR="00593BE2" w:rsidRPr="00593BE2">
        <w:rPr>
          <w:rFonts w:hAnsi="宋体" w:cs="Times New Roman" w:hint="eastAsia"/>
          <w:kern w:val="2"/>
        </w:rPr>
        <w:t>的独立性。</w:t>
      </w:r>
    </w:p>
    <w:p w:rsidR="00642394" w:rsidRDefault="00570B32" w:rsidP="00C75679">
      <w:pPr>
        <w:pStyle w:val="Default"/>
        <w:spacing w:line="360" w:lineRule="auto"/>
        <w:ind w:firstLineChars="200" w:firstLine="482"/>
        <w:rPr>
          <w:rFonts w:hAnsi="宋体"/>
          <w:b/>
          <w:color w:val="auto"/>
          <w:kern w:val="2"/>
        </w:rPr>
      </w:pPr>
      <w:r w:rsidRPr="00521F4C">
        <w:rPr>
          <w:rFonts w:hAnsi="宋体" w:hint="eastAsia"/>
          <w:b/>
          <w:color w:val="auto"/>
          <w:kern w:val="2"/>
        </w:rPr>
        <w:t>六、备查文件目录</w:t>
      </w:r>
    </w:p>
    <w:p w:rsidR="00642394" w:rsidRDefault="00593BE2" w:rsidP="00C75679">
      <w:pPr>
        <w:pStyle w:val="Default"/>
        <w:spacing w:line="360" w:lineRule="auto"/>
        <w:ind w:firstLineChars="200" w:firstLine="480"/>
        <w:rPr>
          <w:rFonts w:hAnsi="宋体" w:cs="Times New Roman"/>
          <w:kern w:val="2"/>
        </w:rPr>
      </w:pPr>
      <w:r w:rsidRPr="00593BE2">
        <w:rPr>
          <w:rFonts w:hAnsi="宋体" w:cs="Times New Roman" w:hint="eastAsia"/>
          <w:kern w:val="2"/>
        </w:rPr>
        <w:t>经独立董事签字确认的独立意见。</w:t>
      </w:r>
    </w:p>
    <w:p w:rsidR="00570B32" w:rsidRPr="00521F4C" w:rsidRDefault="00570B32" w:rsidP="00570B32">
      <w:pPr>
        <w:pStyle w:val="Default"/>
        <w:spacing w:line="360" w:lineRule="auto"/>
        <w:ind w:firstLine="480"/>
        <w:rPr>
          <w:rFonts w:hAnsi="宋体"/>
          <w:b/>
          <w:color w:val="auto"/>
          <w:kern w:val="2"/>
        </w:rPr>
      </w:pPr>
    </w:p>
    <w:p w:rsidR="00570B32" w:rsidRPr="002A1E96" w:rsidRDefault="00570B32" w:rsidP="00570B32">
      <w:pPr>
        <w:pStyle w:val="Default"/>
        <w:spacing w:line="360" w:lineRule="auto"/>
        <w:ind w:firstLine="480"/>
        <w:rPr>
          <w:rFonts w:hAnsi="宋体" w:cs="Times New Roman"/>
          <w:kern w:val="2"/>
        </w:rPr>
      </w:pPr>
      <w:r w:rsidRPr="002A1E96">
        <w:rPr>
          <w:rFonts w:hAnsi="宋体" w:cs="Times New Roman" w:hint="eastAsia"/>
          <w:kern w:val="2"/>
        </w:rPr>
        <w:t>特此公告。</w:t>
      </w:r>
    </w:p>
    <w:p w:rsidR="00570B32" w:rsidRDefault="00570B32" w:rsidP="00570B32">
      <w:pPr>
        <w:pStyle w:val="Default"/>
        <w:spacing w:line="360" w:lineRule="auto"/>
        <w:ind w:firstLine="480"/>
        <w:rPr>
          <w:sz w:val="23"/>
          <w:szCs w:val="23"/>
        </w:rPr>
      </w:pPr>
    </w:p>
    <w:p w:rsidR="00570B32" w:rsidRPr="002A1E96" w:rsidRDefault="00570B32" w:rsidP="00570B32">
      <w:pPr>
        <w:pStyle w:val="Default"/>
        <w:spacing w:line="360" w:lineRule="auto"/>
        <w:ind w:firstLine="480"/>
        <w:rPr>
          <w:rFonts w:hAnsi="宋体" w:cs="Times New Roman"/>
          <w:kern w:val="2"/>
        </w:rPr>
      </w:pPr>
    </w:p>
    <w:p w:rsidR="00570B32" w:rsidRPr="002A1E96" w:rsidRDefault="00570B32" w:rsidP="00570B32">
      <w:pPr>
        <w:pStyle w:val="Default"/>
        <w:rPr>
          <w:rFonts w:hAnsi="宋体" w:cs="Times New Roman"/>
          <w:kern w:val="2"/>
        </w:rPr>
      </w:pPr>
      <w:r w:rsidRPr="002A1E96">
        <w:rPr>
          <w:rFonts w:hAnsi="宋体" w:cs="Times New Roman" w:hint="eastAsia"/>
          <w:kern w:val="2"/>
        </w:rPr>
        <w:t xml:space="preserve">                  </w:t>
      </w:r>
      <w:r>
        <w:rPr>
          <w:rFonts w:hAnsi="宋体" w:cs="Times New Roman" w:hint="eastAsia"/>
          <w:kern w:val="2"/>
        </w:rPr>
        <w:t xml:space="preserve">                       </w:t>
      </w:r>
      <w:r w:rsidRPr="002A1E96">
        <w:rPr>
          <w:rFonts w:hAnsi="宋体" w:cs="Times New Roman" w:hint="eastAsia"/>
          <w:kern w:val="2"/>
        </w:rPr>
        <w:t xml:space="preserve"> 兴业银行股份有限公司董事会</w:t>
      </w:r>
      <w:r w:rsidRPr="002A1E96">
        <w:rPr>
          <w:rFonts w:hAnsi="宋体" w:cs="Times New Roman"/>
          <w:kern w:val="2"/>
        </w:rPr>
        <w:t xml:space="preserve"> </w:t>
      </w:r>
    </w:p>
    <w:p w:rsidR="00570B32" w:rsidRPr="002A1E96" w:rsidRDefault="00570B32" w:rsidP="00570B32">
      <w:pPr>
        <w:pStyle w:val="Default"/>
        <w:spacing w:line="360" w:lineRule="auto"/>
        <w:ind w:firstLineChars="2500" w:firstLine="6000"/>
        <w:rPr>
          <w:rFonts w:hAnsi="宋体" w:cs="Times New Roman"/>
          <w:kern w:val="2"/>
        </w:rPr>
      </w:pPr>
      <w:r w:rsidRPr="002A1E96">
        <w:rPr>
          <w:rFonts w:hAnsi="宋体" w:cs="Times New Roman"/>
          <w:kern w:val="2"/>
        </w:rPr>
        <w:t>2018</w:t>
      </w:r>
      <w:r w:rsidRPr="002A1E96">
        <w:rPr>
          <w:rFonts w:hAnsi="宋体" w:cs="Times New Roman" w:hint="eastAsia"/>
          <w:kern w:val="2"/>
        </w:rPr>
        <w:t>年</w:t>
      </w:r>
      <w:r>
        <w:rPr>
          <w:rFonts w:hAnsi="宋体" w:cs="Times New Roman" w:hint="eastAsia"/>
          <w:kern w:val="2"/>
        </w:rPr>
        <w:t>9</w:t>
      </w:r>
      <w:r w:rsidRPr="002A1E96">
        <w:rPr>
          <w:rFonts w:hAnsi="宋体" w:cs="Times New Roman" w:hint="eastAsia"/>
          <w:kern w:val="2"/>
        </w:rPr>
        <w:t>月</w:t>
      </w:r>
      <w:r w:rsidR="00C75679">
        <w:rPr>
          <w:rFonts w:hAnsi="宋体" w:cs="Times New Roman" w:hint="eastAsia"/>
          <w:kern w:val="2"/>
        </w:rPr>
        <w:t>19</w:t>
      </w:r>
      <w:r w:rsidRPr="002A1E96">
        <w:rPr>
          <w:rFonts w:hAnsi="宋体" w:cs="Times New Roman" w:hint="eastAsia"/>
          <w:kern w:val="2"/>
        </w:rPr>
        <w:t>日</w:t>
      </w:r>
    </w:p>
    <w:p w:rsidR="00570B32" w:rsidRDefault="00570B32" w:rsidP="008506C5">
      <w:pPr>
        <w:autoSpaceDE w:val="0"/>
        <w:autoSpaceDN w:val="0"/>
        <w:spacing w:line="520" w:lineRule="exact"/>
        <w:ind w:firstLineChars="200" w:firstLine="560"/>
        <w:rPr>
          <w:rFonts w:ascii="仿宋_GB2312" w:eastAsia="仿宋_GB2312" w:hAnsi="宋体"/>
          <w:color w:val="000000"/>
          <w:kern w:val="0"/>
          <w:sz w:val="28"/>
          <w:szCs w:val="28"/>
        </w:rPr>
      </w:pPr>
    </w:p>
    <w:p w:rsidR="00A50B64" w:rsidRPr="00074D03" w:rsidRDefault="00A50B64">
      <w:pPr>
        <w:rPr>
          <w:rFonts w:ascii="仿宋_GB2312" w:eastAsia="仿宋_GB2312"/>
          <w:color w:val="000000"/>
          <w:sz w:val="32"/>
        </w:rPr>
      </w:pPr>
    </w:p>
    <w:sectPr w:rsidR="00A50B64" w:rsidRPr="00074D03" w:rsidSect="00A50B6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5C" w:rsidRDefault="0036325C">
      <w:r>
        <w:separator/>
      </w:r>
    </w:p>
  </w:endnote>
  <w:endnote w:type="continuationSeparator" w:id="0">
    <w:p w:rsidR="0036325C" w:rsidRDefault="0036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5558"/>
      <w:docPartObj>
        <w:docPartGallery w:val="Page Numbers (Bottom of Page)"/>
        <w:docPartUnique/>
      </w:docPartObj>
    </w:sdtPr>
    <w:sdtEndPr/>
    <w:sdtContent>
      <w:p w:rsidR="00030027" w:rsidRDefault="00705281">
        <w:pPr>
          <w:pStyle w:val="a5"/>
          <w:jc w:val="center"/>
        </w:pPr>
        <w:r>
          <w:fldChar w:fldCharType="begin"/>
        </w:r>
        <w:r w:rsidR="00B6711E">
          <w:instrText xml:space="preserve"> PAGE   \* MERGEFORMAT </w:instrText>
        </w:r>
        <w:r>
          <w:fldChar w:fldCharType="separate"/>
        </w:r>
        <w:r w:rsidR="004C0D70" w:rsidRPr="004C0D70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030027" w:rsidRDefault="000300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5C" w:rsidRDefault="0036325C">
      <w:r>
        <w:separator/>
      </w:r>
    </w:p>
  </w:footnote>
  <w:footnote w:type="continuationSeparator" w:id="0">
    <w:p w:rsidR="0036325C" w:rsidRDefault="00363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D03"/>
    <w:rsid w:val="0002434D"/>
    <w:rsid w:val="00030027"/>
    <w:rsid w:val="000468B0"/>
    <w:rsid w:val="00055532"/>
    <w:rsid w:val="00074D03"/>
    <w:rsid w:val="00272A6D"/>
    <w:rsid w:val="0033234A"/>
    <w:rsid w:val="0036325C"/>
    <w:rsid w:val="003B6D09"/>
    <w:rsid w:val="004C0D70"/>
    <w:rsid w:val="004E3F9C"/>
    <w:rsid w:val="00510019"/>
    <w:rsid w:val="00536A73"/>
    <w:rsid w:val="00570B32"/>
    <w:rsid w:val="00593BE2"/>
    <w:rsid w:val="00614053"/>
    <w:rsid w:val="00642394"/>
    <w:rsid w:val="006E0102"/>
    <w:rsid w:val="00705281"/>
    <w:rsid w:val="00815E46"/>
    <w:rsid w:val="008506C5"/>
    <w:rsid w:val="008B513D"/>
    <w:rsid w:val="009F2FE5"/>
    <w:rsid w:val="00A01F86"/>
    <w:rsid w:val="00A16E63"/>
    <w:rsid w:val="00A50B64"/>
    <w:rsid w:val="00A62E26"/>
    <w:rsid w:val="00AF282E"/>
    <w:rsid w:val="00AF6A68"/>
    <w:rsid w:val="00B6711E"/>
    <w:rsid w:val="00BD70F6"/>
    <w:rsid w:val="00C75679"/>
    <w:rsid w:val="00C86DF9"/>
    <w:rsid w:val="00C9046D"/>
    <w:rsid w:val="00C95FA3"/>
    <w:rsid w:val="00CB7050"/>
    <w:rsid w:val="00DE5DA5"/>
    <w:rsid w:val="00E1387A"/>
    <w:rsid w:val="00E36841"/>
    <w:rsid w:val="00E420CD"/>
    <w:rsid w:val="00F55C2F"/>
    <w:rsid w:val="00FA0E96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D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F2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F282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2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282E"/>
    <w:rPr>
      <w:kern w:val="2"/>
      <w:sz w:val="18"/>
      <w:szCs w:val="18"/>
    </w:rPr>
  </w:style>
  <w:style w:type="paragraph" w:customStyle="1" w:styleId="Default">
    <w:name w:val="Default"/>
    <w:rsid w:val="00570B32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555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553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298</Words>
  <Characters>1703</Characters>
  <Application>Microsoft Office Word</Application>
  <DocSecurity>0</DocSecurity>
  <Lines>14</Lines>
  <Paragraphs>3</Paragraphs>
  <ScaleCrop>false</ScaleCrop>
  <Company>CIB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陈宇</cp:lastModifiedBy>
  <cp:revision>9</cp:revision>
  <cp:lastPrinted>2018-09-18T02:25:00Z</cp:lastPrinted>
  <dcterms:created xsi:type="dcterms:W3CDTF">2018-09-12T01:24:00Z</dcterms:created>
  <dcterms:modified xsi:type="dcterms:W3CDTF">2018-09-18T08:09:00Z</dcterms:modified>
</cp:coreProperties>
</file>