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76" w:rsidRDefault="0018573C">
      <w:pPr>
        <w:spacing w:line="500" w:lineRule="exact"/>
        <w:rPr>
          <w:rFonts w:ascii="宋体" w:hAnsi="宋体"/>
          <w:b/>
          <w:szCs w:val="21"/>
        </w:rPr>
      </w:pPr>
      <w:r>
        <w:rPr>
          <w:rFonts w:ascii="宋体" w:hAnsi="宋体"/>
          <w:b/>
          <w:szCs w:val="21"/>
        </w:rPr>
        <w:t xml:space="preserve">A股代码:601166            </w:t>
      </w:r>
      <w:r>
        <w:rPr>
          <w:rFonts w:ascii="宋体" w:hAnsi="宋体" w:hint="eastAsia"/>
          <w:b/>
          <w:szCs w:val="21"/>
        </w:rPr>
        <w:t xml:space="preserve">   </w:t>
      </w:r>
      <w:r>
        <w:rPr>
          <w:rFonts w:ascii="宋体" w:hAnsi="宋体"/>
          <w:b/>
          <w:szCs w:val="21"/>
        </w:rPr>
        <w:t xml:space="preserve">A股简称:兴业银行          </w:t>
      </w:r>
      <w:r>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编号</w:t>
      </w:r>
      <w:r>
        <w:rPr>
          <w:rFonts w:ascii="宋体" w:hAnsi="宋体"/>
          <w:b/>
          <w:szCs w:val="21"/>
        </w:rPr>
        <w:t>:临</w:t>
      </w:r>
      <w:r>
        <w:rPr>
          <w:rFonts w:ascii="宋体" w:hAnsi="宋体" w:hint="eastAsia"/>
          <w:b/>
          <w:szCs w:val="21"/>
        </w:rPr>
        <w:t>2020-036</w:t>
      </w:r>
    </w:p>
    <w:p w:rsidR="00420E76" w:rsidRDefault="0018573C">
      <w:pPr>
        <w:spacing w:line="500" w:lineRule="exact"/>
        <w:jc w:val="left"/>
        <w:rPr>
          <w:rFonts w:ascii="宋体" w:hAnsi="宋体"/>
          <w:b/>
          <w:sz w:val="24"/>
          <w:szCs w:val="28"/>
        </w:rPr>
      </w:pPr>
      <w:r>
        <w:rPr>
          <w:rFonts w:ascii="宋体" w:hAnsi="宋体" w:hint="eastAsia"/>
          <w:b/>
          <w:szCs w:val="21"/>
        </w:rPr>
        <w:t>优先股代码：</w:t>
      </w:r>
      <w:r>
        <w:rPr>
          <w:rFonts w:ascii="宋体" w:hAnsi="宋体"/>
          <w:b/>
          <w:szCs w:val="21"/>
        </w:rPr>
        <w:t>360005、360012</w:t>
      </w:r>
      <w:r>
        <w:rPr>
          <w:rFonts w:ascii="宋体" w:hAnsi="宋体" w:hint="eastAsia"/>
          <w:b/>
          <w:szCs w:val="21"/>
        </w:rPr>
        <w:t>、</w:t>
      </w:r>
      <w:r>
        <w:rPr>
          <w:rFonts w:ascii="宋体" w:hAnsi="宋体"/>
          <w:b/>
          <w:szCs w:val="21"/>
        </w:rPr>
        <w:t xml:space="preserve">360032    </w:t>
      </w:r>
      <w:r>
        <w:rPr>
          <w:rFonts w:ascii="宋体" w:hAnsi="宋体" w:hint="eastAsia"/>
          <w:b/>
          <w:szCs w:val="21"/>
        </w:rPr>
        <w:t>优先股简称：兴业优</w:t>
      </w:r>
      <w:r>
        <w:rPr>
          <w:rFonts w:ascii="宋体" w:hAnsi="宋体"/>
          <w:b/>
          <w:szCs w:val="21"/>
        </w:rPr>
        <w:t>1、兴业优2、兴业优3</w:t>
      </w:r>
    </w:p>
    <w:p w:rsidR="00420E76" w:rsidRDefault="00420E76">
      <w:pPr>
        <w:spacing w:line="500" w:lineRule="exact"/>
        <w:jc w:val="left"/>
        <w:rPr>
          <w:rFonts w:ascii="仿宋_GB2312" w:eastAsia="仿宋_GB2312"/>
          <w:b/>
          <w:sz w:val="32"/>
          <w:szCs w:val="32"/>
        </w:rPr>
      </w:pPr>
    </w:p>
    <w:p w:rsidR="00420E76" w:rsidRDefault="0018573C">
      <w:pPr>
        <w:jc w:val="center"/>
        <w:rPr>
          <w:rFonts w:ascii="黑体" w:eastAsia="黑体"/>
          <w:color w:val="FF0000"/>
          <w:sz w:val="44"/>
          <w:szCs w:val="44"/>
        </w:rPr>
      </w:pPr>
      <w:r>
        <w:rPr>
          <w:rFonts w:ascii="黑体" w:eastAsia="黑体" w:hint="eastAsia"/>
          <w:color w:val="FF0000"/>
          <w:sz w:val="44"/>
          <w:szCs w:val="44"/>
        </w:rPr>
        <w:t>兴业银行股份有限公司</w:t>
      </w:r>
    </w:p>
    <w:p w:rsidR="00420E76" w:rsidRDefault="0018573C">
      <w:pPr>
        <w:jc w:val="center"/>
        <w:rPr>
          <w:rFonts w:ascii="黑体" w:eastAsia="黑体"/>
          <w:color w:val="FF0000"/>
          <w:sz w:val="44"/>
          <w:szCs w:val="44"/>
        </w:rPr>
      </w:pPr>
      <w:r>
        <w:rPr>
          <w:rFonts w:ascii="黑体" w:eastAsia="黑体" w:hint="eastAsia"/>
          <w:color w:val="FF0000"/>
          <w:sz w:val="44"/>
          <w:szCs w:val="44"/>
        </w:rPr>
        <w:t>关于给予浙江省能源集团有限公司系列</w:t>
      </w:r>
    </w:p>
    <w:p w:rsidR="00420E76" w:rsidRDefault="0018573C">
      <w:pPr>
        <w:jc w:val="center"/>
        <w:rPr>
          <w:rFonts w:ascii="黑体" w:eastAsia="黑体"/>
          <w:color w:val="FF0000"/>
          <w:sz w:val="44"/>
          <w:szCs w:val="44"/>
        </w:rPr>
      </w:pPr>
      <w:r>
        <w:rPr>
          <w:rFonts w:ascii="黑体" w:eastAsia="黑体" w:hint="eastAsia"/>
          <w:color w:val="FF0000"/>
          <w:sz w:val="44"/>
          <w:szCs w:val="44"/>
        </w:rPr>
        <w:t>关联交易额度的公告</w:t>
      </w:r>
    </w:p>
    <w:p w:rsidR="00420E76" w:rsidRDefault="00420E76">
      <w:pPr>
        <w:spacing w:line="420" w:lineRule="exact"/>
        <w:ind w:firstLine="570"/>
        <w:rPr>
          <w:rFonts w:ascii="宋体" w:hAnsi="宋体"/>
          <w:sz w:val="24"/>
        </w:rPr>
      </w:pPr>
    </w:p>
    <w:p w:rsidR="00420E76" w:rsidRDefault="0018573C">
      <w:pPr>
        <w:spacing w:line="360" w:lineRule="auto"/>
        <w:ind w:firstLine="570"/>
        <w:rPr>
          <w:rFonts w:ascii="宋体" w:hAnsi="宋体"/>
          <w:sz w:val="24"/>
        </w:rPr>
      </w:pPr>
      <w:r>
        <w:rPr>
          <w:rFonts w:ascii="宋体" w:hAnsi="宋体" w:hint="eastAsia"/>
          <w:sz w:val="24"/>
        </w:rPr>
        <w:t>本公司董事会及全体董事保证本公告内容不存在任何虚假记载、误导性陈述或者重大遗漏，并对其内容的真实性、准确性和完整性承担个别及连带责任。</w:t>
      </w:r>
    </w:p>
    <w:p w:rsidR="00420E76" w:rsidRDefault="00420E76">
      <w:pPr>
        <w:spacing w:line="360" w:lineRule="auto"/>
        <w:ind w:firstLine="570"/>
        <w:rPr>
          <w:rFonts w:ascii="宋体" w:hAnsi="宋体"/>
          <w:b/>
          <w:sz w:val="24"/>
        </w:rPr>
      </w:pPr>
    </w:p>
    <w:p w:rsidR="00420E76" w:rsidRDefault="0018573C">
      <w:pPr>
        <w:autoSpaceDE w:val="0"/>
        <w:autoSpaceDN w:val="0"/>
        <w:adjustRightInd w:val="0"/>
        <w:spacing w:line="360" w:lineRule="auto"/>
        <w:ind w:firstLineChars="196" w:firstLine="472"/>
        <w:jc w:val="left"/>
        <w:rPr>
          <w:rFonts w:ascii="宋体" w:hAnsi="宋体" w:cs="宋体"/>
          <w:b/>
          <w:color w:val="000000"/>
          <w:kern w:val="0"/>
          <w:sz w:val="24"/>
        </w:rPr>
      </w:pPr>
      <w:r>
        <w:rPr>
          <w:rFonts w:ascii="宋体" w:hAnsi="宋体" w:cs="宋体" w:hint="eastAsia"/>
          <w:b/>
          <w:color w:val="000000"/>
          <w:kern w:val="0"/>
          <w:sz w:val="24"/>
        </w:rPr>
        <w:t xml:space="preserve">重要内容提示： </w:t>
      </w:r>
    </w:p>
    <w:p w:rsidR="00420E76" w:rsidRDefault="0018573C" w:rsidP="00601D73">
      <w:pPr>
        <w:pStyle w:val="Default"/>
        <w:spacing w:line="360" w:lineRule="auto"/>
        <w:ind w:firstLineChars="200" w:firstLine="480"/>
        <w:jc w:val="both"/>
        <w:rPr>
          <w:rFonts w:hAnsi="宋体"/>
          <w:iCs/>
        </w:rPr>
      </w:pPr>
      <w:r>
        <w:rPr>
          <w:rFonts w:hAnsi="宋体" w:hint="eastAsia"/>
        </w:rPr>
        <w:t>2020年12月18日，公司第九届董事会第二十六次会议审议同意给予浙江省能源集团系列关联法人授</w:t>
      </w:r>
      <w:proofErr w:type="gramStart"/>
      <w:r>
        <w:rPr>
          <w:rFonts w:hAnsi="宋体" w:hint="eastAsia"/>
        </w:rPr>
        <w:t>信类关联</w:t>
      </w:r>
      <w:proofErr w:type="gramEnd"/>
      <w:r>
        <w:rPr>
          <w:rFonts w:hAnsi="宋体" w:hint="eastAsia"/>
        </w:rPr>
        <w:t>交易额度人民币81亿元，</w:t>
      </w:r>
      <w:proofErr w:type="gramStart"/>
      <w:r>
        <w:rPr>
          <w:rFonts w:hAnsi="宋体" w:hint="eastAsia"/>
        </w:rPr>
        <w:t>非授信类关联</w:t>
      </w:r>
      <w:proofErr w:type="gramEnd"/>
      <w:r>
        <w:rPr>
          <w:rFonts w:hAnsi="宋体" w:hint="eastAsia"/>
        </w:rPr>
        <w:t>交易额度人民币1亿元，有效期2年。</w:t>
      </w:r>
      <w:r>
        <w:rPr>
          <w:rFonts w:hAnsi="宋体" w:hint="eastAsia"/>
          <w:iCs/>
        </w:rPr>
        <w:t>以上关联交易是公司日常业务经营中的合理交易，对公司经营活动及财务状况无重大影响，不会影响公司的独立性。</w:t>
      </w:r>
      <w:r>
        <w:rPr>
          <w:rFonts w:hAnsi="宋体" w:hint="eastAsia"/>
        </w:rPr>
        <w:t>本次交易不涉及关联董事回避表决的情况。</w:t>
      </w:r>
    </w:p>
    <w:p w:rsidR="00420E76" w:rsidRDefault="00420E76">
      <w:pPr>
        <w:autoSpaceDE w:val="0"/>
        <w:autoSpaceDN w:val="0"/>
        <w:adjustRightInd w:val="0"/>
        <w:spacing w:line="360" w:lineRule="auto"/>
        <w:rPr>
          <w:rFonts w:ascii="宋体" w:hAnsi="宋体" w:cs="宋体"/>
          <w:color w:val="000000"/>
          <w:kern w:val="0"/>
          <w:sz w:val="24"/>
        </w:rPr>
      </w:pPr>
    </w:p>
    <w:p w:rsidR="00420E76" w:rsidRDefault="0018573C">
      <w:pPr>
        <w:pStyle w:val="Default"/>
        <w:spacing w:line="360" w:lineRule="auto"/>
        <w:ind w:firstLineChars="200" w:firstLine="482"/>
        <w:jc w:val="both"/>
        <w:rPr>
          <w:rFonts w:hAnsi="宋体"/>
          <w:b/>
          <w:iCs/>
        </w:rPr>
      </w:pPr>
      <w:r>
        <w:rPr>
          <w:rFonts w:hAnsi="宋体" w:hint="eastAsia"/>
          <w:b/>
          <w:iCs/>
        </w:rPr>
        <w:t>一、关联交易概述</w:t>
      </w:r>
    </w:p>
    <w:p w:rsidR="00420E76" w:rsidRDefault="0018573C">
      <w:pPr>
        <w:autoSpaceDE w:val="0"/>
        <w:autoSpaceDN w:val="0"/>
        <w:adjustRightInd w:val="0"/>
        <w:spacing w:line="360" w:lineRule="auto"/>
        <w:ind w:firstLineChars="200" w:firstLine="480"/>
        <w:rPr>
          <w:rFonts w:ascii="宋体" w:hAnsi="宋体" w:cs="宋体"/>
          <w:iCs/>
          <w:color w:val="000000"/>
          <w:kern w:val="0"/>
          <w:sz w:val="24"/>
        </w:rPr>
      </w:pPr>
      <w:r>
        <w:rPr>
          <w:rFonts w:ascii="宋体" w:hAnsi="宋体" w:cs="宋体" w:hint="eastAsia"/>
          <w:iCs/>
          <w:color w:val="000000"/>
          <w:kern w:val="0"/>
          <w:sz w:val="24"/>
        </w:rPr>
        <w:t>公司</w:t>
      </w:r>
      <w:r>
        <w:rPr>
          <w:rFonts w:ascii="宋体" w:hAnsi="宋体" w:cs="宋体" w:hint="eastAsia"/>
          <w:sz w:val="24"/>
        </w:rPr>
        <w:t>第九届董事会第二十六次会议审议通过《关于给予浙江省能源集团有限公司系列关联交易额度的议案》，同意给予浙江省能源集团系列关联法人关联交易额度人民币82亿元，有效期2年，包括：授</w:t>
      </w:r>
      <w:proofErr w:type="gramStart"/>
      <w:r>
        <w:rPr>
          <w:rFonts w:ascii="宋体" w:hAnsi="宋体" w:cs="宋体" w:hint="eastAsia"/>
          <w:sz w:val="24"/>
        </w:rPr>
        <w:t>信类关联</w:t>
      </w:r>
      <w:proofErr w:type="gramEnd"/>
      <w:r>
        <w:rPr>
          <w:rFonts w:ascii="宋体" w:hAnsi="宋体" w:cs="宋体" w:hint="eastAsia"/>
          <w:sz w:val="24"/>
        </w:rPr>
        <w:t>交易额度人民币81亿元，用于各类短、中、长期业务品种，其中主体授信额度60亿元，非保本理财项下投资额度21亿元；</w:t>
      </w:r>
      <w:proofErr w:type="gramStart"/>
      <w:r>
        <w:rPr>
          <w:rFonts w:ascii="宋体" w:hAnsi="宋体" w:cs="宋体" w:hint="eastAsia"/>
          <w:sz w:val="24"/>
        </w:rPr>
        <w:t>非授信类关联</w:t>
      </w:r>
      <w:proofErr w:type="gramEnd"/>
      <w:r>
        <w:rPr>
          <w:rFonts w:ascii="宋体" w:hAnsi="宋体" w:cs="宋体" w:hint="eastAsia"/>
          <w:sz w:val="24"/>
        </w:rPr>
        <w:t>交易额度人民币1亿元，交易类别包括债券承销、资产托管以及其他资产转移或综合服务类业务。</w:t>
      </w:r>
    </w:p>
    <w:p w:rsidR="00420E76" w:rsidRDefault="0018573C">
      <w:pPr>
        <w:autoSpaceDE w:val="0"/>
        <w:autoSpaceDN w:val="0"/>
        <w:adjustRightInd w:val="0"/>
        <w:spacing w:line="360" w:lineRule="auto"/>
        <w:ind w:firstLineChars="200" w:firstLine="480"/>
        <w:rPr>
          <w:rFonts w:ascii="宋体" w:hAnsi="宋体"/>
          <w:color w:val="000000"/>
          <w:sz w:val="24"/>
        </w:rPr>
      </w:pPr>
      <w:r>
        <w:rPr>
          <w:rFonts w:ascii="宋体" w:hAnsi="宋体" w:hint="eastAsia"/>
          <w:sz w:val="24"/>
        </w:rPr>
        <w:t>本次公司与</w:t>
      </w:r>
      <w:r>
        <w:rPr>
          <w:rFonts w:ascii="宋体" w:hAnsi="宋体" w:cs="宋体" w:hint="eastAsia"/>
          <w:sz w:val="24"/>
        </w:rPr>
        <w:t>浙江省能源集团系列关联法人</w:t>
      </w:r>
      <w:r>
        <w:rPr>
          <w:rFonts w:ascii="宋体" w:hAnsi="宋体" w:hint="eastAsia"/>
          <w:sz w:val="24"/>
        </w:rPr>
        <w:t>关联交易额度</w:t>
      </w:r>
      <w:r>
        <w:rPr>
          <w:rFonts w:ascii="宋体" w:hAnsi="宋体" w:hint="eastAsia"/>
          <w:color w:val="000000"/>
          <w:sz w:val="24"/>
        </w:rPr>
        <w:t>超过公司最近一期经审计净资产绝对值的1</w:t>
      </w:r>
      <w:r>
        <w:rPr>
          <w:rFonts w:ascii="宋体" w:hAnsi="宋体"/>
          <w:color w:val="000000"/>
          <w:sz w:val="24"/>
        </w:rPr>
        <w:t>%</w:t>
      </w:r>
      <w:r>
        <w:rPr>
          <w:rFonts w:ascii="宋体" w:hAnsi="宋体" w:hint="eastAsia"/>
          <w:color w:val="000000"/>
          <w:sz w:val="24"/>
        </w:rPr>
        <w:t>，但未超过5%，属于重大关联交易，由董事会审计与关联交易控制委员会审核后，提交董事会批准。</w:t>
      </w:r>
    </w:p>
    <w:p w:rsidR="00420E76" w:rsidRDefault="00420E76">
      <w:pPr>
        <w:autoSpaceDE w:val="0"/>
        <w:autoSpaceDN w:val="0"/>
        <w:adjustRightInd w:val="0"/>
        <w:spacing w:line="360" w:lineRule="auto"/>
        <w:ind w:firstLineChars="200" w:firstLine="480"/>
        <w:jc w:val="left"/>
        <w:rPr>
          <w:rFonts w:ascii="宋体" w:hAnsi="宋体"/>
          <w:color w:val="000000"/>
          <w:sz w:val="24"/>
        </w:rPr>
      </w:pPr>
    </w:p>
    <w:p w:rsidR="00601D73" w:rsidRDefault="00601D73">
      <w:pPr>
        <w:autoSpaceDE w:val="0"/>
        <w:autoSpaceDN w:val="0"/>
        <w:adjustRightInd w:val="0"/>
        <w:spacing w:line="360" w:lineRule="auto"/>
        <w:ind w:firstLineChars="200" w:firstLine="480"/>
        <w:jc w:val="left"/>
        <w:rPr>
          <w:rFonts w:ascii="宋体" w:hAnsi="宋体"/>
          <w:color w:val="000000"/>
          <w:sz w:val="24"/>
        </w:rPr>
      </w:pPr>
    </w:p>
    <w:p w:rsidR="00420E76" w:rsidRDefault="0018573C">
      <w:pPr>
        <w:autoSpaceDE w:val="0"/>
        <w:autoSpaceDN w:val="0"/>
        <w:adjustRightInd w:val="0"/>
        <w:spacing w:line="360" w:lineRule="auto"/>
        <w:ind w:firstLineChars="200" w:firstLine="482"/>
        <w:jc w:val="left"/>
        <w:rPr>
          <w:rFonts w:ascii="宋体" w:hAnsi="宋体" w:cs="宋体"/>
          <w:b/>
          <w:sz w:val="24"/>
        </w:rPr>
      </w:pPr>
      <w:r>
        <w:rPr>
          <w:rFonts w:ascii="宋体" w:hAnsi="宋体" w:cs="宋体" w:hint="eastAsia"/>
          <w:b/>
          <w:sz w:val="24"/>
        </w:rPr>
        <w:lastRenderedPageBreak/>
        <w:t>二、关联方介绍</w:t>
      </w:r>
      <w:r>
        <w:rPr>
          <w:rFonts w:ascii="宋体" w:hAnsi="宋体" w:cs="宋体"/>
          <w:b/>
          <w:sz w:val="24"/>
        </w:rPr>
        <w:t xml:space="preserve"> </w:t>
      </w:r>
    </w:p>
    <w:p w:rsidR="00420E76" w:rsidRDefault="0018573C">
      <w:pPr>
        <w:pStyle w:val="Default"/>
        <w:spacing w:line="360" w:lineRule="auto"/>
        <w:ind w:firstLineChars="150" w:firstLine="360"/>
        <w:rPr>
          <w:rFonts w:hAnsi="宋体"/>
        </w:rPr>
      </w:pPr>
      <w:r>
        <w:rPr>
          <w:rFonts w:hAnsi="宋体" w:cs="Times New Roman" w:hint="eastAsia"/>
          <w:kern w:val="2"/>
        </w:rPr>
        <w:t>（一）关联方的基本情况</w:t>
      </w:r>
    </w:p>
    <w:p w:rsidR="00420E76" w:rsidRDefault="0018573C">
      <w:pPr>
        <w:spacing w:line="360" w:lineRule="auto"/>
        <w:ind w:firstLineChars="200" w:firstLine="480"/>
        <w:rPr>
          <w:rFonts w:ascii="宋体" w:hAnsi="宋体" w:cs="宋体"/>
          <w:kern w:val="0"/>
          <w:sz w:val="24"/>
        </w:rPr>
      </w:pPr>
      <w:r>
        <w:rPr>
          <w:rFonts w:ascii="宋体" w:hAnsi="宋体" w:cs="宋体" w:hint="eastAsia"/>
          <w:kern w:val="0"/>
          <w:sz w:val="24"/>
        </w:rPr>
        <w:t>浙江省能源集团有限公司是经《浙江省人民政府关于组建浙江省能源集团有限公司的通知》（浙政发〔2001〕6号）批准，以原浙江省电力开发有限公司和浙江省煤炭集团公司资产为基础组建的国有独资有限责任公司。该公司为浙江省省级能源类国有资产营运企业，成立于2001年3月21日，法定代表</w:t>
      </w:r>
      <w:proofErr w:type="gramStart"/>
      <w:r>
        <w:rPr>
          <w:rFonts w:ascii="宋体" w:hAnsi="宋体" w:cs="宋体" w:hint="eastAsia"/>
          <w:kern w:val="0"/>
          <w:sz w:val="24"/>
        </w:rPr>
        <w:t>人童亚辉</w:t>
      </w:r>
      <w:proofErr w:type="gramEnd"/>
      <w:r>
        <w:rPr>
          <w:rFonts w:ascii="宋体" w:hAnsi="宋体" w:cs="宋体" w:hint="eastAsia"/>
          <w:kern w:val="0"/>
          <w:sz w:val="24"/>
        </w:rPr>
        <w:t>，公司注册资本100亿元，</w:t>
      </w:r>
      <w:r w:rsidR="005459B5" w:rsidRPr="005459B5">
        <w:rPr>
          <w:rFonts w:ascii="宋体" w:hAnsi="宋体" w:cs="宋体" w:hint="eastAsia"/>
          <w:kern w:val="0"/>
          <w:sz w:val="24"/>
        </w:rPr>
        <w:t>主要从事电源建设、电力热力生产、石油煤炭天然气开发贸易流通、能源科技、能源服务和能源金融等业务</w:t>
      </w:r>
      <w:bookmarkStart w:id="0" w:name="_GoBack"/>
      <w:bookmarkEnd w:id="0"/>
      <w:r>
        <w:rPr>
          <w:rFonts w:ascii="宋体" w:hAnsi="宋体" w:cs="宋体" w:hint="eastAsia"/>
          <w:kern w:val="0"/>
          <w:sz w:val="24"/>
        </w:rPr>
        <w:t>。</w:t>
      </w:r>
    </w:p>
    <w:p w:rsidR="00420E76" w:rsidRDefault="0018573C">
      <w:pPr>
        <w:pStyle w:val="Default"/>
        <w:spacing w:line="360" w:lineRule="auto"/>
        <w:ind w:firstLineChars="150" w:firstLine="360"/>
        <w:rPr>
          <w:rFonts w:hAnsi="宋体"/>
        </w:rPr>
      </w:pPr>
      <w:r>
        <w:rPr>
          <w:rFonts w:hAnsi="宋体" w:hint="eastAsia"/>
        </w:rPr>
        <w:t>（二）与上市公司的关联关系</w:t>
      </w:r>
    </w:p>
    <w:p w:rsidR="00420E76" w:rsidRDefault="0018573C">
      <w:pPr>
        <w:spacing w:line="360" w:lineRule="auto"/>
        <w:ind w:firstLineChars="200" w:firstLine="480"/>
        <w:rPr>
          <w:rFonts w:ascii="宋体" w:hAnsi="宋体" w:cs="宋体"/>
          <w:kern w:val="0"/>
          <w:sz w:val="24"/>
        </w:rPr>
      </w:pPr>
      <w:r>
        <w:rPr>
          <w:rFonts w:ascii="宋体" w:hAnsi="宋体" w:cs="宋体" w:hint="eastAsia"/>
          <w:kern w:val="0"/>
          <w:sz w:val="24"/>
        </w:rPr>
        <w:t>浙江省能源集团有限公司、浙江浙能电力股份有限公司、浙江省能源集团财务有限责任公司合计持有公司0.60%的股份，且向公司派驻了监事，根据银保监会《商业银行与内部人和股东关联交易管理办法》《商业银行股权管理暂行办法》、上交所《上市公司关联交易实施指引》和公司《关联交易管理办法》等相关规定，浙江省能源集团及其关联企业属于公司关联方。</w:t>
      </w:r>
    </w:p>
    <w:p w:rsidR="00420E76" w:rsidRDefault="00420E76">
      <w:pPr>
        <w:spacing w:line="360" w:lineRule="auto"/>
        <w:ind w:firstLineChars="200" w:firstLine="480"/>
        <w:rPr>
          <w:rFonts w:ascii="宋体" w:hAnsi="宋体" w:cs="宋体"/>
          <w:kern w:val="0"/>
          <w:sz w:val="24"/>
        </w:rPr>
      </w:pPr>
    </w:p>
    <w:p w:rsidR="00420E76" w:rsidRDefault="0018573C">
      <w:pPr>
        <w:pStyle w:val="Default"/>
        <w:spacing w:line="360" w:lineRule="auto"/>
        <w:ind w:firstLineChars="200" w:firstLine="482"/>
        <w:rPr>
          <w:rFonts w:hAnsi="宋体"/>
          <w:b/>
          <w:color w:val="auto"/>
        </w:rPr>
      </w:pPr>
      <w:r>
        <w:rPr>
          <w:rFonts w:hAnsi="宋体" w:hint="eastAsia"/>
          <w:b/>
          <w:color w:val="auto"/>
        </w:rPr>
        <w:t>三、关联交易的主要内容和定价政策</w:t>
      </w:r>
    </w:p>
    <w:p w:rsidR="00420E76" w:rsidRDefault="0018573C">
      <w:pPr>
        <w:pStyle w:val="Default"/>
        <w:spacing w:line="360" w:lineRule="auto"/>
        <w:ind w:firstLineChars="200" w:firstLine="480"/>
        <w:rPr>
          <w:rFonts w:hAnsi="宋体"/>
          <w:color w:val="auto"/>
        </w:rPr>
      </w:pPr>
      <w:r>
        <w:rPr>
          <w:rFonts w:hAnsi="宋体" w:hint="eastAsia"/>
          <w:color w:val="auto"/>
        </w:rPr>
        <w:t>（一）关联交易主要内容</w:t>
      </w:r>
    </w:p>
    <w:p w:rsidR="00420E76" w:rsidRDefault="0018573C">
      <w:pPr>
        <w:spacing w:line="360" w:lineRule="auto"/>
        <w:ind w:firstLineChars="200" w:firstLine="480"/>
        <w:rPr>
          <w:rFonts w:ascii="宋体" w:hAnsi="宋体"/>
          <w:sz w:val="24"/>
        </w:rPr>
      </w:pPr>
      <w:r>
        <w:rPr>
          <w:rFonts w:ascii="宋体" w:hAnsi="宋体" w:hint="eastAsia"/>
          <w:sz w:val="24"/>
        </w:rPr>
        <w:t>2018年12月21日公司第九届董事会第十二次会议审批给予浙江省能源集团系列关联法人关联交易额度人民币81亿元，有效期2年，包括：授</w:t>
      </w:r>
      <w:proofErr w:type="gramStart"/>
      <w:r>
        <w:rPr>
          <w:rFonts w:ascii="宋体" w:hAnsi="宋体" w:hint="eastAsia"/>
          <w:sz w:val="24"/>
        </w:rPr>
        <w:t>信类关联</w:t>
      </w:r>
      <w:proofErr w:type="gramEnd"/>
      <w:r>
        <w:rPr>
          <w:rFonts w:ascii="宋体" w:hAnsi="宋体" w:hint="eastAsia"/>
          <w:sz w:val="24"/>
        </w:rPr>
        <w:t>交易额度人民币80亿元，其中主体授信额度人民币60亿元，非保本理财项下投资额度人民币20亿元；</w:t>
      </w:r>
      <w:proofErr w:type="gramStart"/>
      <w:r>
        <w:rPr>
          <w:rFonts w:ascii="宋体" w:hAnsi="宋体" w:hint="eastAsia"/>
          <w:sz w:val="24"/>
        </w:rPr>
        <w:t>非授信类关联</w:t>
      </w:r>
      <w:proofErr w:type="gramEnd"/>
      <w:r>
        <w:rPr>
          <w:rFonts w:ascii="宋体" w:hAnsi="宋体" w:hint="eastAsia"/>
          <w:sz w:val="24"/>
        </w:rPr>
        <w:t>交易额度人民币1亿元。</w:t>
      </w:r>
    </w:p>
    <w:p w:rsidR="00420E76" w:rsidRDefault="0018573C">
      <w:pPr>
        <w:spacing w:line="360" w:lineRule="auto"/>
        <w:ind w:firstLineChars="200" w:firstLine="480"/>
        <w:rPr>
          <w:rFonts w:ascii="宋体" w:hAnsi="宋体"/>
          <w:sz w:val="24"/>
        </w:rPr>
      </w:pPr>
      <w:r>
        <w:rPr>
          <w:rFonts w:ascii="宋体" w:hAnsi="宋体" w:hint="eastAsia"/>
          <w:sz w:val="24"/>
        </w:rPr>
        <w:t>由于原审批额度有效期即将于2020年12月21日届满，本次重新核定给予浙江省能源集团系列关联法人关联交易额度人民币82亿元，有效期2年，使用范围包括公司及公司并表附属机构</w:t>
      </w:r>
      <w:r>
        <w:rPr>
          <w:rFonts w:ascii="宋体" w:hAnsi="宋体" w:cs="宋体" w:hint="eastAsia"/>
          <w:sz w:val="24"/>
        </w:rPr>
        <w:t>，具体包括：授</w:t>
      </w:r>
      <w:proofErr w:type="gramStart"/>
      <w:r>
        <w:rPr>
          <w:rFonts w:ascii="宋体" w:hAnsi="宋体" w:cs="宋体" w:hint="eastAsia"/>
          <w:sz w:val="24"/>
        </w:rPr>
        <w:t>信类关联</w:t>
      </w:r>
      <w:proofErr w:type="gramEnd"/>
      <w:r>
        <w:rPr>
          <w:rFonts w:ascii="宋体" w:hAnsi="宋体" w:cs="宋体" w:hint="eastAsia"/>
          <w:sz w:val="24"/>
        </w:rPr>
        <w:t>交易额度人民币81亿元，用于各类短、中、长期业务品种，其中主体授信额度60亿元，非保本理财项下投资额度21亿元；</w:t>
      </w:r>
      <w:proofErr w:type="gramStart"/>
      <w:r>
        <w:rPr>
          <w:rFonts w:ascii="宋体" w:hAnsi="宋体" w:cs="宋体" w:hint="eastAsia"/>
          <w:sz w:val="24"/>
        </w:rPr>
        <w:t>非授信类关联</w:t>
      </w:r>
      <w:proofErr w:type="gramEnd"/>
      <w:r>
        <w:rPr>
          <w:rFonts w:ascii="宋体" w:hAnsi="宋体" w:cs="宋体" w:hint="eastAsia"/>
          <w:sz w:val="24"/>
        </w:rPr>
        <w:t>交易额度人民币1亿元，交易类别包括债券承销、资产托管以及其他资产转移或综合服务类业务。</w:t>
      </w:r>
    </w:p>
    <w:p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（二）定价政策</w:t>
      </w:r>
    </w:p>
    <w:p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公司与</w:t>
      </w:r>
      <w:r>
        <w:rPr>
          <w:rFonts w:hAnsi="宋体" w:hint="eastAsia"/>
        </w:rPr>
        <w:t>浙江省能源集团系列关联法人</w:t>
      </w:r>
      <w:r>
        <w:rPr>
          <w:rFonts w:hAnsi="宋体" w:cs="Times New Roman" w:hint="eastAsia"/>
          <w:color w:val="auto"/>
        </w:rPr>
        <w:t>的关联交易，交易定价参考</w:t>
      </w:r>
      <w:proofErr w:type="gramStart"/>
      <w:r>
        <w:rPr>
          <w:rFonts w:hAnsi="宋体" w:cs="Times New Roman" w:hint="eastAsia"/>
          <w:color w:val="auto"/>
        </w:rPr>
        <w:t>独立第三</w:t>
      </w:r>
      <w:proofErr w:type="gramEnd"/>
      <w:r>
        <w:rPr>
          <w:rFonts w:hAnsi="宋体" w:cs="Times New Roman" w:hint="eastAsia"/>
          <w:color w:val="auto"/>
        </w:rPr>
        <w:t>方的非关联交易价格。</w:t>
      </w:r>
      <w:proofErr w:type="gramStart"/>
      <w:r>
        <w:rPr>
          <w:rFonts w:hAnsi="宋体" w:cs="Times New Roman" w:hint="eastAsia"/>
          <w:color w:val="auto"/>
        </w:rPr>
        <w:t>如授信类关联</w:t>
      </w:r>
      <w:proofErr w:type="gramEnd"/>
      <w:r>
        <w:rPr>
          <w:rFonts w:hAnsi="宋体" w:cs="Times New Roman" w:hint="eastAsia"/>
          <w:color w:val="auto"/>
        </w:rPr>
        <w:t>交易，相关授信条件没有优于其他受</w:t>
      </w:r>
      <w:proofErr w:type="gramStart"/>
      <w:r>
        <w:rPr>
          <w:rFonts w:hAnsi="宋体" w:cs="Times New Roman" w:hint="eastAsia"/>
          <w:color w:val="auto"/>
        </w:rPr>
        <w:t>信主体</w:t>
      </w:r>
      <w:proofErr w:type="gramEnd"/>
      <w:r>
        <w:rPr>
          <w:rFonts w:hAnsi="宋体" w:cs="Times New Roman" w:hint="eastAsia"/>
          <w:color w:val="auto"/>
        </w:rPr>
        <w:t>同</w:t>
      </w:r>
      <w:r>
        <w:rPr>
          <w:rFonts w:hAnsi="宋体" w:cs="Times New Roman" w:hint="eastAsia"/>
          <w:color w:val="auto"/>
        </w:rPr>
        <w:lastRenderedPageBreak/>
        <w:t>类授信的条件，关联交易价格参考</w:t>
      </w:r>
      <w:proofErr w:type="gramStart"/>
      <w:r>
        <w:rPr>
          <w:rFonts w:hAnsi="宋体" w:cs="Times New Roman" w:hint="eastAsia"/>
          <w:color w:val="auto"/>
        </w:rPr>
        <w:t>独立第三</w:t>
      </w:r>
      <w:proofErr w:type="gramEnd"/>
      <w:r>
        <w:rPr>
          <w:rFonts w:hAnsi="宋体" w:cs="Times New Roman" w:hint="eastAsia"/>
          <w:color w:val="auto"/>
        </w:rPr>
        <w:t>方的非关联交易价格，结算方式与</w:t>
      </w:r>
      <w:proofErr w:type="gramStart"/>
      <w:r>
        <w:rPr>
          <w:rFonts w:hAnsi="宋体" w:cs="Times New Roman" w:hint="eastAsia"/>
          <w:color w:val="auto"/>
        </w:rPr>
        <w:t>独立第三</w:t>
      </w:r>
      <w:proofErr w:type="gramEnd"/>
      <w:r>
        <w:rPr>
          <w:rFonts w:hAnsi="宋体" w:cs="Times New Roman" w:hint="eastAsia"/>
          <w:color w:val="auto"/>
        </w:rPr>
        <w:t>方的非关联交易相同；</w:t>
      </w:r>
      <w:proofErr w:type="gramStart"/>
      <w:r>
        <w:rPr>
          <w:rFonts w:hAnsi="宋体" w:cs="Times New Roman" w:hint="eastAsia"/>
          <w:color w:val="auto"/>
        </w:rPr>
        <w:t>非授信类关联</w:t>
      </w:r>
      <w:proofErr w:type="gramEnd"/>
      <w:r>
        <w:rPr>
          <w:rFonts w:hAnsi="宋体" w:cs="Times New Roman" w:hint="eastAsia"/>
          <w:color w:val="auto"/>
        </w:rPr>
        <w:t>交易属于公司日常业务经营中的合理交易，遵循一般商业原则，以不优于对非关联方同类交易的条件进行。</w:t>
      </w:r>
    </w:p>
    <w:p w:rsidR="00420E76" w:rsidRDefault="00420E76">
      <w:pPr>
        <w:pStyle w:val="Default"/>
        <w:spacing w:line="360" w:lineRule="auto"/>
        <w:ind w:firstLineChars="200" w:firstLine="482"/>
        <w:rPr>
          <w:rFonts w:hAnsi="宋体" w:cs="Times New Roman"/>
          <w:b/>
          <w:color w:val="auto"/>
        </w:rPr>
      </w:pPr>
    </w:p>
    <w:p w:rsidR="00420E76" w:rsidRDefault="0018573C">
      <w:pPr>
        <w:pStyle w:val="Default"/>
        <w:spacing w:line="360" w:lineRule="auto"/>
        <w:ind w:firstLineChars="200" w:firstLine="482"/>
        <w:rPr>
          <w:rFonts w:hAnsi="宋体" w:cs="Times New Roman"/>
          <w:b/>
          <w:color w:val="auto"/>
        </w:rPr>
      </w:pPr>
      <w:r>
        <w:rPr>
          <w:rFonts w:hAnsi="宋体" w:cs="Times New Roman" w:hint="eastAsia"/>
          <w:b/>
          <w:color w:val="auto"/>
        </w:rPr>
        <w:t>四、关联交易的目的以及本次关联交易对上市公司的影响</w:t>
      </w:r>
      <w:r>
        <w:rPr>
          <w:rFonts w:hAnsi="宋体" w:cs="Times New Roman"/>
          <w:b/>
          <w:color w:val="auto"/>
        </w:rPr>
        <w:t xml:space="preserve"> </w:t>
      </w:r>
    </w:p>
    <w:p w:rsidR="00420E76" w:rsidRDefault="0018573C">
      <w:pPr>
        <w:pStyle w:val="Default"/>
        <w:spacing w:line="360" w:lineRule="auto"/>
        <w:ind w:firstLineChars="150" w:firstLine="360"/>
        <w:rPr>
          <w:rFonts w:hAnsi="宋体" w:cs="Times New Roman"/>
          <w:color w:val="auto"/>
        </w:rPr>
      </w:pPr>
      <w:r>
        <w:rPr>
          <w:rFonts w:hAnsi="宋体" w:cs="Times New Roman" w:hint="eastAsia"/>
          <w:color w:val="auto"/>
        </w:rPr>
        <w:t>考虑到公司与</w:t>
      </w:r>
      <w:r>
        <w:rPr>
          <w:rFonts w:hAnsi="宋体" w:hint="eastAsia"/>
        </w:rPr>
        <w:t>浙江省能源集团系列关联法人</w:t>
      </w:r>
      <w:r>
        <w:rPr>
          <w:rFonts w:hAnsi="宋体" w:cs="Times New Roman" w:hint="eastAsia"/>
          <w:color w:val="auto"/>
        </w:rPr>
        <w:t>在多个业务领域的合作持续推进，相关业务需求不断增加，公司与</w:t>
      </w:r>
      <w:r>
        <w:rPr>
          <w:rFonts w:hAnsi="宋体" w:hint="eastAsia"/>
        </w:rPr>
        <w:t>浙江省能源集团系列关联法人</w:t>
      </w:r>
      <w:r>
        <w:rPr>
          <w:rFonts w:hAnsi="宋体" w:cs="Times New Roman" w:hint="eastAsia"/>
          <w:color w:val="auto"/>
        </w:rPr>
        <w:t>开展的相关业务有利于各方的进一步合作。</w:t>
      </w:r>
    </w:p>
    <w:p w:rsidR="00420E76" w:rsidRDefault="0018573C">
      <w:pPr>
        <w:pStyle w:val="Default"/>
        <w:spacing w:line="360" w:lineRule="auto"/>
        <w:ind w:firstLineChars="150" w:firstLine="360"/>
        <w:rPr>
          <w:rFonts w:hAnsi="宋体" w:cs="Times New Roman"/>
          <w:color w:val="auto"/>
        </w:rPr>
      </w:pPr>
      <w:r>
        <w:rPr>
          <w:rFonts w:hAnsi="宋体" w:cs="Times New Roman" w:hint="eastAsia"/>
          <w:color w:val="auto"/>
        </w:rPr>
        <w:t>上述关联交易是公司在日常业务中按市场原则及一般商务条款或按照不优于适用于</w:t>
      </w:r>
      <w:proofErr w:type="gramStart"/>
      <w:r>
        <w:rPr>
          <w:rFonts w:hAnsi="宋体" w:cs="Times New Roman" w:hint="eastAsia"/>
          <w:color w:val="auto"/>
        </w:rPr>
        <w:t>独立第三</w:t>
      </w:r>
      <w:proofErr w:type="gramEnd"/>
      <w:r>
        <w:rPr>
          <w:rFonts w:hAnsi="宋体" w:cs="Times New Roman" w:hint="eastAsia"/>
          <w:color w:val="auto"/>
        </w:rPr>
        <w:t>方的条款而订立，交易条款公平合理，符合公司和全体股东的利益，符合监管部门相关法规要求及公司内部制度相关规定，不存在损害公司及中小股东利益的情况，不会对公司本期及未来的财务状况产生不利影响，也不会影响上市公司的独立性。</w:t>
      </w:r>
    </w:p>
    <w:p w:rsidR="00420E76" w:rsidRDefault="00420E76">
      <w:pPr>
        <w:pStyle w:val="Default"/>
        <w:spacing w:line="360" w:lineRule="auto"/>
        <w:ind w:firstLineChars="150" w:firstLine="361"/>
        <w:rPr>
          <w:rFonts w:hAnsi="宋体"/>
          <w:b/>
        </w:rPr>
      </w:pPr>
    </w:p>
    <w:p w:rsidR="00420E76" w:rsidRDefault="0018573C">
      <w:pPr>
        <w:pStyle w:val="Default"/>
        <w:spacing w:line="360" w:lineRule="auto"/>
        <w:ind w:firstLineChars="150" w:firstLine="361"/>
        <w:rPr>
          <w:rFonts w:hAnsi="宋体"/>
          <w:b/>
        </w:rPr>
      </w:pPr>
      <w:r>
        <w:rPr>
          <w:rFonts w:hAnsi="宋体" w:hint="eastAsia"/>
          <w:b/>
        </w:rPr>
        <w:t>五、独立董事意见</w:t>
      </w:r>
    </w:p>
    <w:p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公司独立董事</w:t>
      </w:r>
      <w:r>
        <w:rPr>
          <w:rFonts w:hAnsi="宋体" w:cs="Times New Roman"/>
          <w:color w:val="auto"/>
        </w:rPr>
        <w:t xml:space="preserve">Paul M. </w:t>
      </w:r>
      <w:proofErr w:type="spellStart"/>
      <w:r>
        <w:rPr>
          <w:rFonts w:hAnsi="宋体" w:cs="Times New Roman"/>
          <w:color w:val="auto"/>
        </w:rPr>
        <w:t>Theil</w:t>
      </w:r>
      <w:proofErr w:type="spellEnd"/>
      <w:r>
        <w:rPr>
          <w:rFonts w:hAnsi="宋体" w:cs="Times New Roman" w:hint="eastAsia"/>
          <w:color w:val="auto"/>
        </w:rPr>
        <w:t>先生、朱青先生、刘世平先生、苏锡嘉先生、林华先生对上述关联交易事项发表独立意见如下：</w:t>
      </w:r>
    </w:p>
    <w:p w:rsidR="00420E76" w:rsidRDefault="0018573C">
      <w:pPr>
        <w:spacing w:line="360" w:lineRule="auto"/>
        <w:ind w:firstLineChars="200" w:firstLine="480"/>
        <w:rPr>
          <w:rFonts w:ascii="宋体" w:hAnsi="宋体"/>
          <w:sz w:val="24"/>
        </w:rPr>
      </w:pPr>
      <w:r>
        <w:rPr>
          <w:rFonts w:ascii="宋体" w:hAnsi="宋体" w:hint="eastAsia"/>
          <w:sz w:val="24"/>
        </w:rPr>
        <w:t>（一）程序性。上述关联交易事项已履行董事会审计与关联交易控制委员会审核和董事会审批等程序，符合中国银保监会、中国证监会、上海证券交易所等监管部门发布的规章和公司章程、《关联交易管理办法》等规定。</w:t>
      </w:r>
    </w:p>
    <w:p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二）公允性。上述关联交易属于公司日常业务经营中的合理交易，遵循一般商业原则，且以不优于对非关联方同类交易的条件进行，交易条件公平、合理，符合监管部门相关法规要求及公司内部制度相关规定，未损害公司及股东、特别是中小股东的利益，不会对公司本期及未来的财务状况产生不利影响，也不会影响公司的独立性。</w:t>
      </w:r>
    </w:p>
    <w:p w:rsidR="00420E76" w:rsidRDefault="00420E76">
      <w:pPr>
        <w:pStyle w:val="Default"/>
        <w:spacing w:line="360" w:lineRule="auto"/>
        <w:ind w:firstLineChars="200" w:firstLine="480"/>
        <w:rPr>
          <w:rFonts w:hAnsi="宋体" w:cs="Times New Roman"/>
          <w:color w:val="auto"/>
        </w:rPr>
      </w:pPr>
    </w:p>
    <w:p w:rsidR="00420E76" w:rsidRDefault="0018573C">
      <w:pPr>
        <w:pStyle w:val="Default"/>
        <w:spacing w:line="360" w:lineRule="auto"/>
        <w:ind w:firstLineChars="150" w:firstLine="361"/>
        <w:rPr>
          <w:rFonts w:hAnsi="宋体"/>
          <w:b/>
        </w:rPr>
      </w:pPr>
      <w:r>
        <w:rPr>
          <w:rFonts w:hAnsi="宋体" w:hint="eastAsia"/>
          <w:b/>
        </w:rPr>
        <w:t>六、备查文件目录</w:t>
      </w:r>
      <w:r>
        <w:rPr>
          <w:rFonts w:hAnsi="宋体"/>
          <w:b/>
        </w:rPr>
        <w:t xml:space="preserve"> </w:t>
      </w:r>
    </w:p>
    <w:p w:rsidR="00420E76" w:rsidRDefault="0018573C">
      <w:pPr>
        <w:pStyle w:val="Default"/>
        <w:spacing w:line="360" w:lineRule="auto"/>
        <w:ind w:firstLineChars="150" w:firstLine="360"/>
        <w:rPr>
          <w:rFonts w:hAnsi="宋体"/>
        </w:rPr>
      </w:pPr>
      <w:r>
        <w:rPr>
          <w:rFonts w:hAnsi="宋体"/>
        </w:rPr>
        <w:t>1</w:t>
      </w:r>
      <w:r>
        <w:rPr>
          <w:rFonts w:hAnsi="宋体" w:hint="eastAsia"/>
        </w:rPr>
        <w:t>、董事会审计与关联交易控制委员会决议；</w:t>
      </w:r>
      <w:r>
        <w:rPr>
          <w:rFonts w:hAnsi="宋体"/>
        </w:rPr>
        <w:t xml:space="preserve"> </w:t>
      </w:r>
    </w:p>
    <w:p w:rsidR="00420E76" w:rsidRDefault="0018573C">
      <w:pPr>
        <w:pStyle w:val="Default"/>
        <w:spacing w:line="360" w:lineRule="auto"/>
        <w:ind w:firstLineChars="150" w:firstLine="360"/>
        <w:rPr>
          <w:rFonts w:hAnsi="宋体"/>
        </w:rPr>
      </w:pPr>
      <w:r>
        <w:rPr>
          <w:rFonts w:hAnsi="宋体"/>
        </w:rPr>
        <w:t>2</w:t>
      </w:r>
      <w:r>
        <w:rPr>
          <w:rFonts w:hAnsi="宋体" w:hint="eastAsia"/>
        </w:rPr>
        <w:t>、董事会决议；</w:t>
      </w:r>
    </w:p>
    <w:p w:rsidR="00420E76" w:rsidRDefault="0018573C">
      <w:pPr>
        <w:pStyle w:val="Default"/>
        <w:spacing w:line="360" w:lineRule="auto"/>
        <w:ind w:firstLineChars="150" w:firstLine="360"/>
        <w:rPr>
          <w:rFonts w:hAnsi="宋体"/>
        </w:rPr>
      </w:pPr>
      <w:r>
        <w:rPr>
          <w:rFonts w:hAnsi="宋体"/>
        </w:rPr>
        <w:t>3</w:t>
      </w:r>
      <w:r>
        <w:rPr>
          <w:rFonts w:hAnsi="宋体" w:hint="eastAsia"/>
        </w:rPr>
        <w:t>、经独立董事签字确认的事前认可意见；</w:t>
      </w:r>
    </w:p>
    <w:p w:rsidR="00420E76" w:rsidRDefault="0018573C">
      <w:pPr>
        <w:pStyle w:val="Default"/>
        <w:spacing w:line="360" w:lineRule="auto"/>
        <w:ind w:firstLineChars="150" w:firstLine="360"/>
        <w:rPr>
          <w:rFonts w:hAnsi="宋体"/>
        </w:rPr>
      </w:pPr>
      <w:r>
        <w:rPr>
          <w:rFonts w:hAnsi="宋体"/>
        </w:rPr>
        <w:lastRenderedPageBreak/>
        <w:t>4、经独立董事签字确认的独立意见。</w:t>
      </w:r>
    </w:p>
    <w:p w:rsidR="00420E76" w:rsidRDefault="00420E76">
      <w:pPr>
        <w:pStyle w:val="Default"/>
        <w:spacing w:line="360" w:lineRule="auto"/>
        <w:ind w:firstLineChars="200" w:firstLine="480"/>
        <w:rPr>
          <w:rFonts w:hAnsi="宋体"/>
        </w:rPr>
      </w:pPr>
    </w:p>
    <w:p w:rsidR="00420E76" w:rsidRDefault="0018573C">
      <w:pPr>
        <w:pStyle w:val="Default"/>
        <w:spacing w:line="360" w:lineRule="auto"/>
        <w:ind w:firstLineChars="200" w:firstLine="480"/>
        <w:rPr>
          <w:rFonts w:hAnsi="宋体"/>
        </w:rPr>
      </w:pPr>
      <w:r>
        <w:rPr>
          <w:rFonts w:hAnsi="宋体" w:hint="eastAsia"/>
        </w:rPr>
        <w:t>特此公告。</w:t>
      </w:r>
      <w:r>
        <w:rPr>
          <w:rFonts w:hAnsi="宋体"/>
        </w:rPr>
        <w:t xml:space="preserve"> </w:t>
      </w:r>
    </w:p>
    <w:p w:rsidR="00420E76" w:rsidRDefault="00420E76">
      <w:pPr>
        <w:pStyle w:val="Default"/>
        <w:spacing w:line="360" w:lineRule="auto"/>
        <w:ind w:firstLineChars="200" w:firstLine="480"/>
        <w:rPr>
          <w:rFonts w:hAnsi="宋体"/>
        </w:rPr>
      </w:pPr>
    </w:p>
    <w:p w:rsidR="00420E76" w:rsidRDefault="0018573C">
      <w:pPr>
        <w:pStyle w:val="Default"/>
        <w:spacing w:line="360" w:lineRule="auto"/>
        <w:ind w:firstLineChars="1850" w:firstLine="4440"/>
        <w:rPr>
          <w:rFonts w:hAnsi="宋体"/>
        </w:rPr>
      </w:pPr>
      <w:r>
        <w:rPr>
          <w:rFonts w:hAnsi="宋体" w:hint="eastAsia"/>
        </w:rPr>
        <w:t>兴业银行股份有限公司董事会</w:t>
      </w:r>
    </w:p>
    <w:p w:rsidR="00420E76" w:rsidRDefault="0018573C">
      <w:pPr>
        <w:pStyle w:val="Default"/>
        <w:spacing w:line="360" w:lineRule="auto"/>
        <w:ind w:firstLineChars="1000" w:firstLine="2400"/>
        <w:rPr>
          <w:rFonts w:hAnsi="宋体"/>
        </w:rPr>
      </w:pPr>
      <w:r>
        <w:rPr>
          <w:rFonts w:hAnsi="宋体"/>
        </w:rPr>
        <w:t xml:space="preserve"> </w:t>
      </w:r>
      <w:r>
        <w:rPr>
          <w:rFonts w:hAnsi="宋体" w:hint="eastAsia"/>
        </w:rPr>
        <w:t xml:space="preserve">                      </w:t>
      </w:r>
      <w:r>
        <w:rPr>
          <w:rFonts w:hAnsi="宋体"/>
        </w:rPr>
        <w:t>2020</w:t>
      </w:r>
      <w:r>
        <w:rPr>
          <w:rFonts w:hAnsi="宋体" w:hint="eastAsia"/>
        </w:rPr>
        <w:t>年</w:t>
      </w:r>
      <w:r>
        <w:rPr>
          <w:rFonts w:hAnsi="宋体"/>
        </w:rPr>
        <w:t>12</w:t>
      </w:r>
      <w:r>
        <w:rPr>
          <w:rFonts w:hAnsi="宋体" w:hint="eastAsia"/>
        </w:rPr>
        <w:t>月</w:t>
      </w:r>
      <w:r>
        <w:rPr>
          <w:rFonts w:hAnsi="宋体"/>
        </w:rPr>
        <w:t>18</w:t>
      </w:r>
      <w:r>
        <w:rPr>
          <w:rFonts w:hAnsi="宋体" w:hint="eastAsia"/>
        </w:rPr>
        <w:t>日</w:t>
      </w:r>
    </w:p>
    <w:p w:rsidR="00420E76" w:rsidRDefault="00420E76">
      <w:pPr>
        <w:autoSpaceDE w:val="0"/>
        <w:autoSpaceDN w:val="0"/>
        <w:adjustRightInd w:val="0"/>
        <w:spacing w:line="360" w:lineRule="auto"/>
        <w:ind w:firstLineChars="150" w:firstLine="360"/>
        <w:jc w:val="left"/>
        <w:rPr>
          <w:rFonts w:ascii="宋体" w:hAnsi="宋体"/>
          <w:sz w:val="24"/>
        </w:rPr>
      </w:pPr>
    </w:p>
    <w:p w:rsidR="00420E76" w:rsidRDefault="00420E76">
      <w:pPr>
        <w:spacing w:line="360" w:lineRule="auto"/>
        <w:ind w:firstLineChars="200" w:firstLine="480"/>
        <w:rPr>
          <w:rFonts w:ascii="宋体" w:hAnsi="宋体"/>
          <w:sz w:val="24"/>
        </w:rPr>
      </w:pPr>
    </w:p>
    <w:sectPr w:rsidR="00420E76">
      <w:footerReference w:type="even" r:id="rId10"/>
      <w:footerReference w:type="default" r:id="rId11"/>
      <w:pgSz w:w="11906" w:h="16838"/>
      <w:pgMar w:top="1134" w:right="1797" w:bottom="737"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5057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1A" w:rsidRDefault="0001021A">
      <w:r>
        <w:separator/>
      </w:r>
    </w:p>
  </w:endnote>
  <w:endnote w:type="continuationSeparator" w:id="0">
    <w:p w:rsidR="0001021A" w:rsidRDefault="0001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6" w:rsidRDefault="0018573C">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20E76" w:rsidRDefault="00420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3837"/>
    </w:sdtPr>
    <w:sdtEndPr/>
    <w:sdtContent>
      <w:p w:rsidR="00420E76" w:rsidRDefault="0018573C">
        <w:pPr>
          <w:pStyle w:val="a8"/>
          <w:jc w:val="center"/>
        </w:pPr>
        <w:r>
          <w:fldChar w:fldCharType="begin"/>
        </w:r>
        <w:r>
          <w:instrText>PAGE   \* MERGEFORMAT</w:instrText>
        </w:r>
        <w:r>
          <w:fldChar w:fldCharType="separate"/>
        </w:r>
        <w:r w:rsidR="005459B5" w:rsidRPr="005459B5">
          <w:rPr>
            <w:noProof/>
            <w:lang w:val="zh-CN"/>
          </w:rPr>
          <w:t>4</w:t>
        </w:r>
        <w:r>
          <w:fldChar w:fldCharType="end"/>
        </w:r>
      </w:p>
    </w:sdtContent>
  </w:sdt>
  <w:p w:rsidR="00420E76" w:rsidRDefault="00420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1A" w:rsidRDefault="0001021A">
      <w:r>
        <w:separator/>
      </w:r>
    </w:p>
  </w:footnote>
  <w:footnote w:type="continuationSeparator" w:id="0">
    <w:p w:rsidR="0001021A" w:rsidRDefault="00010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78"/>
    <w:rsid w:val="00003477"/>
    <w:rsid w:val="00007292"/>
    <w:rsid w:val="0001021A"/>
    <w:rsid w:val="0001038F"/>
    <w:rsid w:val="000121F9"/>
    <w:rsid w:val="00012653"/>
    <w:rsid w:val="00013D73"/>
    <w:rsid w:val="00017776"/>
    <w:rsid w:val="00017972"/>
    <w:rsid w:val="00020DB1"/>
    <w:rsid w:val="00022B1F"/>
    <w:rsid w:val="00022C0B"/>
    <w:rsid w:val="00024C4D"/>
    <w:rsid w:val="00030359"/>
    <w:rsid w:val="00031A33"/>
    <w:rsid w:val="00032D33"/>
    <w:rsid w:val="0003479C"/>
    <w:rsid w:val="00034E37"/>
    <w:rsid w:val="00036EF6"/>
    <w:rsid w:val="000370C2"/>
    <w:rsid w:val="000440FB"/>
    <w:rsid w:val="00044C73"/>
    <w:rsid w:val="00046497"/>
    <w:rsid w:val="00053039"/>
    <w:rsid w:val="0005381C"/>
    <w:rsid w:val="000551BC"/>
    <w:rsid w:val="0005718D"/>
    <w:rsid w:val="0006276A"/>
    <w:rsid w:val="00063783"/>
    <w:rsid w:val="00075E74"/>
    <w:rsid w:val="00081D16"/>
    <w:rsid w:val="000821C1"/>
    <w:rsid w:val="0008483C"/>
    <w:rsid w:val="0008665D"/>
    <w:rsid w:val="0009018C"/>
    <w:rsid w:val="000904A6"/>
    <w:rsid w:val="00091C2C"/>
    <w:rsid w:val="00093620"/>
    <w:rsid w:val="000972BD"/>
    <w:rsid w:val="000A3B8C"/>
    <w:rsid w:val="000A49B3"/>
    <w:rsid w:val="000A5462"/>
    <w:rsid w:val="000A60AB"/>
    <w:rsid w:val="000A6D6B"/>
    <w:rsid w:val="000B0C64"/>
    <w:rsid w:val="000B321D"/>
    <w:rsid w:val="000B33EF"/>
    <w:rsid w:val="000B6A0C"/>
    <w:rsid w:val="000C092D"/>
    <w:rsid w:val="000C13ED"/>
    <w:rsid w:val="000C4F26"/>
    <w:rsid w:val="000C52A4"/>
    <w:rsid w:val="000C54A4"/>
    <w:rsid w:val="000C5FA8"/>
    <w:rsid w:val="000C6EE1"/>
    <w:rsid w:val="000C722F"/>
    <w:rsid w:val="000D1301"/>
    <w:rsid w:val="000D2754"/>
    <w:rsid w:val="000D2953"/>
    <w:rsid w:val="000D4D06"/>
    <w:rsid w:val="000D55DA"/>
    <w:rsid w:val="000D5899"/>
    <w:rsid w:val="000D5AF5"/>
    <w:rsid w:val="000D7865"/>
    <w:rsid w:val="000E3CB7"/>
    <w:rsid w:val="000E60E8"/>
    <w:rsid w:val="000F0F01"/>
    <w:rsid w:val="000F37DA"/>
    <w:rsid w:val="00100708"/>
    <w:rsid w:val="00100A5A"/>
    <w:rsid w:val="00101561"/>
    <w:rsid w:val="00103AB2"/>
    <w:rsid w:val="00104B2D"/>
    <w:rsid w:val="00110907"/>
    <w:rsid w:val="001118C2"/>
    <w:rsid w:val="00113648"/>
    <w:rsid w:val="001137AA"/>
    <w:rsid w:val="001167D6"/>
    <w:rsid w:val="00123814"/>
    <w:rsid w:val="00125B54"/>
    <w:rsid w:val="00130A7A"/>
    <w:rsid w:val="00136826"/>
    <w:rsid w:val="00143AF0"/>
    <w:rsid w:val="001532DC"/>
    <w:rsid w:val="00153D7F"/>
    <w:rsid w:val="001558CC"/>
    <w:rsid w:val="0015778D"/>
    <w:rsid w:val="0016237B"/>
    <w:rsid w:val="00162B12"/>
    <w:rsid w:val="00162B7D"/>
    <w:rsid w:val="00164A6C"/>
    <w:rsid w:val="00165F00"/>
    <w:rsid w:val="0017027F"/>
    <w:rsid w:val="00171EF3"/>
    <w:rsid w:val="00172D2B"/>
    <w:rsid w:val="001776F5"/>
    <w:rsid w:val="00180386"/>
    <w:rsid w:val="00180DDB"/>
    <w:rsid w:val="00181DA2"/>
    <w:rsid w:val="001840FF"/>
    <w:rsid w:val="001842DF"/>
    <w:rsid w:val="0018573C"/>
    <w:rsid w:val="001A035A"/>
    <w:rsid w:val="001A047E"/>
    <w:rsid w:val="001A548B"/>
    <w:rsid w:val="001A7BBA"/>
    <w:rsid w:val="001B029A"/>
    <w:rsid w:val="001B34D7"/>
    <w:rsid w:val="001B5244"/>
    <w:rsid w:val="001B58C5"/>
    <w:rsid w:val="001B7E6C"/>
    <w:rsid w:val="001C39BE"/>
    <w:rsid w:val="001C763E"/>
    <w:rsid w:val="001D3F45"/>
    <w:rsid w:val="001D45C4"/>
    <w:rsid w:val="001D4645"/>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25112"/>
    <w:rsid w:val="00227288"/>
    <w:rsid w:val="00235CC7"/>
    <w:rsid w:val="002374B5"/>
    <w:rsid w:val="00240CBA"/>
    <w:rsid w:val="0024183E"/>
    <w:rsid w:val="00242B53"/>
    <w:rsid w:val="00245B45"/>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D8C"/>
    <w:rsid w:val="002840D7"/>
    <w:rsid w:val="0028724C"/>
    <w:rsid w:val="00295CE0"/>
    <w:rsid w:val="00297110"/>
    <w:rsid w:val="002A2123"/>
    <w:rsid w:val="002A4B7B"/>
    <w:rsid w:val="002A4CB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410F"/>
    <w:rsid w:val="002F6D97"/>
    <w:rsid w:val="00300907"/>
    <w:rsid w:val="00305CA6"/>
    <w:rsid w:val="0030614C"/>
    <w:rsid w:val="00310C7C"/>
    <w:rsid w:val="00312F0F"/>
    <w:rsid w:val="003136AB"/>
    <w:rsid w:val="003158A3"/>
    <w:rsid w:val="00315FA6"/>
    <w:rsid w:val="00316F76"/>
    <w:rsid w:val="0031738C"/>
    <w:rsid w:val="003177D8"/>
    <w:rsid w:val="00322B04"/>
    <w:rsid w:val="00324423"/>
    <w:rsid w:val="003267DB"/>
    <w:rsid w:val="00330838"/>
    <w:rsid w:val="00332036"/>
    <w:rsid w:val="00334254"/>
    <w:rsid w:val="00334BD0"/>
    <w:rsid w:val="0034124C"/>
    <w:rsid w:val="00343B8C"/>
    <w:rsid w:val="00345DBD"/>
    <w:rsid w:val="0034673A"/>
    <w:rsid w:val="00346BDE"/>
    <w:rsid w:val="00347534"/>
    <w:rsid w:val="00350155"/>
    <w:rsid w:val="003503A3"/>
    <w:rsid w:val="00351720"/>
    <w:rsid w:val="0035462A"/>
    <w:rsid w:val="00357381"/>
    <w:rsid w:val="00357B77"/>
    <w:rsid w:val="00370553"/>
    <w:rsid w:val="00370788"/>
    <w:rsid w:val="003839AC"/>
    <w:rsid w:val="003847AD"/>
    <w:rsid w:val="00385481"/>
    <w:rsid w:val="0038776B"/>
    <w:rsid w:val="003A4DF8"/>
    <w:rsid w:val="003A799B"/>
    <w:rsid w:val="003B25C2"/>
    <w:rsid w:val="003B29EF"/>
    <w:rsid w:val="003C0983"/>
    <w:rsid w:val="003C0C98"/>
    <w:rsid w:val="003C162B"/>
    <w:rsid w:val="003C3273"/>
    <w:rsid w:val="003C4EBE"/>
    <w:rsid w:val="003D26D3"/>
    <w:rsid w:val="003D4DF0"/>
    <w:rsid w:val="003E4D4B"/>
    <w:rsid w:val="003E52B7"/>
    <w:rsid w:val="003E7AED"/>
    <w:rsid w:val="003F0360"/>
    <w:rsid w:val="003F69E9"/>
    <w:rsid w:val="003F74A9"/>
    <w:rsid w:val="003F79EC"/>
    <w:rsid w:val="0040575F"/>
    <w:rsid w:val="00406937"/>
    <w:rsid w:val="004103D0"/>
    <w:rsid w:val="004109B6"/>
    <w:rsid w:val="00410BEF"/>
    <w:rsid w:val="004142E4"/>
    <w:rsid w:val="004168F5"/>
    <w:rsid w:val="0041764E"/>
    <w:rsid w:val="00417CE3"/>
    <w:rsid w:val="004203EA"/>
    <w:rsid w:val="00420E76"/>
    <w:rsid w:val="004305FC"/>
    <w:rsid w:val="004363F2"/>
    <w:rsid w:val="00440022"/>
    <w:rsid w:val="00441042"/>
    <w:rsid w:val="00441897"/>
    <w:rsid w:val="00447CBE"/>
    <w:rsid w:val="00447F83"/>
    <w:rsid w:val="00453665"/>
    <w:rsid w:val="00454FC4"/>
    <w:rsid w:val="004560EE"/>
    <w:rsid w:val="00465FF3"/>
    <w:rsid w:val="00466BCF"/>
    <w:rsid w:val="00466D4C"/>
    <w:rsid w:val="004707A8"/>
    <w:rsid w:val="00471E3F"/>
    <w:rsid w:val="004745C5"/>
    <w:rsid w:val="00483989"/>
    <w:rsid w:val="00485018"/>
    <w:rsid w:val="00491564"/>
    <w:rsid w:val="004949DC"/>
    <w:rsid w:val="00494BB1"/>
    <w:rsid w:val="004A0655"/>
    <w:rsid w:val="004A1F72"/>
    <w:rsid w:val="004A4DBF"/>
    <w:rsid w:val="004A595A"/>
    <w:rsid w:val="004B09E7"/>
    <w:rsid w:val="004B4DA1"/>
    <w:rsid w:val="004B5FAA"/>
    <w:rsid w:val="004B784A"/>
    <w:rsid w:val="004C217E"/>
    <w:rsid w:val="004C2B1B"/>
    <w:rsid w:val="004D0553"/>
    <w:rsid w:val="004D2BD4"/>
    <w:rsid w:val="004E1DBE"/>
    <w:rsid w:val="004E2BAE"/>
    <w:rsid w:val="004F0ECD"/>
    <w:rsid w:val="004F21F8"/>
    <w:rsid w:val="004F654A"/>
    <w:rsid w:val="004F6572"/>
    <w:rsid w:val="004F7B53"/>
    <w:rsid w:val="00500D10"/>
    <w:rsid w:val="005062B7"/>
    <w:rsid w:val="0051430C"/>
    <w:rsid w:val="00514DCE"/>
    <w:rsid w:val="00527A2F"/>
    <w:rsid w:val="005313CD"/>
    <w:rsid w:val="00531483"/>
    <w:rsid w:val="005368D8"/>
    <w:rsid w:val="00540E95"/>
    <w:rsid w:val="005414B0"/>
    <w:rsid w:val="00542ED8"/>
    <w:rsid w:val="00543AF1"/>
    <w:rsid w:val="00545812"/>
    <w:rsid w:val="005459B5"/>
    <w:rsid w:val="005461BF"/>
    <w:rsid w:val="005507C7"/>
    <w:rsid w:val="00551655"/>
    <w:rsid w:val="00551BEA"/>
    <w:rsid w:val="00552AB8"/>
    <w:rsid w:val="005546E4"/>
    <w:rsid w:val="0055512A"/>
    <w:rsid w:val="00561A0B"/>
    <w:rsid w:val="00571501"/>
    <w:rsid w:val="00571833"/>
    <w:rsid w:val="00573DC8"/>
    <w:rsid w:val="00573EA6"/>
    <w:rsid w:val="005804DF"/>
    <w:rsid w:val="00585125"/>
    <w:rsid w:val="00585B04"/>
    <w:rsid w:val="00585DB3"/>
    <w:rsid w:val="00586BB1"/>
    <w:rsid w:val="005910CF"/>
    <w:rsid w:val="0059395B"/>
    <w:rsid w:val="005939BC"/>
    <w:rsid w:val="00597A21"/>
    <w:rsid w:val="005A6DEC"/>
    <w:rsid w:val="005A6E0F"/>
    <w:rsid w:val="005A76DF"/>
    <w:rsid w:val="005B0D3E"/>
    <w:rsid w:val="005B643F"/>
    <w:rsid w:val="005B6E18"/>
    <w:rsid w:val="005C23FE"/>
    <w:rsid w:val="005C4C52"/>
    <w:rsid w:val="005C54EA"/>
    <w:rsid w:val="005C5EEA"/>
    <w:rsid w:val="005C64BE"/>
    <w:rsid w:val="005D29EE"/>
    <w:rsid w:val="005D3B3F"/>
    <w:rsid w:val="005D7493"/>
    <w:rsid w:val="005D7CF9"/>
    <w:rsid w:val="005D7D0A"/>
    <w:rsid w:val="005E0E4B"/>
    <w:rsid w:val="005E1910"/>
    <w:rsid w:val="005E1A67"/>
    <w:rsid w:val="005E28A8"/>
    <w:rsid w:val="005E35CA"/>
    <w:rsid w:val="005E46A2"/>
    <w:rsid w:val="005E70F3"/>
    <w:rsid w:val="005E76A2"/>
    <w:rsid w:val="005F0C8F"/>
    <w:rsid w:val="005F0E60"/>
    <w:rsid w:val="005F2B73"/>
    <w:rsid w:val="005F5DFF"/>
    <w:rsid w:val="00601D73"/>
    <w:rsid w:val="006029AA"/>
    <w:rsid w:val="00606701"/>
    <w:rsid w:val="00606B38"/>
    <w:rsid w:val="00613414"/>
    <w:rsid w:val="00614625"/>
    <w:rsid w:val="00615308"/>
    <w:rsid w:val="006166A2"/>
    <w:rsid w:val="0062091F"/>
    <w:rsid w:val="006222D1"/>
    <w:rsid w:val="00623EC6"/>
    <w:rsid w:val="0062704C"/>
    <w:rsid w:val="00630371"/>
    <w:rsid w:val="006333DB"/>
    <w:rsid w:val="00636869"/>
    <w:rsid w:val="00640785"/>
    <w:rsid w:val="0064184B"/>
    <w:rsid w:val="00645D0E"/>
    <w:rsid w:val="0065130D"/>
    <w:rsid w:val="00651CC8"/>
    <w:rsid w:val="0065723D"/>
    <w:rsid w:val="00661195"/>
    <w:rsid w:val="00663634"/>
    <w:rsid w:val="00663ED6"/>
    <w:rsid w:val="0066671F"/>
    <w:rsid w:val="006739D0"/>
    <w:rsid w:val="00675452"/>
    <w:rsid w:val="00677476"/>
    <w:rsid w:val="006818F1"/>
    <w:rsid w:val="006860C4"/>
    <w:rsid w:val="006868C6"/>
    <w:rsid w:val="00686F04"/>
    <w:rsid w:val="00691EDF"/>
    <w:rsid w:val="00697C00"/>
    <w:rsid w:val="006A04D4"/>
    <w:rsid w:val="006A4A47"/>
    <w:rsid w:val="006A5337"/>
    <w:rsid w:val="006B3846"/>
    <w:rsid w:val="006C0E0E"/>
    <w:rsid w:val="006C150D"/>
    <w:rsid w:val="006C475D"/>
    <w:rsid w:val="006D01D2"/>
    <w:rsid w:val="006D3BD3"/>
    <w:rsid w:val="006D6519"/>
    <w:rsid w:val="006E0DB3"/>
    <w:rsid w:val="006E1779"/>
    <w:rsid w:val="006E2225"/>
    <w:rsid w:val="006E2AD8"/>
    <w:rsid w:val="006E36D0"/>
    <w:rsid w:val="006E7A13"/>
    <w:rsid w:val="006F17D1"/>
    <w:rsid w:val="006F525D"/>
    <w:rsid w:val="006F66E5"/>
    <w:rsid w:val="006F7D6D"/>
    <w:rsid w:val="007014B8"/>
    <w:rsid w:val="00701C39"/>
    <w:rsid w:val="0070727C"/>
    <w:rsid w:val="00710733"/>
    <w:rsid w:val="00710F09"/>
    <w:rsid w:val="0071372D"/>
    <w:rsid w:val="007139C5"/>
    <w:rsid w:val="00714F31"/>
    <w:rsid w:val="007205B2"/>
    <w:rsid w:val="00725AAA"/>
    <w:rsid w:val="00726F2A"/>
    <w:rsid w:val="00727D1C"/>
    <w:rsid w:val="00733559"/>
    <w:rsid w:val="00742A50"/>
    <w:rsid w:val="007430C3"/>
    <w:rsid w:val="00743E4F"/>
    <w:rsid w:val="00744181"/>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47B"/>
    <w:rsid w:val="00792070"/>
    <w:rsid w:val="0079350A"/>
    <w:rsid w:val="007938F6"/>
    <w:rsid w:val="0079603F"/>
    <w:rsid w:val="007966F9"/>
    <w:rsid w:val="00796F8C"/>
    <w:rsid w:val="007A0B9C"/>
    <w:rsid w:val="007A604A"/>
    <w:rsid w:val="007A639C"/>
    <w:rsid w:val="007B0F78"/>
    <w:rsid w:val="007B1880"/>
    <w:rsid w:val="007B57CA"/>
    <w:rsid w:val="007C18D2"/>
    <w:rsid w:val="007C63E1"/>
    <w:rsid w:val="007C6709"/>
    <w:rsid w:val="007C7D8D"/>
    <w:rsid w:val="007D1871"/>
    <w:rsid w:val="007D7981"/>
    <w:rsid w:val="007E06C2"/>
    <w:rsid w:val="007E11CC"/>
    <w:rsid w:val="007E3CF9"/>
    <w:rsid w:val="007E4F5F"/>
    <w:rsid w:val="007E5359"/>
    <w:rsid w:val="007E6B2A"/>
    <w:rsid w:val="007E78F0"/>
    <w:rsid w:val="007F4082"/>
    <w:rsid w:val="007F589C"/>
    <w:rsid w:val="008036D1"/>
    <w:rsid w:val="00803DCC"/>
    <w:rsid w:val="008048BA"/>
    <w:rsid w:val="00804DEF"/>
    <w:rsid w:val="008065EF"/>
    <w:rsid w:val="00812DDA"/>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6A48"/>
    <w:rsid w:val="0084740E"/>
    <w:rsid w:val="0085058E"/>
    <w:rsid w:val="00851589"/>
    <w:rsid w:val="00857F79"/>
    <w:rsid w:val="00860D6C"/>
    <w:rsid w:val="00864719"/>
    <w:rsid w:val="00866FDC"/>
    <w:rsid w:val="00867278"/>
    <w:rsid w:val="00870949"/>
    <w:rsid w:val="00871571"/>
    <w:rsid w:val="008718FA"/>
    <w:rsid w:val="00871E06"/>
    <w:rsid w:val="008759F7"/>
    <w:rsid w:val="00875B82"/>
    <w:rsid w:val="00882D02"/>
    <w:rsid w:val="00882FE6"/>
    <w:rsid w:val="00883328"/>
    <w:rsid w:val="00884B14"/>
    <w:rsid w:val="00885A18"/>
    <w:rsid w:val="00886292"/>
    <w:rsid w:val="008862F2"/>
    <w:rsid w:val="0089462F"/>
    <w:rsid w:val="00894ADA"/>
    <w:rsid w:val="00895D07"/>
    <w:rsid w:val="00896ADF"/>
    <w:rsid w:val="00896DC9"/>
    <w:rsid w:val="008A2BA7"/>
    <w:rsid w:val="008A57C4"/>
    <w:rsid w:val="008A5E72"/>
    <w:rsid w:val="008A62A6"/>
    <w:rsid w:val="008A7CC2"/>
    <w:rsid w:val="008B0C9E"/>
    <w:rsid w:val="008B23D1"/>
    <w:rsid w:val="008B3998"/>
    <w:rsid w:val="008B3DA6"/>
    <w:rsid w:val="008B63D1"/>
    <w:rsid w:val="008B76F1"/>
    <w:rsid w:val="008C06BC"/>
    <w:rsid w:val="008C2A4D"/>
    <w:rsid w:val="008C374A"/>
    <w:rsid w:val="008C634B"/>
    <w:rsid w:val="008D0874"/>
    <w:rsid w:val="008D2E4C"/>
    <w:rsid w:val="008D5208"/>
    <w:rsid w:val="008D60A9"/>
    <w:rsid w:val="008E0A0E"/>
    <w:rsid w:val="008E17C2"/>
    <w:rsid w:val="008E2443"/>
    <w:rsid w:val="008E24DD"/>
    <w:rsid w:val="008E7F27"/>
    <w:rsid w:val="008F0071"/>
    <w:rsid w:val="008F0863"/>
    <w:rsid w:val="008F0D7B"/>
    <w:rsid w:val="008F1F50"/>
    <w:rsid w:val="008F4683"/>
    <w:rsid w:val="008F5F51"/>
    <w:rsid w:val="00905FA2"/>
    <w:rsid w:val="00913FA7"/>
    <w:rsid w:val="009143BC"/>
    <w:rsid w:val="00914C06"/>
    <w:rsid w:val="00916EDE"/>
    <w:rsid w:val="0092671F"/>
    <w:rsid w:val="009274F1"/>
    <w:rsid w:val="00945F53"/>
    <w:rsid w:val="00950FA2"/>
    <w:rsid w:val="00951346"/>
    <w:rsid w:val="00952ACA"/>
    <w:rsid w:val="00955EA4"/>
    <w:rsid w:val="0095709F"/>
    <w:rsid w:val="00963E81"/>
    <w:rsid w:val="00970069"/>
    <w:rsid w:val="00970BD7"/>
    <w:rsid w:val="0097301C"/>
    <w:rsid w:val="00974C0B"/>
    <w:rsid w:val="009763BE"/>
    <w:rsid w:val="00977594"/>
    <w:rsid w:val="00977D3B"/>
    <w:rsid w:val="00980D41"/>
    <w:rsid w:val="00981B8B"/>
    <w:rsid w:val="009857A4"/>
    <w:rsid w:val="00987CB3"/>
    <w:rsid w:val="009945E7"/>
    <w:rsid w:val="009A09AD"/>
    <w:rsid w:val="009A1357"/>
    <w:rsid w:val="009A1B87"/>
    <w:rsid w:val="009A1D7E"/>
    <w:rsid w:val="009A3880"/>
    <w:rsid w:val="009A5FAE"/>
    <w:rsid w:val="009A6367"/>
    <w:rsid w:val="009B4453"/>
    <w:rsid w:val="009B5114"/>
    <w:rsid w:val="009B5615"/>
    <w:rsid w:val="009B5B6A"/>
    <w:rsid w:val="009C0F29"/>
    <w:rsid w:val="009C6BBE"/>
    <w:rsid w:val="009D06F7"/>
    <w:rsid w:val="009D23CF"/>
    <w:rsid w:val="009D28D0"/>
    <w:rsid w:val="009D36DB"/>
    <w:rsid w:val="009D6579"/>
    <w:rsid w:val="009E28E8"/>
    <w:rsid w:val="009E3070"/>
    <w:rsid w:val="009F29DB"/>
    <w:rsid w:val="009F3363"/>
    <w:rsid w:val="009F715C"/>
    <w:rsid w:val="009F741B"/>
    <w:rsid w:val="00A033C0"/>
    <w:rsid w:val="00A053B6"/>
    <w:rsid w:val="00A10FFA"/>
    <w:rsid w:val="00A11A40"/>
    <w:rsid w:val="00A17722"/>
    <w:rsid w:val="00A205A6"/>
    <w:rsid w:val="00A22BC9"/>
    <w:rsid w:val="00A230A3"/>
    <w:rsid w:val="00A2788E"/>
    <w:rsid w:val="00A27F7E"/>
    <w:rsid w:val="00A3088C"/>
    <w:rsid w:val="00A31C34"/>
    <w:rsid w:val="00A32FC8"/>
    <w:rsid w:val="00A359C7"/>
    <w:rsid w:val="00A41059"/>
    <w:rsid w:val="00A44327"/>
    <w:rsid w:val="00A45645"/>
    <w:rsid w:val="00A46DEC"/>
    <w:rsid w:val="00A50A6E"/>
    <w:rsid w:val="00A52C12"/>
    <w:rsid w:val="00A541AC"/>
    <w:rsid w:val="00A546AE"/>
    <w:rsid w:val="00A54B64"/>
    <w:rsid w:val="00A55F9D"/>
    <w:rsid w:val="00A560E9"/>
    <w:rsid w:val="00A57189"/>
    <w:rsid w:val="00A6056A"/>
    <w:rsid w:val="00A63715"/>
    <w:rsid w:val="00A645E8"/>
    <w:rsid w:val="00A65901"/>
    <w:rsid w:val="00A6755C"/>
    <w:rsid w:val="00A75331"/>
    <w:rsid w:val="00A913AD"/>
    <w:rsid w:val="00A93BBE"/>
    <w:rsid w:val="00A957C8"/>
    <w:rsid w:val="00A96557"/>
    <w:rsid w:val="00AA2BC5"/>
    <w:rsid w:val="00AA4E8C"/>
    <w:rsid w:val="00AB3B11"/>
    <w:rsid w:val="00AC3FE2"/>
    <w:rsid w:val="00AC5642"/>
    <w:rsid w:val="00AC6793"/>
    <w:rsid w:val="00AD3642"/>
    <w:rsid w:val="00AD69E1"/>
    <w:rsid w:val="00AE047D"/>
    <w:rsid w:val="00AF2061"/>
    <w:rsid w:val="00AF492B"/>
    <w:rsid w:val="00AF5526"/>
    <w:rsid w:val="00AF559D"/>
    <w:rsid w:val="00B0451B"/>
    <w:rsid w:val="00B165B3"/>
    <w:rsid w:val="00B22538"/>
    <w:rsid w:val="00B250A9"/>
    <w:rsid w:val="00B25566"/>
    <w:rsid w:val="00B25BB4"/>
    <w:rsid w:val="00B3220B"/>
    <w:rsid w:val="00B37975"/>
    <w:rsid w:val="00B4244E"/>
    <w:rsid w:val="00B51FEC"/>
    <w:rsid w:val="00B556EB"/>
    <w:rsid w:val="00B574F5"/>
    <w:rsid w:val="00B62C31"/>
    <w:rsid w:val="00B643CD"/>
    <w:rsid w:val="00B733AC"/>
    <w:rsid w:val="00B872B6"/>
    <w:rsid w:val="00B8742B"/>
    <w:rsid w:val="00B907C8"/>
    <w:rsid w:val="00B94282"/>
    <w:rsid w:val="00B945DC"/>
    <w:rsid w:val="00B95AAB"/>
    <w:rsid w:val="00B95E79"/>
    <w:rsid w:val="00BA2EC6"/>
    <w:rsid w:val="00BA674C"/>
    <w:rsid w:val="00BA6F0E"/>
    <w:rsid w:val="00BB190D"/>
    <w:rsid w:val="00BB48DC"/>
    <w:rsid w:val="00BB6B5B"/>
    <w:rsid w:val="00BB6C66"/>
    <w:rsid w:val="00BC2526"/>
    <w:rsid w:val="00BD0976"/>
    <w:rsid w:val="00BD3E79"/>
    <w:rsid w:val="00BD4094"/>
    <w:rsid w:val="00BD674B"/>
    <w:rsid w:val="00BD6A0C"/>
    <w:rsid w:val="00BD790C"/>
    <w:rsid w:val="00BE3C30"/>
    <w:rsid w:val="00BE62D1"/>
    <w:rsid w:val="00BF2BE8"/>
    <w:rsid w:val="00BF3D9F"/>
    <w:rsid w:val="00BF3E5C"/>
    <w:rsid w:val="00BF6EDA"/>
    <w:rsid w:val="00C019A5"/>
    <w:rsid w:val="00C074F8"/>
    <w:rsid w:val="00C10A8A"/>
    <w:rsid w:val="00C1246C"/>
    <w:rsid w:val="00C1759D"/>
    <w:rsid w:val="00C23256"/>
    <w:rsid w:val="00C23D88"/>
    <w:rsid w:val="00C2726D"/>
    <w:rsid w:val="00C34E8E"/>
    <w:rsid w:val="00C36579"/>
    <w:rsid w:val="00C451DC"/>
    <w:rsid w:val="00C45907"/>
    <w:rsid w:val="00C45F53"/>
    <w:rsid w:val="00C47DCA"/>
    <w:rsid w:val="00C50A2F"/>
    <w:rsid w:val="00C533FF"/>
    <w:rsid w:val="00C55AA6"/>
    <w:rsid w:val="00C561A7"/>
    <w:rsid w:val="00C56F78"/>
    <w:rsid w:val="00C618B2"/>
    <w:rsid w:val="00C6254B"/>
    <w:rsid w:val="00C62805"/>
    <w:rsid w:val="00C652A2"/>
    <w:rsid w:val="00C6582D"/>
    <w:rsid w:val="00C65D79"/>
    <w:rsid w:val="00C70D62"/>
    <w:rsid w:val="00C74B62"/>
    <w:rsid w:val="00C74DCE"/>
    <w:rsid w:val="00C76FAE"/>
    <w:rsid w:val="00C773A0"/>
    <w:rsid w:val="00C77592"/>
    <w:rsid w:val="00C77FCE"/>
    <w:rsid w:val="00C85182"/>
    <w:rsid w:val="00C96429"/>
    <w:rsid w:val="00CA0108"/>
    <w:rsid w:val="00CA1E94"/>
    <w:rsid w:val="00CA1EDB"/>
    <w:rsid w:val="00CA3D3D"/>
    <w:rsid w:val="00CA3FC1"/>
    <w:rsid w:val="00CB09EB"/>
    <w:rsid w:val="00CB155C"/>
    <w:rsid w:val="00CB40F2"/>
    <w:rsid w:val="00CB60B6"/>
    <w:rsid w:val="00CC1F13"/>
    <w:rsid w:val="00CC57A2"/>
    <w:rsid w:val="00CC67D9"/>
    <w:rsid w:val="00CD3407"/>
    <w:rsid w:val="00CD345A"/>
    <w:rsid w:val="00CD3832"/>
    <w:rsid w:val="00CD65CF"/>
    <w:rsid w:val="00CE74AE"/>
    <w:rsid w:val="00CF34CA"/>
    <w:rsid w:val="00CF3F82"/>
    <w:rsid w:val="00CF4EF4"/>
    <w:rsid w:val="00CF6019"/>
    <w:rsid w:val="00CF7A09"/>
    <w:rsid w:val="00D01327"/>
    <w:rsid w:val="00D01BCD"/>
    <w:rsid w:val="00D022BA"/>
    <w:rsid w:val="00D028A9"/>
    <w:rsid w:val="00D03199"/>
    <w:rsid w:val="00D11652"/>
    <w:rsid w:val="00D1203D"/>
    <w:rsid w:val="00D134BA"/>
    <w:rsid w:val="00D13520"/>
    <w:rsid w:val="00D1522F"/>
    <w:rsid w:val="00D16706"/>
    <w:rsid w:val="00D16B31"/>
    <w:rsid w:val="00D20322"/>
    <w:rsid w:val="00D21339"/>
    <w:rsid w:val="00D23CBD"/>
    <w:rsid w:val="00D24903"/>
    <w:rsid w:val="00D3166F"/>
    <w:rsid w:val="00D320A0"/>
    <w:rsid w:val="00D34428"/>
    <w:rsid w:val="00D35D5E"/>
    <w:rsid w:val="00D35E77"/>
    <w:rsid w:val="00D4086F"/>
    <w:rsid w:val="00D410CC"/>
    <w:rsid w:val="00D435D1"/>
    <w:rsid w:val="00D43622"/>
    <w:rsid w:val="00D44743"/>
    <w:rsid w:val="00D47DFE"/>
    <w:rsid w:val="00D50582"/>
    <w:rsid w:val="00D5519A"/>
    <w:rsid w:val="00D621C3"/>
    <w:rsid w:val="00D628B8"/>
    <w:rsid w:val="00D63DFB"/>
    <w:rsid w:val="00D67BE7"/>
    <w:rsid w:val="00D7148F"/>
    <w:rsid w:val="00D716E0"/>
    <w:rsid w:val="00D7196A"/>
    <w:rsid w:val="00D7619B"/>
    <w:rsid w:val="00D768A4"/>
    <w:rsid w:val="00D82EAF"/>
    <w:rsid w:val="00D83985"/>
    <w:rsid w:val="00D843A3"/>
    <w:rsid w:val="00D84C48"/>
    <w:rsid w:val="00D855F1"/>
    <w:rsid w:val="00D86A08"/>
    <w:rsid w:val="00D91CAC"/>
    <w:rsid w:val="00DA15D7"/>
    <w:rsid w:val="00DA2265"/>
    <w:rsid w:val="00DA3F6A"/>
    <w:rsid w:val="00DA5E38"/>
    <w:rsid w:val="00DB0B51"/>
    <w:rsid w:val="00DB4E25"/>
    <w:rsid w:val="00DB5131"/>
    <w:rsid w:val="00DB592D"/>
    <w:rsid w:val="00DB59F2"/>
    <w:rsid w:val="00DB663B"/>
    <w:rsid w:val="00DB7200"/>
    <w:rsid w:val="00DC2CF7"/>
    <w:rsid w:val="00DC4BCE"/>
    <w:rsid w:val="00DC5C92"/>
    <w:rsid w:val="00DD041C"/>
    <w:rsid w:val="00DD0541"/>
    <w:rsid w:val="00DD4160"/>
    <w:rsid w:val="00DD5128"/>
    <w:rsid w:val="00DD7708"/>
    <w:rsid w:val="00DD7AA1"/>
    <w:rsid w:val="00DE1369"/>
    <w:rsid w:val="00DE1807"/>
    <w:rsid w:val="00DE5431"/>
    <w:rsid w:val="00DE6E43"/>
    <w:rsid w:val="00DF0FFC"/>
    <w:rsid w:val="00DF1390"/>
    <w:rsid w:val="00DF1518"/>
    <w:rsid w:val="00DF2B69"/>
    <w:rsid w:val="00DF3D96"/>
    <w:rsid w:val="00DF6FDE"/>
    <w:rsid w:val="00E0232E"/>
    <w:rsid w:val="00E02897"/>
    <w:rsid w:val="00E100A2"/>
    <w:rsid w:val="00E10E77"/>
    <w:rsid w:val="00E15092"/>
    <w:rsid w:val="00E16264"/>
    <w:rsid w:val="00E20BB3"/>
    <w:rsid w:val="00E307F0"/>
    <w:rsid w:val="00E31A40"/>
    <w:rsid w:val="00E32D0C"/>
    <w:rsid w:val="00E33A0F"/>
    <w:rsid w:val="00E3592C"/>
    <w:rsid w:val="00E404E5"/>
    <w:rsid w:val="00E4254A"/>
    <w:rsid w:val="00E42E76"/>
    <w:rsid w:val="00E4319B"/>
    <w:rsid w:val="00E446B5"/>
    <w:rsid w:val="00E45024"/>
    <w:rsid w:val="00E47212"/>
    <w:rsid w:val="00E4779E"/>
    <w:rsid w:val="00E5070A"/>
    <w:rsid w:val="00E51594"/>
    <w:rsid w:val="00E5207B"/>
    <w:rsid w:val="00E54B53"/>
    <w:rsid w:val="00E54C0E"/>
    <w:rsid w:val="00E57F16"/>
    <w:rsid w:val="00E63A39"/>
    <w:rsid w:val="00E64C7A"/>
    <w:rsid w:val="00E65650"/>
    <w:rsid w:val="00E679D5"/>
    <w:rsid w:val="00E75CE7"/>
    <w:rsid w:val="00E853FF"/>
    <w:rsid w:val="00E95B8C"/>
    <w:rsid w:val="00EA256C"/>
    <w:rsid w:val="00EA32E6"/>
    <w:rsid w:val="00EA60A1"/>
    <w:rsid w:val="00EA6571"/>
    <w:rsid w:val="00EA7914"/>
    <w:rsid w:val="00EA7F74"/>
    <w:rsid w:val="00EB0CE3"/>
    <w:rsid w:val="00EB202D"/>
    <w:rsid w:val="00EB4F0E"/>
    <w:rsid w:val="00EB5902"/>
    <w:rsid w:val="00EB793D"/>
    <w:rsid w:val="00EB7EA8"/>
    <w:rsid w:val="00EC003B"/>
    <w:rsid w:val="00EC2D04"/>
    <w:rsid w:val="00EC783E"/>
    <w:rsid w:val="00EE1521"/>
    <w:rsid w:val="00EE1DA5"/>
    <w:rsid w:val="00EE552F"/>
    <w:rsid w:val="00EE5DD0"/>
    <w:rsid w:val="00EE6331"/>
    <w:rsid w:val="00EE77DA"/>
    <w:rsid w:val="00EF1FEF"/>
    <w:rsid w:val="00EF461C"/>
    <w:rsid w:val="00F149AC"/>
    <w:rsid w:val="00F16195"/>
    <w:rsid w:val="00F16584"/>
    <w:rsid w:val="00F17D0F"/>
    <w:rsid w:val="00F200A4"/>
    <w:rsid w:val="00F21381"/>
    <w:rsid w:val="00F218D5"/>
    <w:rsid w:val="00F23237"/>
    <w:rsid w:val="00F2333D"/>
    <w:rsid w:val="00F356F9"/>
    <w:rsid w:val="00F36FCC"/>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66392"/>
    <w:rsid w:val="00F70D53"/>
    <w:rsid w:val="00F7257A"/>
    <w:rsid w:val="00F7335B"/>
    <w:rsid w:val="00F76419"/>
    <w:rsid w:val="00F778F5"/>
    <w:rsid w:val="00F821FA"/>
    <w:rsid w:val="00F83A13"/>
    <w:rsid w:val="00F85A23"/>
    <w:rsid w:val="00F90A22"/>
    <w:rsid w:val="00F91411"/>
    <w:rsid w:val="00FA07A8"/>
    <w:rsid w:val="00FA15C3"/>
    <w:rsid w:val="00FA6160"/>
    <w:rsid w:val="00FB0DE6"/>
    <w:rsid w:val="00FB2E30"/>
    <w:rsid w:val="00FB5A43"/>
    <w:rsid w:val="00FB6159"/>
    <w:rsid w:val="00FC4500"/>
    <w:rsid w:val="00FD61FB"/>
    <w:rsid w:val="00FD7ED7"/>
    <w:rsid w:val="00FE1297"/>
    <w:rsid w:val="00FE3BAD"/>
    <w:rsid w:val="00FE3CF9"/>
    <w:rsid w:val="00FF1020"/>
    <w:rsid w:val="00FF2F97"/>
    <w:rsid w:val="00FF3206"/>
    <w:rsid w:val="00FF725E"/>
    <w:rsid w:val="00FF781C"/>
    <w:rsid w:val="1B187D5B"/>
    <w:rsid w:val="3E66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footnote text" w:semiHidden="1" w:qFormat="1"/>
    <w:lsdException w:name="footer" w:uiPriority="99"/>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footnote text" w:semiHidden="1" w:qFormat="1"/>
    <w:lsdException w:name="footer" w:uiPriority="99"/>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F1A05-098E-425D-8A91-6709B223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351</Words>
  <Characters>2003</Characters>
  <Application>Microsoft Office Word</Application>
  <DocSecurity>0</DocSecurity>
  <Lines>16</Lines>
  <Paragraphs>4</Paragraphs>
  <ScaleCrop>false</ScaleCrop>
  <Company>COMMONORG</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魏玮</cp:lastModifiedBy>
  <cp:revision>38</cp:revision>
  <cp:lastPrinted>2020-04-02T03:02:00Z</cp:lastPrinted>
  <dcterms:created xsi:type="dcterms:W3CDTF">2020-04-10T02:49:00Z</dcterms:created>
  <dcterms:modified xsi:type="dcterms:W3CDTF">2020-12-17T07:21:00Z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