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2B3A" w:rsidRDefault="00BF73B9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A股代码</w:t>
      </w:r>
      <w:r>
        <w:rPr>
          <w:rFonts w:ascii="宋体" w:hAnsi="宋体"/>
          <w:b/>
          <w:sz w:val="24"/>
          <w:szCs w:val="24"/>
        </w:rPr>
        <w:t>：</w:t>
      </w:r>
      <w:r>
        <w:rPr>
          <w:rFonts w:ascii="宋体" w:hAnsi="宋体" w:hint="eastAsia"/>
          <w:b/>
          <w:sz w:val="24"/>
          <w:szCs w:val="24"/>
        </w:rPr>
        <w:t>6</w:t>
      </w:r>
      <w:r>
        <w:rPr>
          <w:rFonts w:ascii="宋体" w:hAnsi="宋体"/>
          <w:b/>
          <w:sz w:val="24"/>
          <w:szCs w:val="24"/>
        </w:rPr>
        <w:t xml:space="preserve">01166              </w:t>
      </w:r>
      <w:r>
        <w:rPr>
          <w:rFonts w:ascii="宋体" w:hAnsi="宋体" w:hint="eastAsia"/>
          <w:b/>
          <w:sz w:val="24"/>
          <w:szCs w:val="24"/>
        </w:rPr>
        <w:t>A股简称</w:t>
      </w:r>
      <w:r>
        <w:rPr>
          <w:rFonts w:ascii="宋体" w:hAnsi="宋体"/>
          <w:b/>
          <w:sz w:val="24"/>
          <w:szCs w:val="24"/>
        </w:rPr>
        <w:t>：</w:t>
      </w:r>
      <w:r>
        <w:rPr>
          <w:rFonts w:ascii="宋体" w:hAnsi="宋体" w:hint="eastAsia"/>
          <w:b/>
          <w:sz w:val="24"/>
          <w:szCs w:val="24"/>
        </w:rPr>
        <w:t>兴业银行</w:t>
      </w:r>
      <w:r>
        <w:rPr>
          <w:rFonts w:ascii="宋体" w:hAnsi="宋体"/>
          <w:b/>
          <w:sz w:val="24"/>
          <w:szCs w:val="24"/>
        </w:rPr>
        <w:t xml:space="preserve">           编号：临20</w:t>
      </w:r>
      <w:r>
        <w:rPr>
          <w:rFonts w:ascii="宋体" w:hAnsi="宋体" w:hint="eastAsia"/>
          <w:b/>
          <w:sz w:val="24"/>
          <w:szCs w:val="24"/>
        </w:rPr>
        <w:t>21</w:t>
      </w:r>
      <w:r>
        <w:rPr>
          <w:rFonts w:ascii="宋体" w:hAnsi="宋体"/>
          <w:b/>
          <w:sz w:val="24"/>
          <w:szCs w:val="24"/>
        </w:rPr>
        <w:t>-</w:t>
      </w:r>
      <w:r>
        <w:rPr>
          <w:rFonts w:ascii="宋体" w:hAnsi="宋体" w:hint="eastAsia"/>
          <w:b/>
          <w:sz w:val="24"/>
          <w:szCs w:val="24"/>
        </w:rPr>
        <w:t>001</w:t>
      </w:r>
    </w:p>
    <w:p w:rsidR="00E52B3A" w:rsidRDefault="00BF73B9">
      <w:pPr>
        <w:spacing w:line="360" w:lineRule="auto"/>
        <w:ind w:leftChars="-50" w:left="-105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优先股代码：360005、360012、3</w:t>
      </w:r>
      <w:r>
        <w:rPr>
          <w:rFonts w:ascii="宋体" w:hAnsi="宋体"/>
          <w:b/>
          <w:sz w:val="24"/>
          <w:szCs w:val="24"/>
        </w:rPr>
        <w:t xml:space="preserve">60032  </w:t>
      </w:r>
      <w:r>
        <w:rPr>
          <w:rFonts w:ascii="宋体" w:hAnsi="宋体" w:hint="eastAsia"/>
          <w:b/>
          <w:sz w:val="24"/>
          <w:szCs w:val="24"/>
        </w:rPr>
        <w:t>优先股简称：兴业优1、兴业优2、兴业优3</w:t>
      </w:r>
    </w:p>
    <w:p w:rsidR="00E52B3A" w:rsidRDefault="00E52B3A">
      <w:pPr>
        <w:pStyle w:val="a7"/>
        <w:adjustRightInd w:val="0"/>
        <w:snapToGrid w:val="0"/>
        <w:spacing w:before="0" w:beforeAutospacing="0" w:after="0" w:afterAutospacing="0"/>
        <w:rPr>
          <w:rFonts w:cs="Times New Roman"/>
          <w:color w:val="000000"/>
          <w:kern w:val="2"/>
          <w:szCs w:val="20"/>
        </w:rPr>
      </w:pPr>
    </w:p>
    <w:p w:rsidR="00E52B3A" w:rsidRDefault="00BF73B9">
      <w:pPr>
        <w:widowControl/>
        <w:ind w:left="11" w:hanging="11"/>
        <w:jc w:val="center"/>
        <w:rPr>
          <w:rFonts w:ascii="黑体" w:eastAsia="黑体" w:hAnsi="黑体" w:cs="微软雅黑"/>
          <w:color w:val="FF0000"/>
          <w:sz w:val="36"/>
          <w:szCs w:val="22"/>
        </w:rPr>
      </w:pPr>
      <w:r>
        <w:rPr>
          <w:rFonts w:ascii="黑体" w:eastAsia="黑体" w:hAnsi="黑体" w:cs="微软雅黑" w:hint="eastAsia"/>
          <w:color w:val="FF0000"/>
          <w:sz w:val="36"/>
          <w:szCs w:val="22"/>
        </w:rPr>
        <w:t>兴业银行股份有限公司</w:t>
      </w:r>
    </w:p>
    <w:p w:rsidR="00E52B3A" w:rsidRDefault="00BF73B9">
      <w:pPr>
        <w:widowControl/>
        <w:ind w:left="11" w:hanging="11"/>
        <w:jc w:val="center"/>
        <w:rPr>
          <w:rFonts w:ascii="黑体" w:eastAsia="黑体" w:hAnsi="黑体" w:cs="微软雅黑"/>
          <w:color w:val="FF0000"/>
          <w:sz w:val="36"/>
          <w:szCs w:val="22"/>
        </w:rPr>
      </w:pPr>
      <w:r>
        <w:rPr>
          <w:rFonts w:ascii="黑体" w:eastAsia="黑体" w:hAnsi="黑体" w:cs="微软雅黑" w:hint="eastAsia"/>
          <w:color w:val="FF0000"/>
          <w:sz w:val="36"/>
          <w:szCs w:val="22"/>
        </w:rPr>
        <w:t>2020年度业绩快报</w:t>
      </w:r>
      <w:r>
        <w:rPr>
          <w:rFonts w:ascii="黑体" w:eastAsia="黑体" w:hint="eastAsia"/>
          <w:color w:val="FF0000"/>
          <w:sz w:val="36"/>
          <w:szCs w:val="36"/>
        </w:rPr>
        <w:t>公告</w:t>
      </w:r>
    </w:p>
    <w:p w:rsidR="00E52B3A" w:rsidRDefault="00E52B3A">
      <w:pPr>
        <w:pStyle w:val="a7"/>
        <w:adjustRightInd w:val="0"/>
        <w:snapToGrid w:val="0"/>
        <w:spacing w:before="0" w:beforeAutospacing="0" w:after="0" w:afterAutospacing="0"/>
        <w:ind w:firstLineChars="200" w:firstLine="480"/>
        <w:rPr>
          <w:rFonts w:cs="Times New Roman"/>
          <w:color w:val="000000"/>
          <w:kern w:val="2"/>
          <w:szCs w:val="20"/>
        </w:rPr>
      </w:pPr>
    </w:p>
    <w:p w:rsidR="00E52B3A" w:rsidRDefault="00BF73B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E52B3A" w:rsidRDefault="00E52B3A">
      <w:pPr>
        <w:pStyle w:val="a7"/>
        <w:adjustRightInd w:val="0"/>
        <w:snapToGrid w:val="0"/>
        <w:spacing w:before="0" w:beforeAutospacing="0" w:after="0" w:afterAutospacing="0"/>
        <w:ind w:firstLineChars="200" w:firstLine="480"/>
      </w:pPr>
    </w:p>
    <w:p w:rsidR="00E52B3A" w:rsidRDefault="00BF73B9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 w:cs="宋体-WinCharSetFFFF-H"/>
          <w:kern w:val="0"/>
          <w:sz w:val="24"/>
        </w:rPr>
      </w:pPr>
      <w:r>
        <w:rPr>
          <w:rFonts w:ascii="宋体" w:hAnsi="宋体" w:cs="宋体-WinCharSetFFFF-H" w:hint="eastAsia"/>
          <w:kern w:val="0"/>
          <w:sz w:val="24"/>
        </w:rPr>
        <w:t>本公告所载</w:t>
      </w:r>
      <w:r>
        <w:rPr>
          <w:rFonts w:ascii="宋体" w:hAnsi="宋体" w:cs="宋体-WinCharSetFFFF-H"/>
          <w:kern w:val="0"/>
          <w:sz w:val="24"/>
        </w:rPr>
        <w:t>20</w:t>
      </w:r>
      <w:r>
        <w:rPr>
          <w:rFonts w:ascii="宋体" w:hAnsi="宋体" w:cs="宋体-WinCharSetFFFF-H" w:hint="eastAsia"/>
          <w:kern w:val="0"/>
          <w:sz w:val="24"/>
        </w:rPr>
        <w:t>20年度主要财务数据为初步核算的集团口径数据，未经会计师事务所审计，具体数据以公司</w:t>
      </w:r>
      <w:r>
        <w:rPr>
          <w:rFonts w:ascii="宋体" w:hAnsi="宋体" w:cs="宋体-WinCharSetFFFF-H"/>
          <w:kern w:val="0"/>
          <w:sz w:val="24"/>
        </w:rPr>
        <w:t>20</w:t>
      </w:r>
      <w:r>
        <w:rPr>
          <w:rFonts w:ascii="宋体" w:hAnsi="宋体" w:cs="宋体-WinCharSetFFFF-H" w:hint="eastAsia"/>
          <w:kern w:val="0"/>
          <w:sz w:val="24"/>
        </w:rPr>
        <w:t>20年年度报告中披露的数据为准，请投资者注意投资风险。</w:t>
      </w:r>
    </w:p>
    <w:p w:rsidR="00E52B3A" w:rsidRDefault="00BF73B9">
      <w:pPr>
        <w:pStyle w:val="a7"/>
        <w:spacing w:after="0" w:afterAutospacing="0"/>
        <w:ind w:firstLineChars="200" w:firstLine="480"/>
        <w:rPr>
          <w:rFonts w:cs="Arial"/>
        </w:rPr>
      </w:pPr>
      <w:r>
        <w:rPr>
          <w:rFonts w:cs="Arial" w:hint="eastAsia"/>
        </w:rPr>
        <w:t>一、主要</w:t>
      </w:r>
      <w:r>
        <w:rPr>
          <w:rFonts w:cs="Arial"/>
        </w:rPr>
        <w:t>财务数据和</w:t>
      </w:r>
      <w:r>
        <w:rPr>
          <w:rFonts w:cs="Arial" w:hint="eastAsia"/>
        </w:rPr>
        <w:t>指标</w:t>
      </w:r>
    </w:p>
    <w:p w:rsidR="00E52B3A" w:rsidRDefault="00BF73B9">
      <w:pPr>
        <w:pStyle w:val="a7"/>
        <w:spacing w:before="0" w:beforeAutospacing="0" w:after="0" w:afterAutospacing="0" w:line="360" w:lineRule="exact"/>
        <w:rPr>
          <w:rFonts w:cs="Arial"/>
        </w:rPr>
      </w:pPr>
      <w:r>
        <w:rPr>
          <w:rFonts w:cs="Arial" w:hint="eastAsia"/>
        </w:rPr>
        <w:t xml:space="preserve">                                                       单位：人民币百万元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2126"/>
        <w:gridCol w:w="2126"/>
        <w:gridCol w:w="2016"/>
      </w:tblGrid>
      <w:tr w:rsidR="00E52B3A">
        <w:trPr>
          <w:trHeight w:val="624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项目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2020年</w:t>
            </w:r>
          </w:p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(未经审计)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2019年</w:t>
            </w:r>
          </w:p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（经审计）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增减变动幅度（%）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营业收入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>03</w:t>
            </w:r>
            <w:r>
              <w:rPr>
                <w:rFonts w:cs="Arial" w:hint="eastAsia"/>
              </w:rPr>
              <w:t>,</w:t>
            </w:r>
            <w:r>
              <w:rPr>
                <w:rFonts w:cs="Arial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81</w:t>
            </w:r>
            <w:r>
              <w:rPr>
                <w:rFonts w:ascii="宋体" w:hAnsi="宋体" w:cs="宋体" w:hint="eastAsia"/>
                <w:sz w:val="24"/>
                <w:szCs w:val="24"/>
              </w:rPr>
              <w:t>,3</w:t>
            </w:r>
            <w:r>
              <w:rPr>
                <w:rFonts w:ascii="宋体" w:hAnsi="宋体" w:cs="宋体"/>
                <w:sz w:val="24"/>
                <w:szCs w:val="24"/>
              </w:rPr>
              <w:t>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2.04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  <w:bCs/>
              </w:rPr>
              <w:t>拨备前利润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/>
              </w:rPr>
              <w:t>151,974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/>
              </w:rPr>
              <w:t>132,362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/>
              </w:rPr>
              <w:t>14.82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营业利润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7</w:t>
            </w:r>
            <w:r>
              <w:rPr>
                <w:rFonts w:cs="Arial"/>
              </w:rPr>
              <w:t>6</w:t>
            </w:r>
            <w:r>
              <w:rPr>
                <w:rFonts w:cs="Arial" w:hint="eastAsia"/>
              </w:rPr>
              <w:t>,</w:t>
            </w:r>
            <w:r>
              <w:rPr>
                <w:rFonts w:cs="Arial"/>
              </w:rPr>
              <w:t>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sz w:val="24"/>
                <w:szCs w:val="24"/>
              </w:rPr>
              <w:t>4,266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3</w:t>
            </w:r>
            <w:r>
              <w:rPr>
                <w:rFonts w:cs="Arial"/>
              </w:rPr>
              <w:t>.07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利润总额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7</w:t>
            </w:r>
            <w:r>
              <w:rPr>
                <w:rFonts w:cs="Arial"/>
              </w:rPr>
              <w:t>6,637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sz w:val="24"/>
                <w:szCs w:val="24"/>
              </w:rPr>
              <w:t>4,503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>.86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归属于母公司股东的净利润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6</w:t>
            </w:r>
            <w:r>
              <w:rPr>
                <w:rFonts w:cs="Arial"/>
              </w:rPr>
              <w:t>6,626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sz w:val="24"/>
                <w:szCs w:val="24"/>
              </w:rPr>
              <w:t>5,868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.15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归属于母公司股东的扣除非经常性损益的净利润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6</w:t>
            </w:r>
            <w:r>
              <w:rPr>
                <w:rFonts w:cs="Arial"/>
              </w:rPr>
              <w:t>6,226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sz w:val="24"/>
                <w:szCs w:val="24"/>
              </w:rPr>
              <w:t>5,458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.17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基本每股收益（元）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3</w:t>
            </w:r>
            <w:r>
              <w:rPr>
                <w:rFonts w:cs="Arial"/>
              </w:rPr>
              <w:t>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.10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right"/>
              <w:rPr>
                <w:rFonts w:cs="Arial"/>
              </w:rPr>
            </w:pPr>
            <w:r>
              <w:rPr>
                <w:rFonts w:cs="Arial"/>
              </w:rPr>
              <w:t>(</w:t>
            </w:r>
            <w:r>
              <w:rPr>
                <w:rFonts w:cs="Arial" w:hint="eastAsia"/>
              </w:rPr>
              <w:t>0</w:t>
            </w:r>
            <w:r>
              <w:rPr>
                <w:rFonts w:cs="Arial"/>
              </w:rPr>
              <w:t>.65)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加权平均净资产收益率</w:t>
            </w:r>
            <w:r>
              <w:rPr>
                <w:rFonts w:hint="eastAsia"/>
              </w:rPr>
              <w:t>（%）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2.62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4.02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A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jc w:val="right"/>
            </w:pPr>
            <w:r>
              <w:rPr>
                <w:rFonts w:hint="eastAsia"/>
              </w:rPr>
              <w:t>下降1</w:t>
            </w:r>
            <w:r>
              <w:t>.40个</w:t>
            </w:r>
          </w:p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jc w:val="right"/>
            </w:pPr>
            <w:r>
              <w:t>百分点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E52B3A">
            <w:pPr>
              <w:pStyle w:val="a7"/>
              <w:adjustRightInd w:val="0"/>
              <w:snapToGrid w:val="0"/>
              <w:spacing w:beforeLines="15" w:before="46" w:beforeAutospacing="0" w:afterLines="15" w:after="46" w:afterAutospacing="0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2020年12月31日</w:t>
            </w:r>
          </w:p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(未经审计)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2019年12月31日</w:t>
            </w:r>
          </w:p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（经审计）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增减变动幅度（%）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总资产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jc w:val="righ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7,8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95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,3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jc w:val="righ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7,1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,6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0.49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总负债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jc w:val="righ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,270,640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jc w:val="righ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,596,029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0.23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归属于母公司股东的所有者权益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6</w:t>
            </w:r>
            <w:r>
              <w:rPr>
                <w:rFonts w:cs="Arial"/>
              </w:rPr>
              <w:t>15</w:t>
            </w:r>
            <w:r>
              <w:rPr>
                <w:rFonts w:cs="Arial" w:hint="eastAsia"/>
              </w:rPr>
              <w:t>,5</w:t>
            </w:r>
            <w:r>
              <w:rPr>
                <w:rFonts w:cs="Arial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spacing w:beforeLines="18" w:before="56" w:afterLines="18" w:after="56"/>
              <w:jc w:val="righ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41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,3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3.70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cs="Arial"/>
              </w:rPr>
            </w:pPr>
            <w:r>
              <w:rPr>
                <w:rFonts w:hint="eastAsia"/>
              </w:rPr>
              <w:t>归属于母公司普通股股东的所有者权益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5</w:t>
            </w:r>
            <w:r>
              <w:rPr>
                <w:rFonts w:cs="Arial"/>
              </w:rPr>
              <w:t>29</w:t>
            </w:r>
            <w:r>
              <w:rPr>
                <w:rFonts w:cs="Arial" w:hint="eastAsia"/>
              </w:rPr>
              <w:t>,7</w:t>
            </w:r>
            <w:r>
              <w:rPr>
                <w:rFonts w:cs="Arial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sz w:val="24"/>
                <w:szCs w:val="24"/>
              </w:rPr>
              <w:t>85</w:t>
            </w:r>
            <w:r>
              <w:rPr>
                <w:rFonts w:ascii="宋体" w:hAnsi="宋体" w:cs="宋体" w:hint="eastAsia"/>
                <w:sz w:val="24"/>
                <w:szCs w:val="24"/>
              </w:rPr>
              <w:t>,</w:t>
            </w:r>
            <w:r>
              <w:rPr>
                <w:rFonts w:ascii="宋体" w:hAnsi="宋体" w:cs="宋体"/>
                <w:sz w:val="24"/>
                <w:szCs w:val="24"/>
              </w:rPr>
              <w:t>518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9</w:t>
            </w:r>
            <w:r>
              <w:rPr>
                <w:rFonts w:cs="Arial"/>
              </w:rPr>
              <w:t>.10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lastRenderedPageBreak/>
              <w:t>普通股股本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>0</w:t>
            </w:r>
            <w:r>
              <w:rPr>
                <w:rFonts w:cs="Arial" w:hint="eastAsia"/>
              </w:rPr>
              <w:t>,</w:t>
            </w:r>
            <w:r>
              <w:rPr>
                <w:rFonts w:cs="Arial"/>
              </w:rPr>
              <w:t>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>0,774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-</w:t>
            </w:r>
          </w:p>
        </w:tc>
      </w:tr>
      <w:tr w:rsidR="00E52B3A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cs="Arial"/>
              </w:rPr>
            </w:pPr>
            <w:r>
              <w:rPr>
                <w:rFonts w:hint="eastAsia"/>
              </w:rPr>
              <w:t>归属于母公司普通股股东每股净资产（元）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>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3.37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ind w:firstLineChars="200" w:firstLine="480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9</w:t>
            </w:r>
            <w:r>
              <w:rPr>
                <w:rFonts w:cs="Arial"/>
              </w:rPr>
              <w:t>.10</w:t>
            </w:r>
          </w:p>
        </w:tc>
      </w:tr>
      <w:tr w:rsidR="00E52B3A">
        <w:trPr>
          <w:trHeight w:val="346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不良贷款率（%）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widowControl/>
              <w:spacing w:beforeLines="50" w:before="156" w:afterLines="50" w:after="156" w:line="360" w:lineRule="exact"/>
              <w:jc w:val="righ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widowControl/>
              <w:spacing w:beforeLines="50" w:before="156" w:afterLines="50" w:after="156" w:line="360" w:lineRule="exact"/>
              <w:jc w:val="righ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.54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AA" w:rsidRDefault="00BF73B9" w:rsidP="00B80ABB">
            <w:pPr>
              <w:pStyle w:val="a7"/>
              <w:adjustRightInd w:val="0"/>
              <w:snapToGrid w:val="0"/>
              <w:spacing w:before="15" w:beforeAutospacing="0" w:after="15" w:afterAutospacing="0" w:line="360" w:lineRule="exact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下降0</w:t>
            </w:r>
            <w:r>
              <w:rPr>
                <w:rFonts w:cs="Arial"/>
              </w:rPr>
              <w:t>.29个</w:t>
            </w:r>
          </w:p>
          <w:p w:rsidR="00E52B3A" w:rsidRDefault="00BF73B9" w:rsidP="00B80ABB">
            <w:pPr>
              <w:pStyle w:val="a7"/>
              <w:adjustRightInd w:val="0"/>
              <w:snapToGrid w:val="0"/>
              <w:spacing w:before="15" w:beforeAutospacing="0" w:after="15" w:afterAutospacing="0" w:line="360" w:lineRule="exact"/>
              <w:jc w:val="right"/>
              <w:rPr>
                <w:rFonts w:cs="Arial"/>
              </w:rPr>
            </w:pPr>
            <w:r>
              <w:rPr>
                <w:rFonts w:cs="Arial"/>
              </w:rPr>
              <w:t>百分点</w:t>
            </w:r>
          </w:p>
        </w:tc>
      </w:tr>
      <w:tr w:rsidR="00E52B3A">
        <w:trPr>
          <w:trHeight w:val="346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pStyle w:val="a7"/>
              <w:adjustRightInd w:val="0"/>
              <w:snapToGrid w:val="0"/>
              <w:spacing w:beforeLines="15" w:before="46" w:beforeAutospacing="0" w:afterLines="15" w:after="46" w:afterAutospacing="0" w:line="360" w:lineRule="exact"/>
              <w:jc w:val="both"/>
              <w:rPr>
                <w:rFonts w:cs="Arial"/>
              </w:rPr>
            </w:pPr>
            <w:r>
              <w:rPr>
                <w:rFonts w:hint="eastAsia"/>
                <w:bCs/>
              </w:rPr>
              <w:t>拨备覆盖率</w:t>
            </w:r>
            <w:r w:rsidR="004D52AA" w:rsidRPr="004D52AA">
              <w:rPr>
                <w:rFonts w:hint="eastAsia"/>
                <w:bCs/>
              </w:rPr>
              <w:t>（%）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widowControl/>
              <w:spacing w:beforeLines="50" w:before="156" w:afterLines="50" w:after="156" w:line="360" w:lineRule="exact"/>
              <w:jc w:val="righ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18.83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3A" w:rsidRDefault="00BF73B9">
            <w:pPr>
              <w:widowControl/>
              <w:spacing w:beforeLines="50" w:before="156" w:afterLines="50" w:after="156" w:line="360" w:lineRule="exact"/>
              <w:jc w:val="righ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99.13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AA" w:rsidRDefault="00BF73B9" w:rsidP="00B80ABB">
            <w:pPr>
              <w:pStyle w:val="a7"/>
              <w:adjustRightInd w:val="0"/>
              <w:snapToGrid w:val="0"/>
              <w:spacing w:before="15" w:beforeAutospacing="0" w:after="15" w:afterAutospacing="0" w:line="360" w:lineRule="exact"/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提高</w:t>
            </w:r>
            <w:r>
              <w:rPr>
                <w:rFonts w:cs="Arial"/>
              </w:rPr>
              <w:t>19.70个</w:t>
            </w:r>
          </w:p>
          <w:p w:rsidR="00E52B3A" w:rsidRDefault="00BF73B9" w:rsidP="00B80ABB">
            <w:pPr>
              <w:pStyle w:val="a7"/>
              <w:adjustRightInd w:val="0"/>
              <w:snapToGrid w:val="0"/>
              <w:spacing w:before="15" w:beforeAutospacing="0" w:after="15" w:afterAutospacing="0" w:line="360" w:lineRule="exact"/>
              <w:jc w:val="right"/>
              <w:rPr>
                <w:rFonts w:cs="Arial"/>
              </w:rPr>
            </w:pPr>
            <w:r>
              <w:rPr>
                <w:rFonts w:cs="Arial"/>
              </w:rPr>
              <w:t>百分点</w:t>
            </w:r>
          </w:p>
        </w:tc>
      </w:tr>
    </w:tbl>
    <w:p w:rsidR="00E52B3A" w:rsidRDefault="00BF73B9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注：每股收益、加权平均净资产收益率根据《公开发行证券的公司信息披露编报规则第9号——净资产收益率和每股收益的计算及披露》（2010年修订）计算，考虑了优先股股息发放的影响。</w:t>
      </w:r>
    </w:p>
    <w:p w:rsidR="00E52B3A" w:rsidRDefault="00BF73B9">
      <w:pPr>
        <w:pStyle w:val="a7"/>
        <w:spacing w:beforeLines="50" w:before="156" w:beforeAutospacing="0" w:after="0" w:afterAutospacing="0" w:line="360" w:lineRule="auto"/>
        <w:ind w:firstLineChars="200" w:firstLine="480"/>
        <w:rPr>
          <w:rFonts w:cs="Arial"/>
        </w:rPr>
      </w:pPr>
      <w:r>
        <w:rPr>
          <w:rFonts w:cs="Arial" w:hint="eastAsia"/>
        </w:rPr>
        <w:t>二、经营业绩和财务状况说明</w:t>
      </w:r>
    </w:p>
    <w:p w:rsidR="00E52B3A" w:rsidRDefault="00BF73B9">
      <w:pPr>
        <w:widowControl/>
        <w:tabs>
          <w:tab w:val="left" w:pos="360"/>
        </w:tabs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报告期内，公司积极应对形势变化和疫情挑战，认真贯彻落实国家宏观调控政策和金融监管要求，坚定推进</w:t>
      </w:r>
      <w:r w:rsidR="00916AE4">
        <w:rPr>
          <w:rFonts w:ascii="宋体" w:hAnsi="宋体" w:hint="eastAsia"/>
          <w:color w:val="000000"/>
          <w:kern w:val="0"/>
          <w:sz w:val="24"/>
        </w:rPr>
        <w:t>实施</w:t>
      </w:r>
      <w:r>
        <w:rPr>
          <w:rFonts w:ascii="宋体" w:hAnsi="宋体" w:hint="eastAsia"/>
          <w:color w:val="000000"/>
          <w:kern w:val="0"/>
          <w:sz w:val="24"/>
        </w:rPr>
        <w:t>“1234”战略</w:t>
      </w:r>
      <w:r w:rsidR="00916AE4">
        <w:rPr>
          <w:rFonts w:ascii="宋体" w:hAnsi="宋体" w:hint="eastAsia"/>
          <w:color w:val="000000"/>
          <w:kern w:val="0"/>
          <w:sz w:val="24"/>
        </w:rPr>
        <w:t>、</w:t>
      </w:r>
      <w:r>
        <w:rPr>
          <w:rFonts w:ascii="宋体" w:hAnsi="宋体" w:hint="eastAsia"/>
          <w:color w:val="000000"/>
          <w:kern w:val="0"/>
          <w:sz w:val="24"/>
        </w:rPr>
        <w:t>“2344”策略，保安全，稳发展，助防疫，加大支持实体经济的力度，各项业务保持良好发展，经营质量稳步提升。</w:t>
      </w:r>
    </w:p>
    <w:p w:rsidR="00E52B3A" w:rsidRDefault="00BF73B9">
      <w:pPr>
        <w:widowControl/>
        <w:tabs>
          <w:tab w:val="left" w:pos="360"/>
        </w:tabs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2020年度，公司实现利润总额7</w:t>
      </w:r>
      <w:r>
        <w:rPr>
          <w:rFonts w:ascii="宋体" w:hAnsi="宋体"/>
          <w:color w:val="000000"/>
          <w:kern w:val="0"/>
          <w:sz w:val="24"/>
        </w:rPr>
        <w:t>66.37</w:t>
      </w:r>
      <w:r>
        <w:rPr>
          <w:rFonts w:ascii="宋体" w:hAnsi="宋体" w:hint="eastAsia"/>
          <w:color w:val="000000"/>
          <w:kern w:val="0"/>
          <w:sz w:val="24"/>
        </w:rPr>
        <w:t>亿元，同比增长</w:t>
      </w:r>
      <w:r>
        <w:rPr>
          <w:rFonts w:ascii="宋体" w:hAnsi="宋体"/>
          <w:color w:val="000000"/>
          <w:kern w:val="0"/>
          <w:sz w:val="24"/>
        </w:rPr>
        <w:t>2.86</w:t>
      </w:r>
      <w:r>
        <w:rPr>
          <w:rFonts w:ascii="宋体" w:hAnsi="宋体" w:hint="eastAsia"/>
          <w:color w:val="000000"/>
          <w:kern w:val="0"/>
          <w:sz w:val="24"/>
        </w:rPr>
        <w:t>%；归属于母公司股东的净利润6</w:t>
      </w:r>
      <w:r>
        <w:rPr>
          <w:rFonts w:ascii="宋体" w:hAnsi="宋体"/>
          <w:color w:val="000000"/>
          <w:kern w:val="0"/>
          <w:sz w:val="24"/>
        </w:rPr>
        <w:t>66</w:t>
      </w:r>
      <w:r>
        <w:rPr>
          <w:rFonts w:ascii="宋体" w:hAnsi="宋体" w:hint="eastAsia"/>
          <w:color w:val="000000"/>
          <w:kern w:val="0"/>
          <w:sz w:val="24"/>
        </w:rPr>
        <w:t>.</w:t>
      </w:r>
      <w:r>
        <w:rPr>
          <w:rFonts w:ascii="宋体" w:hAnsi="宋体"/>
          <w:color w:val="000000"/>
          <w:kern w:val="0"/>
          <w:sz w:val="24"/>
        </w:rPr>
        <w:t>26</w:t>
      </w:r>
      <w:r>
        <w:rPr>
          <w:rFonts w:ascii="宋体" w:hAnsi="宋体" w:hint="eastAsia"/>
          <w:color w:val="000000"/>
          <w:kern w:val="0"/>
          <w:sz w:val="24"/>
        </w:rPr>
        <w:t>亿元，同比增长</w:t>
      </w:r>
      <w:r>
        <w:rPr>
          <w:rFonts w:ascii="宋体" w:hAnsi="宋体"/>
          <w:color w:val="000000"/>
          <w:kern w:val="0"/>
          <w:sz w:val="24"/>
        </w:rPr>
        <w:t>1.15</w:t>
      </w:r>
      <w:r>
        <w:rPr>
          <w:rFonts w:ascii="宋体" w:hAnsi="宋体" w:hint="eastAsia"/>
          <w:color w:val="000000"/>
          <w:kern w:val="0"/>
          <w:sz w:val="24"/>
        </w:rPr>
        <w:t>%，盈利能力保持较好水平。截至2020年末，公司资产总额7</w:t>
      </w:r>
      <w:r>
        <w:rPr>
          <w:rFonts w:ascii="宋体" w:hAnsi="宋体"/>
          <w:color w:val="000000"/>
          <w:kern w:val="0"/>
          <w:sz w:val="24"/>
        </w:rPr>
        <w:t>8</w:t>
      </w:r>
      <w:r>
        <w:rPr>
          <w:rFonts w:ascii="宋体" w:hAnsi="宋体" w:hint="eastAsia"/>
          <w:color w:val="000000"/>
          <w:kern w:val="0"/>
          <w:sz w:val="24"/>
        </w:rPr>
        <w:t>,</w:t>
      </w:r>
      <w:r>
        <w:rPr>
          <w:rFonts w:ascii="宋体" w:hAnsi="宋体"/>
          <w:color w:val="000000"/>
          <w:kern w:val="0"/>
          <w:sz w:val="24"/>
        </w:rPr>
        <w:t>953</w:t>
      </w:r>
      <w:r>
        <w:rPr>
          <w:rFonts w:ascii="宋体" w:hAnsi="宋体" w:hint="eastAsia"/>
          <w:color w:val="000000"/>
          <w:kern w:val="0"/>
          <w:sz w:val="24"/>
        </w:rPr>
        <w:t>.</w:t>
      </w:r>
      <w:r>
        <w:rPr>
          <w:rFonts w:ascii="宋体" w:hAnsi="宋体"/>
          <w:color w:val="000000"/>
          <w:kern w:val="0"/>
          <w:sz w:val="24"/>
        </w:rPr>
        <w:t>72</w:t>
      </w:r>
      <w:r>
        <w:rPr>
          <w:rFonts w:ascii="宋体" w:hAnsi="宋体" w:hint="eastAsia"/>
          <w:color w:val="000000"/>
          <w:kern w:val="0"/>
          <w:sz w:val="24"/>
        </w:rPr>
        <w:t>亿元，较上年末增长</w:t>
      </w:r>
      <w:r>
        <w:rPr>
          <w:rFonts w:ascii="宋体" w:hAnsi="宋体"/>
          <w:color w:val="000000"/>
          <w:kern w:val="0"/>
          <w:sz w:val="24"/>
        </w:rPr>
        <w:t>10.49</w:t>
      </w:r>
      <w:r>
        <w:rPr>
          <w:rFonts w:ascii="宋体" w:hAnsi="宋体" w:hint="eastAsia"/>
          <w:color w:val="000000"/>
          <w:kern w:val="0"/>
          <w:sz w:val="24"/>
        </w:rPr>
        <w:t>%；</w:t>
      </w:r>
      <w:r>
        <w:rPr>
          <w:rFonts w:ascii="宋体" w:hAnsi="宋体" w:hint="eastAsia"/>
          <w:color w:val="000000"/>
          <w:sz w:val="24"/>
          <w:lang w:val="en-GB"/>
        </w:rPr>
        <w:t>本外币各项存款余额40,</w:t>
      </w:r>
      <w:r>
        <w:rPr>
          <w:rFonts w:ascii="宋体" w:hAnsi="宋体"/>
          <w:color w:val="000000"/>
          <w:sz w:val="24"/>
          <w:lang w:val="en-GB"/>
        </w:rPr>
        <w:t>428</w:t>
      </w:r>
      <w:r>
        <w:rPr>
          <w:rFonts w:ascii="宋体" w:hAnsi="宋体" w:hint="eastAsia"/>
          <w:color w:val="000000"/>
          <w:sz w:val="24"/>
          <w:lang w:val="en-GB"/>
        </w:rPr>
        <w:t>.</w:t>
      </w:r>
      <w:r>
        <w:rPr>
          <w:rFonts w:ascii="宋体" w:hAnsi="宋体"/>
          <w:color w:val="000000"/>
          <w:sz w:val="24"/>
          <w:lang w:val="en-GB"/>
        </w:rPr>
        <w:t>94</w:t>
      </w:r>
      <w:r>
        <w:rPr>
          <w:rFonts w:ascii="宋体" w:hAnsi="宋体" w:hint="eastAsia"/>
          <w:color w:val="000000"/>
          <w:sz w:val="24"/>
          <w:lang w:val="en-GB"/>
        </w:rPr>
        <w:t>亿元，较上年末增长</w:t>
      </w:r>
      <w:r>
        <w:rPr>
          <w:rFonts w:ascii="宋体" w:hAnsi="宋体"/>
          <w:color w:val="000000"/>
          <w:sz w:val="24"/>
          <w:lang w:val="en-GB"/>
        </w:rPr>
        <w:t>7.55</w:t>
      </w:r>
      <w:r>
        <w:rPr>
          <w:rFonts w:ascii="宋体" w:hAnsi="宋体" w:hint="eastAsia"/>
          <w:color w:val="000000"/>
          <w:sz w:val="24"/>
          <w:lang w:val="en-GB"/>
        </w:rPr>
        <w:t>%；本外币各项贷款余额3</w:t>
      </w:r>
      <w:r>
        <w:rPr>
          <w:rFonts w:ascii="宋体" w:hAnsi="宋体"/>
          <w:color w:val="000000"/>
          <w:sz w:val="24"/>
          <w:lang w:val="en-GB"/>
        </w:rPr>
        <w:t>9</w:t>
      </w:r>
      <w:r>
        <w:rPr>
          <w:rFonts w:ascii="宋体" w:hAnsi="宋体" w:hint="eastAsia"/>
          <w:color w:val="000000"/>
          <w:sz w:val="24"/>
          <w:lang w:val="en-GB"/>
        </w:rPr>
        <w:t>,</w:t>
      </w:r>
      <w:r>
        <w:rPr>
          <w:rFonts w:ascii="宋体" w:hAnsi="宋体"/>
          <w:color w:val="000000"/>
          <w:sz w:val="24"/>
          <w:lang w:val="en-GB"/>
        </w:rPr>
        <w:t>656</w:t>
      </w:r>
      <w:r>
        <w:rPr>
          <w:rFonts w:ascii="宋体" w:hAnsi="宋体" w:hint="eastAsia"/>
          <w:color w:val="000000"/>
          <w:sz w:val="24"/>
          <w:lang w:val="en-GB"/>
        </w:rPr>
        <w:t>.</w:t>
      </w:r>
      <w:r>
        <w:rPr>
          <w:rFonts w:ascii="宋体" w:hAnsi="宋体"/>
          <w:color w:val="000000"/>
          <w:sz w:val="24"/>
          <w:lang w:val="en-GB"/>
        </w:rPr>
        <w:t>74</w:t>
      </w:r>
      <w:r>
        <w:rPr>
          <w:rFonts w:ascii="宋体" w:hAnsi="宋体" w:hint="eastAsia"/>
          <w:color w:val="000000"/>
          <w:sz w:val="24"/>
          <w:lang w:val="en-GB"/>
        </w:rPr>
        <w:t>亿元，较上年末增长</w:t>
      </w:r>
      <w:r>
        <w:rPr>
          <w:rFonts w:ascii="宋体" w:hAnsi="宋体"/>
          <w:color w:val="000000"/>
          <w:sz w:val="24"/>
          <w:lang w:val="en-GB"/>
        </w:rPr>
        <w:t>15.23</w:t>
      </w:r>
      <w:r>
        <w:rPr>
          <w:rFonts w:ascii="宋体" w:hAnsi="宋体" w:hint="eastAsia"/>
          <w:color w:val="000000"/>
          <w:sz w:val="24"/>
          <w:lang w:val="en-GB"/>
        </w:rPr>
        <w:t>%。</w:t>
      </w:r>
      <w:r>
        <w:rPr>
          <w:rFonts w:ascii="宋体" w:hAnsi="宋体"/>
          <w:color w:val="000000"/>
          <w:kern w:val="0"/>
          <w:sz w:val="24"/>
        </w:rPr>
        <w:t>资产质量</w:t>
      </w:r>
      <w:r w:rsidR="008C215C">
        <w:rPr>
          <w:rFonts w:ascii="宋体" w:hAnsi="宋体" w:hint="eastAsia"/>
          <w:color w:val="000000"/>
          <w:kern w:val="0"/>
          <w:sz w:val="24"/>
        </w:rPr>
        <w:t>持续改善</w:t>
      </w:r>
      <w:r>
        <w:rPr>
          <w:rFonts w:ascii="宋体" w:hAnsi="宋体"/>
          <w:color w:val="000000"/>
          <w:kern w:val="0"/>
          <w:sz w:val="24"/>
        </w:rPr>
        <w:t>，公司不良贷款余额496.56亿元，较上年末</w:t>
      </w:r>
      <w:r w:rsidR="00702A72">
        <w:rPr>
          <w:rFonts w:ascii="宋体" w:hAnsi="宋体" w:hint="eastAsia"/>
          <w:color w:val="000000"/>
          <w:kern w:val="0"/>
          <w:sz w:val="24"/>
        </w:rPr>
        <w:t>减少</w:t>
      </w:r>
      <w:r>
        <w:rPr>
          <w:rFonts w:ascii="宋体" w:hAnsi="宋体"/>
          <w:color w:val="000000"/>
          <w:kern w:val="0"/>
          <w:sz w:val="24"/>
        </w:rPr>
        <w:t>33.66亿元；不良贷款率</w:t>
      </w:r>
      <w:r>
        <w:rPr>
          <w:rFonts w:ascii="宋体" w:hAnsi="宋体" w:hint="eastAsia"/>
          <w:color w:val="000000"/>
          <w:kern w:val="0"/>
          <w:sz w:val="24"/>
        </w:rPr>
        <w:t>1.</w:t>
      </w:r>
      <w:r>
        <w:rPr>
          <w:rFonts w:ascii="宋体" w:hAnsi="宋体"/>
          <w:color w:val="000000"/>
          <w:kern w:val="0"/>
          <w:sz w:val="24"/>
        </w:rPr>
        <w:t>25%，</w:t>
      </w:r>
      <w:r>
        <w:rPr>
          <w:rFonts w:ascii="宋体" w:hAnsi="宋体" w:hint="eastAsia"/>
          <w:color w:val="000000"/>
          <w:kern w:val="0"/>
          <w:sz w:val="24"/>
        </w:rPr>
        <w:t>较上年末下降0.</w:t>
      </w:r>
      <w:r>
        <w:rPr>
          <w:rFonts w:ascii="宋体" w:hAnsi="宋体"/>
          <w:color w:val="000000"/>
          <w:kern w:val="0"/>
          <w:sz w:val="24"/>
        </w:rPr>
        <w:t>29个百分点</w:t>
      </w:r>
      <w:r>
        <w:rPr>
          <w:rFonts w:ascii="宋体" w:hAnsi="宋体" w:hint="eastAsia"/>
          <w:color w:val="000000"/>
          <w:kern w:val="0"/>
          <w:sz w:val="24"/>
        </w:rPr>
        <w:t>；</w:t>
      </w:r>
      <w:r>
        <w:rPr>
          <w:rFonts w:ascii="宋体" w:hAnsi="宋体"/>
          <w:color w:val="000000"/>
          <w:kern w:val="0"/>
          <w:sz w:val="24"/>
        </w:rPr>
        <w:t>拨备覆盖率218.83%，较上年末提高19.70个百分点。 </w:t>
      </w:r>
      <w:bookmarkStart w:id="0" w:name="_GoBack"/>
      <w:bookmarkEnd w:id="0"/>
    </w:p>
    <w:p w:rsidR="00E52B3A" w:rsidRDefault="00BF73B9">
      <w:pPr>
        <w:pStyle w:val="a7"/>
        <w:spacing w:beforeLines="50" w:before="156" w:beforeAutospacing="0" w:after="0" w:afterAutospacing="0" w:line="360" w:lineRule="auto"/>
        <w:ind w:firstLineChars="200" w:firstLine="480"/>
        <w:rPr>
          <w:rFonts w:cs="Arial"/>
        </w:rPr>
      </w:pPr>
      <w:r>
        <w:rPr>
          <w:rFonts w:cs="Arial" w:hint="eastAsia"/>
        </w:rPr>
        <w:t>三、风险提示</w:t>
      </w:r>
    </w:p>
    <w:p w:rsidR="00E52B3A" w:rsidRPr="006A777A" w:rsidRDefault="00BF73B9" w:rsidP="006A777A">
      <w:pPr>
        <w:widowControl/>
        <w:tabs>
          <w:tab w:val="left" w:pos="360"/>
        </w:tabs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6A777A">
        <w:rPr>
          <w:rFonts w:ascii="宋体" w:hAnsi="宋体" w:hint="eastAsia"/>
          <w:color w:val="000000"/>
          <w:kern w:val="0"/>
          <w:sz w:val="24"/>
        </w:rPr>
        <w:t>本公告所载</w:t>
      </w:r>
      <w:r w:rsidR="003868A5" w:rsidRPr="003868A5">
        <w:rPr>
          <w:rFonts w:ascii="宋体" w:hAnsi="宋体"/>
          <w:color w:val="000000"/>
          <w:kern w:val="0"/>
          <w:sz w:val="24"/>
        </w:rPr>
        <w:t>20</w:t>
      </w:r>
      <w:r w:rsidR="003868A5" w:rsidRPr="003868A5">
        <w:rPr>
          <w:rFonts w:ascii="宋体" w:hAnsi="宋体" w:hint="eastAsia"/>
          <w:color w:val="000000"/>
          <w:kern w:val="0"/>
          <w:sz w:val="24"/>
        </w:rPr>
        <w:t>20年度</w:t>
      </w:r>
      <w:r w:rsidRPr="006A777A">
        <w:rPr>
          <w:rFonts w:ascii="宋体" w:hAnsi="宋体" w:hint="eastAsia"/>
          <w:color w:val="000000"/>
          <w:kern w:val="0"/>
          <w:sz w:val="24"/>
        </w:rPr>
        <w:t>数据为初步核算的集团口径数据，可能与公司</w:t>
      </w:r>
      <w:r w:rsidRPr="006A777A">
        <w:rPr>
          <w:rFonts w:ascii="宋体" w:hAnsi="宋体"/>
          <w:color w:val="000000"/>
          <w:kern w:val="0"/>
          <w:sz w:val="24"/>
        </w:rPr>
        <w:t>20</w:t>
      </w:r>
      <w:r w:rsidRPr="006A777A">
        <w:rPr>
          <w:rFonts w:ascii="宋体" w:hAnsi="宋体" w:hint="eastAsia"/>
          <w:color w:val="000000"/>
          <w:kern w:val="0"/>
          <w:sz w:val="24"/>
        </w:rPr>
        <w:t>20年年度报告披露的数据存在差异，但预计上述差异幅度不会超过</w:t>
      </w:r>
      <w:r w:rsidRPr="006A777A">
        <w:rPr>
          <w:rFonts w:ascii="宋体" w:hAnsi="宋体"/>
          <w:color w:val="000000"/>
          <w:kern w:val="0"/>
          <w:sz w:val="24"/>
        </w:rPr>
        <w:t>10%</w:t>
      </w:r>
      <w:r w:rsidRPr="006A777A">
        <w:rPr>
          <w:rFonts w:ascii="宋体" w:hAnsi="宋体" w:hint="eastAsia"/>
          <w:color w:val="000000"/>
          <w:kern w:val="0"/>
          <w:sz w:val="24"/>
        </w:rPr>
        <w:t>，请投资者注意投资风险。</w:t>
      </w:r>
    </w:p>
    <w:p w:rsidR="00E52B3A" w:rsidRDefault="00BF73B9">
      <w:pPr>
        <w:pStyle w:val="a7"/>
        <w:spacing w:beforeLines="50" w:before="156" w:beforeAutospacing="0" w:after="0" w:afterAutospacing="0" w:line="360" w:lineRule="auto"/>
        <w:ind w:firstLineChars="200" w:firstLine="480"/>
        <w:rPr>
          <w:rFonts w:cs="Arial"/>
        </w:rPr>
      </w:pPr>
      <w:r>
        <w:rPr>
          <w:rFonts w:cs="Arial" w:hint="eastAsia"/>
        </w:rPr>
        <w:t>四、备查文件</w:t>
      </w:r>
    </w:p>
    <w:p w:rsidR="00E52B3A" w:rsidRPr="006A777A" w:rsidRDefault="00BF73B9" w:rsidP="006A777A">
      <w:pPr>
        <w:widowControl/>
        <w:tabs>
          <w:tab w:val="left" w:pos="360"/>
        </w:tabs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6A777A">
        <w:rPr>
          <w:rFonts w:ascii="宋体" w:hAnsi="宋体" w:hint="eastAsia"/>
          <w:color w:val="000000"/>
          <w:kern w:val="0"/>
          <w:sz w:val="24"/>
        </w:rPr>
        <w:t>经公司行长（代为履行法定代表人职权）和财务机构负责人签字并盖章的比较式资产负债表和利润表。</w:t>
      </w:r>
    </w:p>
    <w:p w:rsidR="00E52B3A" w:rsidRDefault="00BF73B9" w:rsidP="006A777A">
      <w:pPr>
        <w:pStyle w:val="a7"/>
        <w:adjustRightInd w:val="0"/>
        <w:snapToGrid w:val="0"/>
        <w:spacing w:beforeLines="50" w:before="156" w:beforeAutospacing="0" w:after="0" w:afterAutospacing="0" w:line="360" w:lineRule="auto"/>
        <w:ind w:firstLineChars="200" w:firstLine="480"/>
        <w:rPr>
          <w:rFonts w:cs="Times New Roman"/>
        </w:rPr>
      </w:pPr>
      <w:r>
        <w:rPr>
          <w:rFonts w:cs="Arial"/>
        </w:rPr>
        <w:t>特此公告。</w:t>
      </w:r>
    </w:p>
    <w:p w:rsidR="00E52B3A" w:rsidRDefault="00BF73B9">
      <w:pPr>
        <w:pStyle w:val="a7"/>
        <w:adjustRightInd w:val="0"/>
        <w:snapToGrid w:val="0"/>
        <w:spacing w:before="0" w:beforeAutospacing="0" w:after="0" w:afterAutospacing="0" w:line="360" w:lineRule="auto"/>
        <w:ind w:firstLineChars="2350" w:firstLine="5640"/>
        <w:rPr>
          <w:rFonts w:cs="Arial"/>
        </w:rPr>
      </w:pPr>
      <w:r>
        <w:rPr>
          <w:rFonts w:cs="Arial"/>
        </w:rPr>
        <w:t>兴业银行股份有限公司董事会</w:t>
      </w:r>
    </w:p>
    <w:p w:rsidR="00E52B3A" w:rsidRDefault="00BF73B9">
      <w:pPr>
        <w:pStyle w:val="a7"/>
        <w:adjustRightInd w:val="0"/>
        <w:snapToGrid w:val="0"/>
        <w:spacing w:before="0" w:beforeAutospacing="0" w:after="0" w:afterAutospacing="0" w:line="360" w:lineRule="auto"/>
        <w:ind w:firstLineChars="2600" w:firstLine="6240"/>
        <w:rPr>
          <w:rFonts w:ascii="Times New Roman" w:hAnsi="Times New Roman" w:cs="Times New Roman"/>
        </w:rPr>
      </w:pPr>
      <w:r>
        <w:rPr>
          <w:rFonts w:cs="Arial"/>
        </w:rPr>
        <w:t>20</w:t>
      </w:r>
      <w:r>
        <w:rPr>
          <w:rFonts w:cs="Arial" w:hint="eastAsia"/>
        </w:rPr>
        <w:t>21</w:t>
      </w:r>
      <w:r>
        <w:rPr>
          <w:rFonts w:cs="Arial"/>
        </w:rPr>
        <w:t>年</w:t>
      </w:r>
      <w:r>
        <w:rPr>
          <w:rFonts w:cs="Arial" w:hint="eastAsia"/>
        </w:rPr>
        <w:t>1</w:t>
      </w:r>
      <w:r>
        <w:rPr>
          <w:rFonts w:cs="Arial"/>
        </w:rPr>
        <w:t>月</w:t>
      </w:r>
      <w:r>
        <w:rPr>
          <w:rFonts w:cs="Arial" w:hint="eastAsia"/>
        </w:rPr>
        <w:t>14</w:t>
      </w:r>
      <w:r>
        <w:rPr>
          <w:rFonts w:cs="Arial"/>
        </w:rPr>
        <w:t>日</w:t>
      </w:r>
      <w:r>
        <w:rPr>
          <w:rFonts w:cs="Times New Roman" w:hint="eastAsia"/>
        </w:rPr>
        <w:t xml:space="preserve">     </w:t>
      </w:r>
    </w:p>
    <w:sectPr w:rsidR="00E52B3A">
      <w:footerReference w:type="even" r:id="rId8"/>
      <w:footerReference w:type="default" r:id="rId9"/>
      <w:pgSz w:w="11906" w:h="16838"/>
      <w:pgMar w:top="1247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96" w:rsidRDefault="00301296">
      <w:r>
        <w:separator/>
      </w:r>
    </w:p>
  </w:endnote>
  <w:endnote w:type="continuationSeparator" w:id="0">
    <w:p w:rsidR="00301296" w:rsidRDefault="0030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3A" w:rsidRDefault="00BF73B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2B3A" w:rsidRDefault="00E52B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3A" w:rsidRDefault="00BF73B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A72" w:rsidRPr="00702A72">
      <w:rPr>
        <w:noProof/>
        <w:lang w:val="zh-CN"/>
      </w:rPr>
      <w:t>2</w:t>
    </w:r>
    <w:r>
      <w:fldChar w:fldCharType="end"/>
    </w:r>
  </w:p>
  <w:p w:rsidR="00E52B3A" w:rsidRDefault="00E52B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96" w:rsidRDefault="00301296">
      <w:r>
        <w:separator/>
      </w:r>
    </w:p>
  </w:footnote>
  <w:footnote w:type="continuationSeparator" w:id="0">
    <w:p w:rsidR="00301296" w:rsidRDefault="0030129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593"/>
    <w:rsid w:val="00020EFA"/>
    <w:rsid w:val="00021802"/>
    <w:rsid w:val="00027D98"/>
    <w:rsid w:val="000328CB"/>
    <w:rsid w:val="00040ACD"/>
    <w:rsid w:val="00046680"/>
    <w:rsid w:val="0005248C"/>
    <w:rsid w:val="00060F3F"/>
    <w:rsid w:val="00067D10"/>
    <w:rsid w:val="000A0ED6"/>
    <w:rsid w:val="000A2A24"/>
    <w:rsid w:val="000A2B10"/>
    <w:rsid w:val="000A487B"/>
    <w:rsid w:val="000A4DE1"/>
    <w:rsid w:val="000C53AD"/>
    <w:rsid w:val="000F4A02"/>
    <w:rsid w:val="000F4E9D"/>
    <w:rsid w:val="00102483"/>
    <w:rsid w:val="001125DD"/>
    <w:rsid w:val="001136CA"/>
    <w:rsid w:val="00114180"/>
    <w:rsid w:val="00114C2D"/>
    <w:rsid w:val="00120D2D"/>
    <w:rsid w:val="00121CBA"/>
    <w:rsid w:val="001259A5"/>
    <w:rsid w:val="001354AE"/>
    <w:rsid w:val="00135615"/>
    <w:rsid w:val="00136645"/>
    <w:rsid w:val="00172A27"/>
    <w:rsid w:val="00173A63"/>
    <w:rsid w:val="00176EDA"/>
    <w:rsid w:val="00181E13"/>
    <w:rsid w:val="00183A85"/>
    <w:rsid w:val="00183ED4"/>
    <w:rsid w:val="001A2259"/>
    <w:rsid w:val="001C143E"/>
    <w:rsid w:val="001F0767"/>
    <w:rsid w:val="001F1D0F"/>
    <w:rsid w:val="001F50D2"/>
    <w:rsid w:val="001F5BEF"/>
    <w:rsid w:val="001F62DE"/>
    <w:rsid w:val="00203E87"/>
    <w:rsid w:val="00204744"/>
    <w:rsid w:val="00210510"/>
    <w:rsid w:val="00217A95"/>
    <w:rsid w:val="00224351"/>
    <w:rsid w:val="002329B3"/>
    <w:rsid w:val="002332FA"/>
    <w:rsid w:val="002350DA"/>
    <w:rsid w:val="002437EE"/>
    <w:rsid w:val="0024383E"/>
    <w:rsid w:val="00250A8B"/>
    <w:rsid w:val="00253ADC"/>
    <w:rsid w:val="00274D49"/>
    <w:rsid w:val="00290BA3"/>
    <w:rsid w:val="002B17C5"/>
    <w:rsid w:val="002B236D"/>
    <w:rsid w:val="002B55D6"/>
    <w:rsid w:val="002B610C"/>
    <w:rsid w:val="002B7A7A"/>
    <w:rsid w:val="002D2573"/>
    <w:rsid w:val="002D4397"/>
    <w:rsid w:val="00301296"/>
    <w:rsid w:val="003051EF"/>
    <w:rsid w:val="003151F4"/>
    <w:rsid w:val="00316903"/>
    <w:rsid w:val="00335B10"/>
    <w:rsid w:val="00335EC8"/>
    <w:rsid w:val="003463F3"/>
    <w:rsid w:val="00346CF1"/>
    <w:rsid w:val="00354BFB"/>
    <w:rsid w:val="00360D2A"/>
    <w:rsid w:val="003747B5"/>
    <w:rsid w:val="003765FB"/>
    <w:rsid w:val="00381B14"/>
    <w:rsid w:val="003868A5"/>
    <w:rsid w:val="003B3A8C"/>
    <w:rsid w:val="003B4249"/>
    <w:rsid w:val="003C5BC9"/>
    <w:rsid w:val="003E369F"/>
    <w:rsid w:val="003F2BC2"/>
    <w:rsid w:val="003F62DC"/>
    <w:rsid w:val="0040607C"/>
    <w:rsid w:val="00423AB1"/>
    <w:rsid w:val="00435601"/>
    <w:rsid w:val="004441C7"/>
    <w:rsid w:val="0045324D"/>
    <w:rsid w:val="00453C67"/>
    <w:rsid w:val="0046590A"/>
    <w:rsid w:val="004734BA"/>
    <w:rsid w:val="004747CB"/>
    <w:rsid w:val="004754DD"/>
    <w:rsid w:val="004761AA"/>
    <w:rsid w:val="0048325F"/>
    <w:rsid w:val="00485CF1"/>
    <w:rsid w:val="00487B2F"/>
    <w:rsid w:val="00497C9C"/>
    <w:rsid w:val="004B5763"/>
    <w:rsid w:val="004B6745"/>
    <w:rsid w:val="004B7EC1"/>
    <w:rsid w:val="004D52AA"/>
    <w:rsid w:val="004E37C0"/>
    <w:rsid w:val="004E5192"/>
    <w:rsid w:val="005160BC"/>
    <w:rsid w:val="0052091C"/>
    <w:rsid w:val="005276EC"/>
    <w:rsid w:val="00541123"/>
    <w:rsid w:val="00541B82"/>
    <w:rsid w:val="0055192C"/>
    <w:rsid w:val="005523FF"/>
    <w:rsid w:val="00562D64"/>
    <w:rsid w:val="00564EF5"/>
    <w:rsid w:val="0057043B"/>
    <w:rsid w:val="0057584C"/>
    <w:rsid w:val="00584F62"/>
    <w:rsid w:val="00590DFB"/>
    <w:rsid w:val="005A05ED"/>
    <w:rsid w:val="005A76FC"/>
    <w:rsid w:val="005B00EA"/>
    <w:rsid w:val="005D79D8"/>
    <w:rsid w:val="005F5E78"/>
    <w:rsid w:val="0060426D"/>
    <w:rsid w:val="0060568B"/>
    <w:rsid w:val="00615F18"/>
    <w:rsid w:val="0062077E"/>
    <w:rsid w:val="006416E1"/>
    <w:rsid w:val="0065601B"/>
    <w:rsid w:val="00661BA9"/>
    <w:rsid w:val="00666416"/>
    <w:rsid w:val="006679F7"/>
    <w:rsid w:val="00686072"/>
    <w:rsid w:val="006A6734"/>
    <w:rsid w:val="006A777A"/>
    <w:rsid w:val="006B049E"/>
    <w:rsid w:val="006B4E3D"/>
    <w:rsid w:val="006C4536"/>
    <w:rsid w:val="006C7F35"/>
    <w:rsid w:val="006E0FB5"/>
    <w:rsid w:val="006E2D08"/>
    <w:rsid w:val="006E6C88"/>
    <w:rsid w:val="006F22DD"/>
    <w:rsid w:val="00702A72"/>
    <w:rsid w:val="00706C74"/>
    <w:rsid w:val="007100FD"/>
    <w:rsid w:val="00721966"/>
    <w:rsid w:val="00741E99"/>
    <w:rsid w:val="007513CD"/>
    <w:rsid w:val="00754E7D"/>
    <w:rsid w:val="007727CA"/>
    <w:rsid w:val="0078313E"/>
    <w:rsid w:val="00796FE0"/>
    <w:rsid w:val="007A1061"/>
    <w:rsid w:val="007B1BD4"/>
    <w:rsid w:val="007D003C"/>
    <w:rsid w:val="007D316A"/>
    <w:rsid w:val="007E1FF2"/>
    <w:rsid w:val="007F29C5"/>
    <w:rsid w:val="008017B6"/>
    <w:rsid w:val="00803209"/>
    <w:rsid w:val="00806178"/>
    <w:rsid w:val="008065AF"/>
    <w:rsid w:val="00807829"/>
    <w:rsid w:val="00820732"/>
    <w:rsid w:val="00830233"/>
    <w:rsid w:val="008454D3"/>
    <w:rsid w:val="008515C7"/>
    <w:rsid w:val="00861F75"/>
    <w:rsid w:val="00866C4C"/>
    <w:rsid w:val="00867AD1"/>
    <w:rsid w:val="008C215C"/>
    <w:rsid w:val="008D710A"/>
    <w:rsid w:val="008F367D"/>
    <w:rsid w:val="00913A61"/>
    <w:rsid w:val="00913E6C"/>
    <w:rsid w:val="009152EA"/>
    <w:rsid w:val="00916AE4"/>
    <w:rsid w:val="00923826"/>
    <w:rsid w:val="00924788"/>
    <w:rsid w:val="0092530F"/>
    <w:rsid w:val="00933139"/>
    <w:rsid w:val="0094116C"/>
    <w:rsid w:val="009561F1"/>
    <w:rsid w:val="0096083F"/>
    <w:rsid w:val="00973288"/>
    <w:rsid w:val="0097545F"/>
    <w:rsid w:val="00981259"/>
    <w:rsid w:val="00995389"/>
    <w:rsid w:val="009B36E0"/>
    <w:rsid w:val="009C327E"/>
    <w:rsid w:val="009E4C59"/>
    <w:rsid w:val="009E5000"/>
    <w:rsid w:val="009F5A34"/>
    <w:rsid w:val="00A0710D"/>
    <w:rsid w:val="00A10518"/>
    <w:rsid w:val="00A10DCD"/>
    <w:rsid w:val="00A14E39"/>
    <w:rsid w:val="00A16F91"/>
    <w:rsid w:val="00A334E2"/>
    <w:rsid w:val="00A52DD6"/>
    <w:rsid w:val="00A573DE"/>
    <w:rsid w:val="00A61519"/>
    <w:rsid w:val="00A66CE5"/>
    <w:rsid w:val="00A67F85"/>
    <w:rsid w:val="00A9489B"/>
    <w:rsid w:val="00A958B5"/>
    <w:rsid w:val="00A97BF0"/>
    <w:rsid w:val="00AA7971"/>
    <w:rsid w:val="00AD56E3"/>
    <w:rsid w:val="00B018C4"/>
    <w:rsid w:val="00B3088F"/>
    <w:rsid w:val="00B33EF6"/>
    <w:rsid w:val="00B3558C"/>
    <w:rsid w:val="00B45E4A"/>
    <w:rsid w:val="00B46105"/>
    <w:rsid w:val="00B71BB4"/>
    <w:rsid w:val="00B80ABB"/>
    <w:rsid w:val="00B86AF3"/>
    <w:rsid w:val="00B8779F"/>
    <w:rsid w:val="00B9444A"/>
    <w:rsid w:val="00BC1799"/>
    <w:rsid w:val="00BD6646"/>
    <w:rsid w:val="00BE774E"/>
    <w:rsid w:val="00BF1209"/>
    <w:rsid w:val="00BF73B9"/>
    <w:rsid w:val="00C04941"/>
    <w:rsid w:val="00C064FB"/>
    <w:rsid w:val="00C30C0C"/>
    <w:rsid w:val="00C314B1"/>
    <w:rsid w:val="00C34B5C"/>
    <w:rsid w:val="00C35EDD"/>
    <w:rsid w:val="00C36BE0"/>
    <w:rsid w:val="00C36C5D"/>
    <w:rsid w:val="00C40081"/>
    <w:rsid w:val="00C620CC"/>
    <w:rsid w:val="00C64E3B"/>
    <w:rsid w:val="00C8169E"/>
    <w:rsid w:val="00C8663A"/>
    <w:rsid w:val="00C95934"/>
    <w:rsid w:val="00CA5155"/>
    <w:rsid w:val="00CA7197"/>
    <w:rsid w:val="00CC3C14"/>
    <w:rsid w:val="00CE6115"/>
    <w:rsid w:val="00D1258D"/>
    <w:rsid w:val="00D270E8"/>
    <w:rsid w:val="00D33BA0"/>
    <w:rsid w:val="00D454B8"/>
    <w:rsid w:val="00D60E89"/>
    <w:rsid w:val="00D66498"/>
    <w:rsid w:val="00D66979"/>
    <w:rsid w:val="00D66D7A"/>
    <w:rsid w:val="00D74B89"/>
    <w:rsid w:val="00D8240F"/>
    <w:rsid w:val="00DA3184"/>
    <w:rsid w:val="00DC49D2"/>
    <w:rsid w:val="00DC568F"/>
    <w:rsid w:val="00DD4BBA"/>
    <w:rsid w:val="00E011E3"/>
    <w:rsid w:val="00E02111"/>
    <w:rsid w:val="00E036FE"/>
    <w:rsid w:val="00E13345"/>
    <w:rsid w:val="00E179CC"/>
    <w:rsid w:val="00E2368E"/>
    <w:rsid w:val="00E2394B"/>
    <w:rsid w:val="00E45567"/>
    <w:rsid w:val="00E45661"/>
    <w:rsid w:val="00E51631"/>
    <w:rsid w:val="00E52B3A"/>
    <w:rsid w:val="00E5582A"/>
    <w:rsid w:val="00E61907"/>
    <w:rsid w:val="00E67506"/>
    <w:rsid w:val="00E779B8"/>
    <w:rsid w:val="00E80DE0"/>
    <w:rsid w:val="00E93C87"/>
    <w:rsid w:val="00E97C90"/>
    <w:rsid w:val="00EA1D3D"/>
    <w:rsid w:val="00EB65FB"/>
    <w:rsid w:val="00EC627B"/>
    <w:rsid w:val="00ED6837"/>
    <w:rsid w:val="00F07107"/>
    <w:rsid w:val="00F109E0"/>
    <w:rsid w:val="00F3053A"/>
    <w:rsid w:val="00F316DC"/>
    <w:rsid w:val="00F35BDA"/>
    <w:rsid w:val="00F422B8"/>
    <w:rsid w:val="00F476C1"/>
    <w:rsid w:val="00F52781"/>
    <w:rsid w:val="00F56989"/>
    <w:rsid w:val="00F60922"/>
    <w:rsid w:val="00F61FBA"/>
    <w:rsid w:val="00F71A89"/>
    <w:rsid w:val="00F735CF"/>
    <w:rsid w:val="00F80281"/>
    <w:rsid w:val="00F816FE"/>
    <w:rsid w:val="00F938BA"/>
    <w:rsid w:val="00F96446"/>
    <w:rsid w:val="00F96725"/>
    <w:rsid w:val="00FB39BD"/>
    <w:rsid w:val="00FB4A4B"/>
    <w:rsid w:val="00FB6B98"/>
    <w:rsid w:val="00FC7B50"/>
    <w:rsid w:val="00FF2723"/>
    <w:rsid w:val="00FF5928"/>
    <w:rsid w:val="4F0A4CD3"/>
    <w:rsid w:val="5A8818A3"/>
    <w:rsid w:val="71B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Pr>
      <w:sz w:val="20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2"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rPr>
      <w:sz w:val="16"/>
      <w:szCs w:val="16"/>
    </w:rPr>
  </w:style>
  <w:style w:type="character" w:customStyle="1" w:styleId="Char1">
    <w:name w:val="页脚 Char"/>
    <w:link w:val="a5"/>
    <w:uiPriority w:val="99"/>
    <w:rPr>
      <w:kern w:val="2"/>
      <w:sz w:val="18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3Char">
    <w:name w:val="标题 3 Char"/>
    <w:link w:val="3"/>
    <w:rPr>
      <w:b/>
      <w:bCs/>
      <w:kern w:val="2"/>
      <w:sz w:val="32"/>
      <w:szCs w:val="32"/>
    </w:rPr>
  </w:style>
  <w:style w:type="character" w:customStyle="1" w:styleId="Char">
    <w:name w:val="批注文字 Char"/>
    <w:link w:val="a3"/>
    <w:qFormat/>
    <w:rPr>
      <w:kern w:val="2"/>
    </w:rPr>
  </w:style>
  <w:style w:type="character" w:customStyle="1" w:styleId="Char2">
    <w:name w:val="批注主题 Char"/>
    <w:link w:val="a8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Pr>
      <w:sz w:val="20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2"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rPr>
      <w:sz w:val="16"/>
      <w:szCs w:val="16"/>
    </w:rPr>
  </w:style>
  <w:style w:type="character" w:customStyle="1" w:styleId="Char1">
    <w:name w:val="页脚 Char"/>
    <w:link w:val="a5"/>
    <w:uiPriority w:val="99"/>
    <w:rPr>
      <w:kern w:val="2"/>
      <w:sz w:val="18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3Char">
    <w:name w:val="标题 3 Char"/>
    <w:link w:val="3"/>
    <w:rPr>
      <w:b/>
      <w:bCs/>
      <w:kern w:val="2"/>
      <w:sz w:val="32"/>
      <w:szCs w:val="32"/>
    </w:rPr>
  </w:style>
  <w:style w:type="character" w:customStyle="1" w:styleId="Char">
    <w:name w:val="批注文字 Char"/>
    <w:link w:val="a3"/>
    <w:qFormat/>
    <w:rPr>
      <w:kern w:val="2"/>
    </w:rPr>
  </w:style>
  <w:style w:type="character" w:customStyle="1" w:styleId="Char2">
    <w:name w:val="批注主题 Char"/>
    <w:link w:val="a8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243</Words>
  <Characters>1389</Characters>
  <Application>Microsoft Office Word</Application>
  <DocSecurity>0</DocSecurity>
  <Lines>11</Lines>
  <Paragraphs>3</Paragraphs>
  <ScaleCrop>false</ScaleCrop>
  <Company>sse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第二十二号 上市公司重大事项停牌公告</dc:title>
  <dc:creator>user</dc:creator>
  <cp:lastModifiedBy>陈宇</cp:lastModifiedBy>
  <cp:revision>14</cp:revision>
  <cp:lastPrinted>2021-01-14T06:30:00Z</cp:lastPrinted>
  <dcterms:created xsi:type="dcterms:W3CDTF">2021-01-14T02:06:00Z</dcterms:created>
  <dcterms:modified xsi:type="dcterms:W3CDTF">2021-01-14T08:19:00Z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