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E7" w:rsidRDefault="00686FCA">
      <w:pPr>
        <w:spacing w:line="500" w:lineRule="exact"/>
        <w:rPr>
          <w:rFonts w:ascii="宋体" w:eastAsia="宋体" w:hAnsi="宋体"/>
          <w:b/>
          <w:sz w:val="22"/>
          <w:szCs w:val="28"/>
        </w:rPr>
      </w:pPr>
      <w:r>
        <w:rPr>
          <w:rFonts w:ascii="宋体" w:eastAsia="宋体" w:hAnsi="宋体" w:hint="eastAsia"/>
          <w:b/>
          <w:sz w:val="22"/>
          <w:szCs w:val="28"/>
        </w:rPr>
        <w:t>A股代码</w:t>
      </w:r>
      <w:r>
        <w:rPr>
          <w:rFonts w:ascii="宋体" w:eastAsia="宋体" w:hAnsi="宋体"/>
          <w:b/>
          <w:sz w:val="22"/>
          <w:szCs w:val="28"/>
        </w:rPr>
        <w:t>：</w:t>
      </w:r>
      <w:r>
        <w:rPr>
          <w:rFonts w:ascii="宋体" w:eastAsia="宋体" w:hAnsi="宋体" w:hint="eastAsia"/>
          <w:b/>
          <w:sz w:val="22"/>
          <w:szCs w:val="28"/>
        </w:rPr>
        <w:t>6</w:t>
      </w:r>
      <w:r>
        <w:rPr>
          <w:rFonts w:ascii="宋体" w:eastAsia="宋体" w:hAnsi="宋体"/>
          <w:b/>
          <w:sz w:val="22"/>
          <w:szCs w:val="28"/>
        </w:rPr>
        <w:t xml:space="preserve">01166            </w:t>
      </w:r>
      <w:r>
        <w:rPr>
          <w:rFonts w:ascii="宋体" w:eastAsia="宋体" w:hAnsi="宋体" w:hint="eastAsia"/>
          <w:b/>
          <w:sz w:val="22"/>
          <w:szCs w:val="28"/>
        </w:rPr>
        <w:t xml:space="preserve"> </w:t>
      </w:r>
      <w:r>
        <w:rPr>
          <w:rFonts w:ascii="宋体" w:eastAsia="宋体" w:hAnsi="宋体"/>
          <w:b/>
          <w:sz w:val="22"/>
          <w:szCs w:val="28"/>
        </w:rPr>
        <w:t xml:space="preserve">  </w:t>
      </w:r>
      <w:r>
        <w:rPr>
          <w:rFonts w:ascii="宋体" w:eastAsia="宋体" w:hAnsi="宋体" w:hint="eastAsia"/>
          <w:b/>
          <w:sz w:val="22"/>
          <w:szCs w:val="28"/>
        </w:rPr>
        <w:t>A股简称</w:t>
      </w:r>
      <w:r>
        <w:rPr>
          <w:rFonts w:ascii="宋体" w:eastAsia="宋体" w:hAnsi="宋体"/>
          <w:b/>
          <w:sz w:val="22"/>
          <w:szCs w:val="28"/>
        </w:rPr>
        <w:t>：</w:t>
      </w:r>
      <w:r>
        <w:rPr>
          <w:rFonts w:ascii="宋体" w:eastAsia="宋体" w:hAnsi="宋体" w:hint="eastAsia"/>
          <w:b/>
          <w:sz w:val="22"/>
          <w:szCs w:val="28"/>
        </w:rPr>
        <w:t>兴业银行</w:t>
      </w:r>
      <w:r>
        <w:rPr>
          <w:rFonts w:ascii="宋体" w:eastAsia="宋体" w:hAnsi="宋体"/>
          <w:b/>
          <w:sz w:val="22"/>
          <w:szCs w:val="28"/>
        </w:rPr>
        <w:t xml:space="preserve">        </w:t>
      </w:r>
      <w:r>
        <w:rPr>
          <w:rFonts w:ascii="宋体" w:eastAsia="宋体" w:hAnsi="宋体" w:hint="eastAsia"/>
          <w:b/>
          <w:sz w:val="22"/>
          <w:szCs w:val="28"/>
        </w:rPr>
        <w:t xml:space="preserve"> </w:t>
      </w:r>
      <w:r>
        <w:rPr>
          <w:rFonts w:ascii="宋体" w:eastAsia="宋体" w:hAnsi="宋体"/>
          <w:b/>
          <w:sz w:val="22"/>
          <w:szCs w:val="28"/>
        </w:rPr>
        <w:t xml:space="preserve"> </w:t>
      </w:r>
      <w:r>
        <w:rPr>
          <w:rFonts w:ascii="宋体" w:eastAsia="宋体" w:hAnsi="宋体" w:hint="eastAsia"/>
          <w:b/>
          <w:sz w:val="22"/>
          <w:szCs w:val="28"/>
        </w:rPr>
        <w:t xml:space="preserve"> </w:t>
      </w:r>
      <w:r>
        <w:rPr>
          <w:rFonts w:ascii="宋体" w:eastAsia="宋体" w:hAnsi="宋体"/>
          <w:b/>
          <w:sz w:val="22"/>
          <w:szCs w:val="28"/>
        </w:rPr>
        <w:t xml:space="preserve">  编号：临20</w:t>
      </w:r>
      <w:r>
        <w:rPr>
          <w:rFonts w:ascii="宋体" w:eastAsia="宋体" w:hAnsi="宋体" w:hint="eastAsia"/>
          <w:b/>
          <w:sz w:val="22"/>
          <w:szCs w:val="28"/>
        </w:rPr>
        <w:t>21</w:t>
      </w:r>
      <w:r>
        <w:rPr>
          <w:rFonts w:ascii="宋体" w:eastAsia="宋体" w:hAnsi="宋体"/>
          <w:b/>
          <w:sz w:val="22"/>
          <w:szCs w:val="28"/>
        </w:rPr>
        <w:t>-</w:t>
      </w:r>
      <w:r>
        <w:rPr>
          <w:rFonts w:ascii="宋体" w:eastAsia="宋体" w:hAnsi="宋体" w:hint="eastAsia"/>
          <w:b/>
          <w:sz w:val="22"/>
          <w:szCs w:val="28"/>
        </w:rPr>
        <w:t>005</w:t>
      </w:r>
    </w:p>
    <w:p w:rsidR="00346FE7" w:rsidRDefault="00686FCA">
      <w:pPr>
        <w:spacing w:line="500" w:lineRule="exact"/>
        <w:rPr>
          <w:rFonts w:ascii="宋体" w:eastAsia="宋体" w:hAnsi="宋体"/>
          <w:b/>
          <w:sz w:val="22"/>
          <w:szCs w:val="28"/>
        </w:rPr>
      </w:pPr>
      <w:r>
        <w:rPr>
          <w:rFonts w:ascii="宋体" w:eastAsia="宋体" w:hAnsi="宋体" w:hint="eastAsia"/>
          <w:b/>
          <w:sz w:val="22"/>
          <w:szCs w:val="28"/>
        </w:rPr>
        <w:t>优先股代码：360005、360012、3</w:t>
      </w:r>
      <w:r>
        <w:rPr>
          <w:rFonts w:ascii="宋体" w:eastAsia="宋体" w:hAnsi="宋体"/>
          <w:b/>
          <w:sz w:val="22"/>
          <w:szCs w:val="28"/>
        </w:rPr>
        <w:t xml:space="preserve">60032   </w:t>
      </w:r>
      <w:r>
        <w:rPr>
          <w:rFonts w:ascii="宋体" w:eastAsia="宋体" w:hAnsi="宋体" w:hint="eastAsia"/>
          <w:b/>
          <w:sz w:val="22"/>
          <w:szCs w:val="28"/>
        </w:rPr>
        <w:t xml:space="preserve"> 优先股简称：兴业优1、兴业优2、兴业优3</w:t>
      </w:r>
    </w:p>
    <w:p w:rsidR="00346FE7" w:rsidRDefault="00346FE7">
      <w:pPr>
        <w:spacing w:line="360" w:lineRule="auto"/>
        <w:rPr>
          <w:rFonts w:ascii="宋体" w:eastAsia="宋体" w:hAnsi="宋体"/>
          <w:sz w:val="24"/>
        </w:rPr>
      </w:pPr>
    </w:p>
    <w:p w:rsidR="00346FE7" w:rsidRDefault="00686FCA">
      <w:pPr>
        <w:jc w:val="center"/>
        <w:rPr>
          <w:rFonts w:ascii="黑体" w:eastAsia="黑体" w:hAnsi="Calibri"/>
          <w:color w:val="FF0000"/>
          <w:sz w:val="44"/>
          <w:szCs w:val="44"/>
        </w:rPr>
      </w:pPr>
      <w:r>
        <w:rPr>
          <w:rFonts w:ascii="黑体" w:eastAsia="黑体" w:hAnsi="Calibri"/>
          <w:color w:val="FF0000"/>
          <w:sz w:val="44"/>
          <w:szCs w:val="44"/>
        </w:rPr>
        <w:t>兴业银行股份有限公司</w:t>
      </w:r>
    </w:p>
    <w:p w:rsidR="00346FE7" w:rsidRDefault="00686FCA">
      <w:pPr>
        <w:spacing w:line="360" w:lineRule="auto"/>
        <w:jc w:val="center"/>
        <w:rPr>
          <w:rFonts w:ascii="黑体" w:eastAsia="黑体" w:hAnsi="Calibri"/>
          <w:color w:val="FF0000"/>
          <w:sz w:val="44"/>
          <w:szCs w:val="44"/>
        </w:rPr>
      </w:pPr>
      <w:r>
        <w:rPr>
          <w:rFonts w:ascii="黑体" w:eastAsia="黑体" w:hAnsi="Calibri"/>
          <w:bCs/>
          <w:color w:val="FF0000"/>
          <w:sz w:val="44"/>
          <w:szCs w:val="44"/>
        </w:rPr>
        <w:t>20</w:t>
      </w:r>
      <w:r>
        <w:rPr>
          <w:rFonts w:ascii="黑体" w:eastAsia="黑体" w:hAnsi="Calibri" w:hint="eastAsia"/>
          <w:bCs/>
          <w:color w:val="FF0000"/>
          <w:sz w:val="44"/>
          <w:szCs w:val="44"/>
        </w:rPr>
        <w:t>20</w:t>
      </w:r>
      <w:r>
        <w:rPr>
          <w:rFonts w:ascii="黑体" w:eastAsia="黑体" w:hAnsi="Calibri" w:hint="eastAsia"/>
          <w:color w:val="FF0000"/>
          <w:sz w:val="44"/>
          <w:szCs w:val="44"/>
        </w:rPr>
        <w:t>年度利润分配方案公告</w:t>
      </w:r>
    </w:p>
    <w:p w:rsidR="00346FE7" w:rsidRDefault="00346FE7">
      <w:pPr>
        <w:spacing w:line="360" w:lineRule="auto"/>
        <w:rPr>
          <w:rFonts w:ascii="黑体" w:eastAsia="黑体" w:hAnsi="Calibri"/>
          <w:color w:val="FF0000"/>
          <w:sz w:val="24"/>
        </w:rPr>
      </w:pPr>
    </w:p>
    <w:p w:rsidR="00346FE7" w:rsidRDefault="00686FCA">
      <w:pPr>
        <w:spacing w:line="360" w:lineRule="auto"/>
        <w:ind w:firstLineChars="200" w:firstLine="480"/>
        <w:rPr>
          <w:rFonts w:ascii="宋体" w:eastAsia="宋体" w:hAnsi="宋体"/>
          <w:sz w:val="24"/>
          <w:szCs w:val="22"/>
        </w:rPr>
      </w:pPr>
      <w:r>
        <w:rPr>
          <w:rFonts w:ascii="宋体" w:eastAsia="宋体" w:hAnsi="宋体" w:hint="eastAsia"/>
          <w:sz w:val="24"/>
          <w:szCs w:val="22"/>
        </w:rPr>
        <w:t>本公司董事会及全体董事保证本公告内容不存在任何虚假记载、误导性陈述或者重大遗漏，并对其内容的真实性、准确性和完整性承担个别及连带责任。</w:t>
      </w:r>
    </w:p>
    <w:p w:rsidR="00346FE7" w:rsidRDefault="00346FE7">
      <w:pPr>
        <w:pStyle w:val="Default"/>
        <w:spacing w:line="360" w:lineRule="auto"/>
      </w:pPr>
    </w:p>
    <w:p w:rsidR="00346FE7" w:rsidRDefault="00686FCA" w:rsidP="00C0288E">
      <w:pPr>
        <w:pStyle w:val="Default"/>
        <w:spacing w:line="360" w:lineRule="auto"/>
        <w:ind w:firstLineChars="200" w:firstLine="480"/>
      </w:pPr>
      <w:r>
        <w:rPr>
          <w:rFonts w:hint="eastAsia"/>
        </w:rPr>
        <w:t>重要内容提示：</w:t>
      </w:r>
      <w:r>
        <w:t xml:space="preserve"> </w:t>
      </w:r>
    </w:p>
    <w:p w:rsidR="00346FE7" w:rsidRDefault="00686FCA" w:rsidP="00C0288E">
      <w:pPr>
        <w:pStyle w:val="Default"/>
        <w:spacing w:line="360" w:lineRule="auto"/>
        <w:ind w:firstLineChars="200" w:firstLine="460"/>
        <w:rPr>
          <w:rFonts w:hAnsi="Times New Roman"/>
          <w:sz w:val="23"/>
          <w:szCs w:val="23"/>
        </w:rPr>
      </w:pPr>
      <w:r>
        <w:rPr>
          <w:rFonts w:ascii="Wingdings" w:hAnsi="Wingdings" w:cs="Wingdings"/>
          <w:sz w:val="23"/>
          <w:szCs w:val="23"/>
        </w:rPr>
        <w:t></w:t>
      </w:r>
      <w:r>
        <w:rPr>
          <w:rFonts w:ascii="Wingdings" w:hAnsi="Wingdings" w:cs="Wingdings"/>
          <w:sz w:val="23"/>
          <w:szCs w:val="23"/>
        </w:rPr>
        <w:t></w:t>
      </w:r>
      <w:r>
        <w:rPr>
          <w:rFonts w:hAnsi="宋体" w:hint="eastAsia"/>
        </w:rPr>
        <w:t>每</w:t>
      </w:r>
      <w:proofErr w:type="gramStart"/>
      <w:r>
        <w:rPr>
          <w:rFonts w:hAnsi="宋体" w:hint="eastAsia"/>
        </w:rPr>
        <w:t>股分</w:t>
      </w:r>
      <w:proofErr w:type="gramEnd"/>
      <w:r>
        <w:rPr>
          <w:rFonts w:hAnsi="宋体" w:hint="eastAsia"/>
        </w:rPr>
        <w:t>配比例：每股派发现金红利人民币</w:t>
      </w:r>
      <w:r>
        <w:rPr>
          <w:rFonts w:hAnsi="宋体" w:cs="Times New Roman" w:hint="eastAsia"/>
        </w:rPr>
        <w:t>0.802</w:t>
      </w:r>
      <w:r>
        <w:rPr>
          <w:rFonts w:hAnsi="宋体" w:hint="eastAsia"/>
        </w:rPr>
        <w:t>元（含税）。</w:t>
      </w:r>
      <w:r>
        <w:rPr>
          <w:rFonts w:hAnsi="宋体"/>
        </w:rPr>
        <w:t xml:space="preserve"> </w:t>
      </w:r>
    </w:p>
    <w:p w:rsidR="00346FE7" w:rsidRDefault="00686FCA" w:rsidP="00C0288E">
      <w:pPr>
        <w:pStyle w:val="Default"/>
        <w:spacing w:line="360" w:lineRule="auto"/>
        <w:ind w:firstLineChars="200" w:firstLine="460"/>
        <w:rPr>
          <w:rFonts w:hAnsi="Wingdings" w:hint="eastAsia"/>
        </w:rPr>
      </w:pPr>
      <w:r>
        <w:rPr>
          <w:rFonts w:ascii="Wingdings" w:hAnsi="Wingdings" w:cs="Wingdings"/>
          <w:sz w:val="23"/>
          <w:szCs w:val="23"/>
        </w:rPr>
        <w:t></w:t>
      </w:r>
      <w:r>
        <w:rPr>
          <w:rFonts w:ascii="Wingdings" w:hAnsi="Wingdings" w:cs="Wingdings"/>
          <w:sz w:val="23"/>
          <w:szCs w:val="23"/>
        </w:rPr>
        <w:t></w:t>
      </w:r>
      <w:r>
        <w:rPr>
          <w:rFonts w:hAnsi="Wingdings" w:hint="eastAsia"/>
        </w:rPr>
        <w:t>本次利润分配以实施</w:t>
      </w:r>
      <w:r>
        <w:rPr>
          <w:rFonts w:hAnsi="宋体" w:hint="eastAsia"/>
        </w:rPr>
        <w:t>权益分派股权登记日</w:t>
      </w:r>
      <w:r>
        <w:rPr>
          <w:rFonts w:hAnsi="Wingdings" w:hint="eastAsia"/>
        </w:rPr>
        <w:t xml:space="preserve">登记的公司普通股总股本为基数，具体股权登记日期将在权益分派实施公告中明确。 </w:t>
      </w:r>
    </w:p>
    <w:p w:rsidR="00346FE7" w:rsidRDefault="00686FCA" w:rsidP="00C0288E">
      <w:pPr>
        <w:autoSpaceDE w:val="0"/>
        <w:autoSpaceDN w:val="0"/>
        <w:adjustRightInd w:val="0"/>
        <w:spacing w:line="360" w:lineRule="auto"/>
        <w:ind w:firstLineChars="200" w:firstLine="460"/>
        <w:jc w:val="left"/>
        <w:rPr>
          <w:rFonts w:ascii="宋体" w:eastAsia="宋体" w:hAnsi="宋体"/>
          <w:sz w:val="24"/>
        </w:rPr>
      </w:pPr>
      <w:r>
        <w:rPr>
          <w:rFonts w:ascii="Wingdings" w:eastAsia="宋体" w:hAnsi="Wingdings" w:cs="Wingdings"/>
          <w:color w:val="000000"/>
          <w:kern w:val="0"/>
          <w:sz w:val="23"/>
          <w:szCs w:val="23"/>
        </w:rPr>
        <w:t></w:t>
      </w:r>
      <w:r>
        <w:rPr>
          <w:rFonts w:ascii="Wingdings" w:eastAsia="宋体" w:hAnsi="Wingdings" w:cs="Wingdings"/>
          <w:color w:val="000000"/>
          <w:kern w:val="0"/>
          <w:sz w:val="23"/>
          <w:szCs w:val="23"/>
        </w:rPr>
        <w:t></w:t>
      </w:r>
      <w:r>
        <w:rPr>
          <w:rFonts w:ascii="宋体" w:eastAsia="宋体" w:hAnsi="宋体" w:hint="eastAsia"/>
          <w:sz w:val="24"/>
        </w:rPr>
        <w:t>综合考虑监管机构对资本充足率的要求以及公司业务可持续发展等因素，本年度拟分配现金红利人民币166.61亿元，占合并报表中归属于母公司股东的净利润的比例为25.01%，占归属于母公司普通股股东净利润的比例为26.00%。</w:t>
      </w:r>
    </w:p>
    <w:p w:rsidR="00346FE7" w:rsidRDefault="00346FE7">
      <w:pPr>
        <w:pStyle w:val="Default"/>
      </w:pPr>
    </w:p>
    <w:p w:rsidR="00346FE7" w:rsidRDefault="00686FCA">
      <w:pPr>
        <w:pStyle w:val="Default"/>
        <w:spacing w:line="360" w:lineRule="auto"/>
        <w:ind w:firstLineChars="200" w:firstLine="480"/>
        <w:rPr>
          <w:rFonts w:hAnsi="宋体"/>
          <w:b/>
        </w:rPr>
      </w:pPr>
      <w:r>
        <w:rPr>
          <w:rFonts w:hAnsi="宋体"/>
        </w:rPr>
        <w:t xml:space="preserve"> </w:t>
      </w:r>
      <w:r>
        <w:rPr>
          <w:rFonts w:hAnsi="宋体" w:hint="eastAsia"/>
          <w:b/>
        </w:rPr>
        <w:t>一、利润分配方案</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经毕马威华</w:t>
      </w:r>
      <w:proofErr w:type="gramStart"/>
      <w:r>
        <w:rPr>
          <w:rFonts w:ascii="宋体" w:eastAsia="宋体" w:hAnsi="宋体" w:hint="eastAsia"/>
          <w:sz w:val="24"/>
        </w:rPr>
        <w:t>振</w:t>
      </w:r>
      <w:proofErr w:type="gramEnd"/>
      <w:r>
        <w:rPr>
          <w:rFonts w:ascii="宋体" w:eastAsia="宋体" w:hAnsi="宋体"/>
          <w:sz w:val="24"/>
        </w:rPr>
        <w:t>会计师事务所</w:t>
      </w:r>
      <w:r>
        <w:rPr>
          <w:rFonts w:ascii="宋体" w:eastAsia="宋体" w:hAnsi="宋体" w:hint="eastAsia"/>
          <w:sz w:val="24"/>
        </w:rPr>
        <w:t>（特殊普通合伙）审计，以按照中国会计准则编制的财务</w:t>
      </w:r>
      <w:proofErr w:type="gramStart"/>
      <w:r>
        <w:rPr>
          <w:rFonts w:ascii="宋体" w:eastAsia="宋体" w:hAnsi="宋体" w:hint="eastAsia"/>
          <w:sz w:val="24"/>
        </w:rPr>
        <w:t>报表中母公司</w:t>
      </w:r>
      <w:proofErr w:type="gramEnd"/>
      <w:r>
        <w:rPr>
          <w:rFonts w:ascii="宋体" w:eastAsia="宋体" w:hAnsi="宋体" w:hint="eastAsia"/>
          <w:sz w:val="24"/>
        </w:rPr>
        <w:t>净利润为准，2020年度兴业银行股份有限公司（以下简称“公司”）净利润为人民币608.56亿元。经公司第九届董事会第二十七次会议审议通过，公司2020年度拟以实施权益分派股权登记日登记的普通股总股本为基数分配利润。具体利润分配方案如下：</w:t>
      </w:r>
    </w:p>
    <w:p w:rsidR="00346FE7" w:rsidRDefault="00686FCA">
      <w:pPr>
        <w:spacing w:line="360" w:lineRule="auto"/>
        <w:ind w:firstLineChars="200" w:firstLine="480"/>
        <w:rPr>
          <w:rFonts w:ascii="宋体" w:eastAsia="宋体" w:hAnsi="宋体"/>
          <w:sz w:val="24"/>
        </w:rPr>
      </w:pPr>
      <w:r>
        <w:rPr>
          <w:rFonts w:ascii="宋体" w:eastAsia="宋体" w:hAnsi="宋体" w:hint="eastAsia"/>
          <w:bCs/>
          <w:sz w:val="24"/>
        </w:rPr>
        <w:t>（一）提取法定盈余公积。根据《中华人民共和国公司法》的规定，</w:t>
      </w:r>
      <w:r>
        <w:rPr>
          <w:rFonts w:ascii="宋体" w:eastAsia="宋体" w:hAnsi="宋体"/>
          <w:sz w:val="24"/>
        </w:rPr>
        <w:t>20</w:t>
      </w:r>
      <w:r>
        <w:rPr>
          <w:rFonts w:ascii="宋体" w:eastAsia="宋体" w:hAnsi="宋体" w:hint="eastAsia"/>
          <w:sz w:val="24"/>
        </w:rPr>
        <w:t>20年末公司法定盈余公积已经达到注册资本的百分之五十，不再提取。</w:t>
      </w:r>
    </w:p>
    <w:p w:rsidR="00346FE7" w:rsidRDefault="00686FCA">
      <w:pPr>
        <w:spacing w:line="360" w:lineRule="auto"/>
        <w:ind w:firstLineChars="200" w:firstLine="480"/>
        <w:rPr>
          <w:rFonts w:ascii="宋体" w:eastAsia="宋体" w:hAnsi="宋体"/>
          <w:sz w:val="24"/>
        </w:rPr>
      </w:pPr>
      <w:r>
        <w:rPr>
          <w:rFonts w:ascii="宋体" w:eastAsia="宋体" w:hAnsi="宋体" w:hint="eastAsia"/>
          <w:bCs/>
          <w:sz w:val="24"/>
        </w:rPr>
        <w:t>（二）提取一般准备。</w:t>
      </w:r>
      <w:r>
        <w:rPr>
          <w:rFonts w:ascii="宋体" w:eastAsia="宋体" w:hAnsi="宋体" w:hint="eastAsia"/>
          <w:sz w:val="24"/>
        </w:rPr>
        <w:t>根据财政部《金融企业准备金计提管理办法》的规定，提取一般准备人民币85.53亿元。</w:t>
      </w:r>
    </w:p>
    <w:p w:rsidR="00346FE7" w:rsidRDefault="00686FCA">
      <w:pPr>
        <w:spacing w:line="360" w:lineRule="auto"/>
        <w:ind w:firstLineChars="200" w:firstLine="480"/>
        <w:rPr>
          <w:rFonts w:ascii="宋体" w:eastAsia="宋体" w:hAnsi="宋体"/>
          <w:bCs/>
          <w:sz w:val="24"/>
        </w:rPr>
      </w:pPr>
      <w:r>
        <w:rPr>
          <w:rFonts w:ascii="宋体" w:eastAsia="宋体" w:hAnsi="宋体" w:hint="eastAsia"/>
          <w:bCs/>
          <w:sz w:val="24"/>
        </w:rPr>
        <w:t>（三）支付优先股股息。公司以非公开方式发行三期人民币优先股，合计560亿元，2020年度应付优先股股息人民币28.41亿元。</w:t>
      </w:r>
    </w:p>
    <w:p w:rsidR="00346FE7" w:rsidRDefault="00686FCA">
      <w:pPr>
        <w:spacing w:line="360" w:lineRule="auto"/>
        <w:ind w:firstLineChars="200" w:firstLine="480"/>
        <w:rPr>
          <w:rFonts w:ascii="宋体" w:eastAsia="宋体" w:hAnsi="宋体"/>
          <w:bCs/>
          <w:sz w:val="24"/>
        </w:rPr>
      </w:pPr>
      <w:r>
        <w:rPr>
          <w:rFonts w:ascii="宋体" w:eastAsia="宋体" w:hAnsi="宋体" w:hint="eastAsia"/>
          <w:bCs/>
          <w:sz w:val="24"/>
        </w:rPr>
        <w:lastRenderedPageBreak/>
        <w:t>（四）分配普通股股利，拟派发现金股利人民币166.61亿元。</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根据公司章程对利润分配的有关规定，综合考虑监管机构对资本充足率的要求以及公司业务可持续发展等因素，拟以普通股总股本</w:t>
      </w:r>
      <w:r>
        <w:rPr>
          <w:rFonts w:ascii="宋体" w:eastAsia="宋体" w:hAnsi="宋体"/>
          <w:sz w:val="24"/>
        </w:rPr>
        <w:t>20,774,190,751</w:t>
      </w:r>
      <w:r>
        <w:rPr>
          <w:rFonts w:ascii="宋体" w:eastAsia="宋体" w:hAnsi="宋体" w:hint="eastAsia"/>
          <w:sz w:val="24"/>
        </w:rPr>
        <w:t>股为基数，向实施权益分派股权登记日登记在册的普通股股东派发现金股利，每</w:t>
      </w:r>
      <w:r>
        <w:rPr>
          <w:rFonts w:ascii="宋体" w:eastAsia="宋体" w:hAnsi="宋体"/>
          <w:sz w:val="24"/>
        </w:rPr>
        <w:t>10</w:t>
      </w:r>
      <w:r>
        <w:rPr>
          <w:rFonts w:ascii="宋体" w:eastAsia="宋体" w:hAnsi="宋体" w:hint="eastAsia"/>
          <w:sz w:val="24"/>
        </w:rPr>
        <w:t>股派发现金股利人民币</w:t>
      </w:r>
      <w:r>
        <w:rPr>
          <w:rFonts w:ascii="宋体" w:eastAsia="宋体" w:hAnsi="宋体"/>
          <w:sz w:val="24"/>
        </w:rPr>
        <w:t>8.02</w:t>
      </w:r>
      <w:r>
        <w:rPr>
          <w:rFonts w:ascii="宋体" w:eastAsia="宋体" w:hAnsi="宋体" w:hint="eastAsia"/>
          <w:sz w:val="24"/>
        </w:rPr>
        <w:t>元（含税），共分配现金红</w:t>
      </w:r>
      <w:r>
        <w:rPr>
          <w:rFonts w:ascii="宋体" w:eastAsia="宋体" w:hAnsi="宋体" w:hint="eastAsia"/>
          <w:bCs/>
          <w:sz w:val="24"/>
        </w:rPr>
        <w:t>利人民币166.61亿元</w:t>
      </w:r>
      <w:r>
        <w:rPr>
          <w:rFonts w:ascii="宋体" w:eastAsia="宋体" w:hAnsi="宋体" w:hint="eastAsia"/>
          <w:sz w:val="24"/>
        </w:rPr>
        <w:t>。</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上述分配方案执行后，留存未分配利润将转入下一年度，用于公司补充核心一级资本。</w:t>
      </w:r>
    </w:p>
    <w:p w:rsidR="00206B1E" w:rsidRDefault="00206B1E">
      <w:pPr>
        <w:spacing w:line="360" w:lineRule="auto"/>
        <w:ind w:firstLineChars="200" w:firstLine="480"/>
        <w:rPr>
          <w:rFonts w:ascii="宋体" w:eastAsia="宋体" w:hAnsi="宋体"/>
          <w:sz w:val="24"/>
        </w:rPr>
      </w:pPr>
    </w:p>
    <w:p w:rsidR="00346FE7" w:rsidRDefault="00686FCA">
      <w:pPr>
        <w:spacing w:line="360" w:lineRule="auto"/>
        <w:ind w:firstLineChars="200" w:firstLine="482"/>
        <w:rPr>
          <w:rFonts w:ascii="宋体" w:eastAsia="宋体" w:hAnsi="宋体"/>
          <w:b/>
          <w:sz w:val="24"/>
        </w:rPr>
      </w:pPr>
      <w:r>
        <w:rPr>
          <w:rFonts w:ascii="宋体" w:eastAsia="宋体" w:hAnsi="宋体" w:hint="eastAsia"/>
          <w:b/>
          <w:sz w:val="24"/>
        </w:rPr>
        <w:t>二、本年度现金分红比例低于30%的情况说明</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报告期内，合并报表中归属于母公司股东的净利润</w:t>
      </w:r>
      <w:r>
        <w:rPr>
          <w:rFonts w:ascii="宋体" w:eastAsia="宋体" w:hAnsi="宋体"/>
          <w:sz w:val="24"/>
        </w:rPr>
        <w:t>666.26</w:t>
      </w:r>
      <w:r>
        <w:rPr>
          <w:rFonts w:ascii="宋体" w:eastAsia="宋体" w:hAnsi="宋体" w:hint="eastAsia"/>
          <w:sz w:val="24"/>
        </w:rPr>
        <w:t>亿元，公司拟分配的现金红利总额为166.61亿元，占本年度合并报表中归属于母公司股东的净利润比例为25.01%，占归属于母公司普通股股东净利润的比例为26.00%。主要考虑因素如下：</w:t>
      </w:r>
      <w:r>
        <w:rPr>
          <w:rFonts w:ascii="宋体" w:eastAsia="宋体" w:hAnsi="宋体"/>
          <w:sz w:val="24"/>
        </w:rPr>
        <w:t xml:space="preserve"> </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（一）外部经营环境影响商业银行内生资本积累。面对疫情冲击等复杂局势，商业银行受跨周期统筹安排等政策因素影响，面临利润增速放缓等挑战加大。</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（二）资本监管要求提高。巴塞尔协议Ⅲ对商业银行的资本监管要求不断加强。2020年12月，中国人民银行、银保监会联合发布《系统重要性银行评估办法》，对商业银行的资本充足率指标监管要求进一步提高。</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（三）保障公司长期健康稳定发展。我国经济长期稳定增长需要银行业持续提供增量融资服务，同时公司加快推进“商行+投行”</w:t>
      </w:r>
      <w:r w:rsidR="0087674A">
        <w:rPr>
          <w:rFonts w:ascii="宋体" w:eastAsia="宋体" w:hAnsi="宋体" w:hint="eastAsia"/>
          <w:sz w:val="24"/>
        </w:rPr>
        <w:t>业务</w:t>
      </w:r>
      <w:bookmarkStart w:id="0" w:name="_GoBack"/>
      <w:bookmarkEnd w:id="0"/>
      <w:r>
        <w:rPr>
          <w:rFonts w:ascii="宋体" w:eastAsia="宋体" w:hAnsi="宋体" w:hint="eastAsia"/>
          <w:sz w:val="24"/>
        </w:rPr>
        <w:t>布局、大力发展绿色金融、支持实体经济发展等，需要有充足的资本支持发展战略实施。</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综上，公司现金分红方案综合考虑了监管机构对资本充足率的要求、股东投资回报以及业务可持续发展二者关系的平衡，保持了分红政策的连续性和稳定性。留存未分配利润用于公司加强资本积累，支持公司的长期可持续发展，进一步提升股东长期回报。</w:t>
      </w:r>
    </w:p>
    <w:p w:rsidR="00206B1E" w:rsidRDefault="00206B1E">
      <w:pPr>
        <w:spacing w:line="360" w:lineRule="auto"/>
        <w:ind w:firstLineChars="200" w:firstLine="480"/>
        <w:rPr>
          <w:rFonts w:ascii="宋体" w:eastAsia="宋体" w:hAnsi="宋体"/>
          <w:sz w:val="24"/>
        </w:rPr>
      </w:pPr>
    </w:p>
    <w:p w:rsidR="00346FE7" w:rsidRDefault="00686FCA">
      <w:pPr>
        <w:spacing w:line="360" w:lineRule="auto"/>
        <w:ind w:firstLineChars="200" w:firstLine="482"/>
        <w:rPr>
          <w:rFonts w:ascii="宋体" w:eastAsia="宋体" w:hAnsi="宋体"/>
          <w:b/>
          <w:sz w:val="24"/>
        </w:rPr>
      </w:pPr>
      <w:r>
        <w:rPr>
          <w:rFonts w:ascii="宋体" w:eastAsia="宋体" w:hAnsi="宋体" w:hint="eastAsia"/>
          <w:b/>
          <w:sz w:val="24"/>
        </w:rPr>
        <w:t>三、公司履行的决策程序</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（一）董事会会议的召开、审议和表决情况</w:t>
      </w:r>
      <w:r>
        <w:rPr>
          <w:rFonts w:ascii="宋体" w:eastAsia="宋体" w:hAnsi="宋体"/>
          <w:sz w:val="24"/>
        </w:rPr>
        <w:t xml:space="preserve"> </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公司于</w:t>
      </w:r>
      <w:r>
        <w:rPr>
          <w:rFonts w:ascii="宋体" w:eastAsia="宋体" w:hAnsi="宋体"/>
          <w:sz w:val="24"/>
        </w:rPr>
        <w:t>202</w:t>
      </w:r>
      <w:r>
        <w:rPr>
          <w:rFonts w:ascii="宋体" w:eastAsia="宋体" w:hAnsi="宋体" w:hint="eastAsia"/>
          <w:sz w:val="24"/>
        </w:rPr>
        <w:t>1年3月30日召开的第九届董事会第二十七次会议审议通过了《</w:t>
      </w:r>
      <w:r>
        <w:rPr>
          <w:rFonts w:ascii="宋体" w:eastAsia="宋体" w:hAnsi="宋体"/>
          <w:sz w:val="24"/>
        </w:rPr>
        <w:t>20</w:t>
      </w:r>
      <w:r>
        <w:rPr>
          <w:rFonts w:ascii="宋体" w:eastAsia="宋体" w:hAnsi="宋体" w:hint="eastAsia"/>
          <w:sz w:val="24"/>
        </w:rPr>
        <w:t>20年度利润分配预案》，全体董事一致同意将</w:t>
      </w:r>
      <w:r>
        <w:rPr>
          <w:rFonts w:ascii="宋体" w:eastAsia="宋体" w:hAnsi="宋体"/>
          <w:sz w:val="24"/>
        </w:rPr>
        <w:t>20</w:t>
      </w:r>
      <w:r>
        <w:rPr>
          <w:rFonts w:ascii="宋体" w:eastAsia="宋体" w:hAnsi="宋体" w:hint="eastAsia"/>
          <w:sz w:val="24"/>
        </w:rPr>
        <w:t>20年度利润分配预案提交公司</w:t>
      </w:r>
      <w:r>
        <w:rPr>
          <w:rFonts w:ascii="宋体" w:eastAsia="宋体" w:hAnsi="宋体"/>
          <w:sz w:val="24"/>
        </w:rPr>
        <w:t>20</w:t>
      </w:r>
      <w:r>
        <w:rPr>
          <w:rFonts w:ascii="宋体" w:eastAsia="宋体" w:hAnsi="宋体" w:hint="eastAsia"/>
          <w:sz w:val="24"/>
        </w:rPr>
        <w:t>20年</w:t>
      </w:r>
      <w:r>
        <w:rPr>
          <w:rFonts w:ascii="宋体" w:eastAsia="宋体" w:hAnsi="宋体" w:hint="eastAsia"/>
          <w:sz w:val="24"/>
        </w:rPr>
        <w:lastRenderedPageBreak/>
        <w:t>年度股东大会审议。</w:t>
      </w:r>
      <w:r>
        <w:rPr>
          <w:rFonts w:ascii="宋体" w:eastAsia="宋体" w:hAnsi="宋体"/>
          <w:sz w:val="24"/>
        </w:rPr>
        <w:t xml:space="preserve"> </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（二）独立董事意见</w:t>
      </w:r>
      <w:r>
        <w:rPr>
          <w:rFonts w:ascii="宋体" w:eastAsia="宋体" w:hAnsi="宋体"/>
          <w:sz w:val="24"/>
        </w:rPr>
        <w:t xml:space="preserve"> </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公司全体独立董事认为：公司</w:t>
      </w:r>
      <w:r>
        <w:rPr>
          <w:rFonts w:ascii="宋体" w:eastAsia="宋体" w:hAnsi="宋体" w:hint="eastAsia"/>
          <w:bCs/>
          <w:sz w:val="24"/>
        </w:rPr>
        <w:t>2020年度利润分配预案严格遵守《中华人民共和国公司法》《企业会计准则》《金融企业财务规则》《关于呆账准备提取有关问题的通知》（财金〔2005〕90号）、中国证监会《关于进一步落实上市公司现金分红有关事项的通知》和公司章程等有关规定，分配顺序合法，股利发放政策在满足监管部门有关商业银行资本充足率要求的前提下，充分考虑了各类别投资者的诉求，兼顾了公司可持续发展的需要。</w:t>
      </w:r>
      <w:r>
        <w:rPr>
          <w:rFonts w:ascii="宋体" w:eastAsia="宋体" w:hAnsi="宋体" w:hint="eastAsia"/>
          <w:sz w:val="24"/>
        </w:rPr>
        <w:t>同意将</w:t>
      </w:r>
      <w:r>
        <w:rPr>
          <w:rFonts w:ascii="宋体" w:eastAsia="宋体" w:hAnsi="宋体"/>
          <w:sz w:val="24"/>
        </w:rPr>
        <w:t>20</w:t>
      </w:r>
      <w:r>
        <w:rPr>
          <w:rFonts w:ascii="宋体" w:eastAsia="宋体" w:hAnsi="宋体" w:hint="eastAsia"/>
          <w:sz w:val="24"/>
        </w:rPr>
        <w:t>20年度利润分配预案提交公司</w:t>
      </w:r>
      <w:r>
        <w:rPr>
          <w:rFonts w:ascii="宋体" w:eastAsia="宋体" w:hAnsi="宋体"/>
          <w:sz w:val="24"/>
        </w:rPr>
        <w:t>20</w:t>
      </w:r>
      <w:r>
        <w:rPr>
          <w:rFonts w:ascii="宋体" w:eastAsia="宋体" w:hAnsi="宋体" w:hint="eastAsia"/>
          <w:sz w:val="24"/>
        </w:rPr>
        <w:t>20年年度股东大会审议。</w:t>
      </w:r>
      <w:r>
        <w:rPr>
          <w:rFonts w:ascii="宋体" w:eastAsia="宋体" w:hAnsi="宋体"/>
          <w:sz w:val="24"/>
        </w:rPr>
        <w:t xml:space="preserve"> </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（三）监事会意见</w:t>
      </w:r>
      <w:r>
        <w:rPr>
          <w:rFonts w:ascii="宋体" w:eastAsia="宋体" w:hAnsi="宋体"/>
          <w:sz w:val="24"/>
        </w:rPr>
        <w:t xml:space="preserve"> </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szCs w:val="22"/>
        </w:rPr>
        <w:t>公司于</w:t>
      </w:r>
      <w:r>
        <w:rPr>
          <w:rFonts w:ascii="宋体" w:eastAsia="宋体" w:hAnsi="宋体"/>
          <w:sz w:val="24"/>
          <w:szCs w:val="22"/>
        </w:rPr>
        <w:t>202</w:t>
      </w:r>
      <w:r>
        <w:rPr>
          <w:rFonts w:ascii="宋体" w:eastAsia="宋体" w:hAnsi="宋体" w:hint="eastAsia"/>
          <w:sz w:val="24"/>
          <w:szCs w:val="22"/>
        </w:rPr>
        <w:t>1年3月29日召开的第七届监事会第二十二次会议审议通过了</w:t>
      </w:r>
      <w:r>
        <w:rPr>
          <w:rFonts w:ascii="宋体" w:eastAsia="宋体" w:hAnsi="宋体" w:hint="eastAsia"/>
          <w:sz w:val="24"/>
        </w:rPr>
        <w:t>《</w:t>
      </w:r>
      <w:r>
        <w:rPr>
          <w:rFonts w:ascii="宋体" w:eastAsia="宋体" w:hAnsi="宋体"/>
          <w:sz w:val="24"/>
        </w:rPr>
        <w:t>20</w:t>
      </w:r>
      <w:r>
        <w:rPr>
          <w:rFonts w:ascii="宋体" w:eastAsia="宋体" w:hAnsi="宋体" w:hint="eastAsia"/>
          <w:sz w:val="24"/>
        </w:rPr>
        <w:t>20年度利润分配预案》，监事会认为《2020年度利润分配预案》及其决策程序符合公司章程规定的利润分配政策以及公司《中期股东回报规划（</w:t>
      </w:r>
      <w:r>
        <w:rPr>
          <w:rFonts w:ascii="宋体" w:eastAsia="宋体" w:hAnsi="宋体"/>
          <w:sz w:val="24"/>
        </w:rPr>
        <w:t>201</w:t>
      </w:r>
      <w:r>
        <w:rPr>
          <w:rFonts w:ascii="宋体" w:eastAsia="宋体" w:hAnsi="宋体" w:hint="eastAsia"/>
          <w:sz w:val="24"/>
        </w:rPr>
        <w:t>8</w:t>
      </w:r>
      <w:r>
        <w:rPr>
          <w:rFonts w:ascii="宋体" w:eastAsia="宋体" w:hAnsi="宋体"/>
          <w:sz w:val="24"/>
        </w:rPr>
        <w:t>-20</w:t>
      </w:r>
      <w:r>
        <w:rPr>
          <w:rFonts w:ascii="宋体" w:eastAsia="宋体" w:hAnsi="宋体" w:hint="eastAsia"/>
          <w:sz w:val="24"/>
        </w:rPr>
        <w:t>20年）》。</w:t>
      </w:r>
    </w:p>
    <w:p w:rsidR="00346FE7" w:rsidRDefault="00346FE7">
      <w:pPr>
        <w:spacing w:line="360" w:lineRule="auto"/>
        <w:ind w:firstLineChars="200" w:firstLine="482"/>
        <w:rPr>
          <w:rFonts w:ascii="宋体" w:eastAsia="宋体" w:hAnsi="宋体"/>
          <w:b/>
          <w:sz w:val="24"/>
        </w:rPr>
      </w:pPr>
    </w:p>
    <w:p w:rsidR="00346FE7" w:rsidRDefault="00686FCA">
      <w:pPr>
        <w:spacing w:line="360" w:lineRule="auto"/>
        <w:ind w:firstLineChars="200" w:firstLine="482"/>
        <w:rPr>
          <w:rFonts w:ascii="宋体" w:eastAsia="宋体" w:hAnsi="宋体"/>
          <w:b/>
          <w:sz w:val="24"/>
        </w:rPr>
      </w:pPr>
      <w:r>
        <w:rPr>
          <w:rFonts w:ascii="宋体" w:eastAsia="宋体" w:hAnsi="宋体" w:hint="eastAsia"/>
          <w:b/>
          <w:sz w:val="24"/>
        </w:rPr>
        <w:t>四、相关风险提示</w:t>
      </w:r>
    </w:p>
    <w:p w:rsidR="00346FE7" w:rsidRDefault="00686FCA">
      <w:pPr>
        <w:spacing w:line="360" w:lineRule="auto"/>
        <w:ind w:firstLineChars="200" w:firstLine="480"/>
        <w:rPr>
          <w:rFonts w:ascii="宋体" w:eastAsia="宋体" w:hAnsi="宋体"/>
          <w:sz w:val="24"/>
        </w:rPr>
      </w:pPr>
      <w:r>
        <w:rPr>
          <w:rFonts w:ascii="宋体" w:eastAsia="宋体" w:hAnsi="宋体" w:hint="eastAsia"/>
          <w:sz w:val="24"/>
        </w:rPr>
        <w:t>2020年度利润分配预案尚待公司</w:t>
      </w:r>
      <w:r>
        <w:rPr>
          <w:rFonts w:ascii="宋体" w:eastAsia="宋体" w:hAnsi="宋体"/>
          <w:sz w:val="24"/>
        </w:rPr>
        <w:t>20</w:t>
      </w:r>
      <w:r>
        <w:rPr>
          <w:rFonts w:ascii="宋体" w:eastAsia="宋体" w:hAnsi="宋体" w:hint="eastAsia"/>
          <w:sz w:val="24"/>
        </w:rPr>
        <w:t>20年年度股东大会审议通过后方可实施。</w:t>
      </w:r>
    </w:p>
    <w:p w:rsidR="00346FE7" w:rsidRDefault="00346FE7">
      <w:pPr>
        <w:spacing w:line="360" w:lineRule="auto"/>
        <w:ind w:firstLineChars="200" w:firstLine="480"/>
        <w:rPr>
          <w:rFonts w:ascii="宋体" w:eastAsia="宋体" w:hAnsi="宋体"/>
          <w:sz w:val="24"/>
        </w:rPr>
      </w:pPr>
    </w:p>
    <w:p w:rsidR="00346FE7" w:rsidRDefault="00686FCA">
      <w:pPr>
        <w:spacing w:line="360" w:lineRule="auto"/>
        <w:ind w:firstLineChars="200" w:firstLine="480"/>
        <w:rPr>
          <w:rFonts w:ascii="宋体" w:eastAsia="宋体" w:hAnsi="宋体"/>
          <w:sz w:val="24"/>
        </w:rPr>
      </w:pPr>
      <w:r>
        <w:rPr>
          <w:rFonts w:ascii="宋体" w:eastAsia="宋体" w:hAnsi="宋体"/>
          <w:sz w:val="24"/>
        </w:rPr>
        <w:t>特此公告。</w:t>
      </w:r>
    </w:p>
    <w:p w:rsidR="00346FE7" w:rsidRDefault="00346FE7">
      <w:pPr>
        <w:spacing w:line="360" w:lineRule="auto"/>
        <w:rPr>
          <w:rFonts w:ascii="宋体" w:eastAsia="宋体" w:hAnsi="宋体"/>
          <w:sz w:val="24"/>
        </w:rPr>
      </w:pPr>
    </w:p>
    <w:p w:rsidR="00346FE7" w:rsidRDefault="00686FCA">
      <w:pPr>
        <w:pStyle w:val="Default"/>
        <w:spacing w:line="360" w:lineRule="auto"/>
        <w:ind w:firstLine="480"/>
        <w:jc w:val="right"/>
        <w:rPr>
          <w:rFonts w:hAnsi="宋体" w:cs="Times New Roman"/>
        </w:rPr>
      </w:pPr>
      <w:r>
        <w:rPr>
          <w:rFonts w:hAnsi="宋体" w:cs="Times New Roman" w:hint="eastAsia"/>
        </w:rPr>
        <w:t>兴业</w:t>
      </w:r>
      <w:r>
        <w:rPr>
          <w:rFonts w:hAnsi="宋体" w:cs="Times New Roman"/>
        </w:rPr>
        <w:t>银行股份有限公司董事会</w:t>
      </w:r>
    </w:p>
    <w:p w:rsidR="00346FE7" w:rsidRDefault="00686FCA">
      <w:pPr>
        <w:pStyle w:val="Default"/>
        <w:spacing w:line="360" w:lineRule="auto"/>
        <w:ind w:rightChars="181" w:right="507" w:firstLine="480"/>
        <w:jc w:val="right"/>
      </w:pPr>
      <w:r>
        <w:rPr>
          <w:rFonts w:hAnsi="宋体" w:cs="Times New Roman"/>
        </w:rPr>
        <w:t xml:space="preserve">                               </w:t>
      </w:r>
      <w:r>
        <w:rPr>
          <w:rFonts w:hAnsi="宋体" w:cs="Times New Roman" w:hint="eastAsia"/>
        </w:rPr>
        <w:t>2021</w:t>
      </w:r>
      <w:r>
        <w:rPr>
          <w:rFonts w:hAnsi="宋体" w:cs="Times New Roman"/>
        </w:rPr>
        <w:t>年</w:t>
      </w:r>
      <w:r>
        <w:rPr>
          <w:rFonts w:hAnsi="宋体" w:cs="Times New Roman" w:hint="eastAsia"/>
        </w:rPr>
        <w:t>3</w:t>
      </w:r>
      <w:r>
        <w:rPr>
          <w:rFonts w:hAnsi="宋体" w:cs="Times New Roman"/>
        </w:rPr>
        <w:t>月</w:t>
      </w:r>
      <w:r>
        <w:rPr>
          <w:rFonts w:hAnsi="宋体" w:cs="Times New Roman" w:hint="eastAsia"/>
        </w:rPr>
        <w:t>30</w:t>
      </w:r>
      <w:r>
        <w:rPr>
          <w:rFonts w:hAnsi="宋体" w:cs="Times New Roman"/>
        </w:rPr>
        <w:t>日</w:t>
      </w:r>
      <w:bookmarkStart w:id="1" w:name="_DV_M116"/>
      <w:bookmarkStart w:id="2" w:name="_DV_M117"/>
      <w:bookmarkStart w:id="3" w:name="_DV_M118"/>
      <w:bookmarkStart w:id="4" w:name="_DV_M119"/>
      <w:bookmarkStart w:id="5" w:name="_DV_M277"/>
      <w:bookmarkStart w:id="6" w:name="_DV_M278"/>
      <w:bookmarkStart w:id="7" w:name="_DV_M280"/>
      <w:bookmarkStart w:id="8" w:name="_DV_M282"/>
      <w:bookmarkStart w:id="9" w:name="_DV_M284"/>
      <w:bookmarkEnd w:id="1"/>
      <w:bookmarkEnd w:id="2"/>
      <w:bookmarkEnd w:id="3"/>
      <w:bookmarkEnd w:id="4"/>
      <w:bookmarkEnd w:id="5"/>
      <w:bookmarkEnd w:id="6"/>
      <w:bookmarkEnd w:id="7"/>
      <w:bookmarkEnd w:id="8"/>
      <w:bookmarkEnd w:id="9"/>
    </w:p>
    <w:sectPr w:rsidR="00346FE7">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FC4" w:rsidRDefault="00932FC4">
      <w:r>
        <w:separator/>
      </w:r>
    </w:p>
  </w:endnote>
  <w:endnote w:type="continuationSeparator" w:id="0">
    <w:p w:rsidR="00932FC4" w:rsidRDefault="0093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E7" w:rsidRDefault="00686FCA">
    <w:pPr>
      <w:pStyle w:val="a5"/>
      <w:jc w:val="center"/>
    </w:pPr>
    <w:r>
      <w:fldChar w:fldCharType="begin"/>
    </w:r>
    <w:r>
      <w:instrText>PAGE   \* MERGEFORMAT</w:instrText>
    </w:r>
    <w:r>
      <w:fldChar w:fldCharType="separate"/>
    </w:r>
    <w:r w:rsidR="0087674A" w:rsidRPr="0087674A">
      <w:rPr>
        <w:noProof/>
        <w:lang w:val="zh-CN"/>
      </w:rPr>
      <w:t>2</w:t>
    </w:r>
    <w:r>
      <w:fldChar w:fldCharType="end"/>
    </w:r>
  </w:p>
  <w:p w:rsidR="00346FE7" w:rsidRDefault="00346F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FC4" w:rsidRDefault="00932FC4">
      <w:r>
        <w:separator/>
      </w:r>
    </w:p>
  </w:footnote>
  <w:footnote w:type="continuationSeparator" w:id="0">
    <w:p w:rsidR="00932FC4" w:rsidRDefault="00932FC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秉琳">
    <w15:presenceInfo w15:providerId="None" w15:userId="杨秉琳"/>
  </w15:person>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A7"/>
    <w:rsid w:val="000008CE"/>
    <w:rsid w:val="00021681"/>
    <w:rsid w:val="00031B36"/>
    <w:rsid w:val="00043641"/>
    <w:rsid w:val="00046A4B"/>
    <w:rsid w:val="00051DAF"/>
    <w:rsid w:val="00053E83"/>
    <w:rsid w:val="00057139"/>
    <w:rsid w:val="00067320"/>
    <w:rsid w:val="00070189"/>
    <w:rsid w:val="000718A3"/>
    <w:rsid w:val="00093A72"/>
    <w:rsid w:val="00094E8D"/>
    <w:rsid w:val="000953E7"/>
    <w:rsid w:val="000A1BA6"/>
    <w:rsid w:val="000A38FA"/>
    <w:rsid w:val="000A5E4F"/>
    <w:rsid w:val="000B0D6C"/>
    <w:rsid w:val="000B1644"/>
    <w:rsid w:val="000C5F53"/>
    <w:rsid w:val="000D31D3"/>
    <w:rsid w:val="000D35B1"/>
    <w:rsid w:val="000F2E80"/>
    <w:rsid w:val="000F64F4"/>
    <w:rsid w:val="00101680"/>
    <w:rsid w:val="00103490"/>
    <w:rsid w:val="0011579D"/>
    <w:rsid w:val="001171FB"/>
    <w:rsid w:val="0012530B"/>
    <w:rsid w:val="00137CB2"/>
    <w:rsid w:val="00143625"/>
    <w:rsid w:val="00155145"/>
    <w:rsid w:val="00156216"/>
    <w:rsid w:val="00164A3E"/>
    <w:rsid w:val="0016592A"/>
    <w:rsid w:val="00167645"/>
    <w:rsid w:val="001679CF"/>
    <w:rsid w:val="0017256B"/>
    <w:rsid w:val="00173D56"/>
    <w:rsid w:val="0017480C"/>
    <w:rsid w:val="0018485F"/>
    <w:rsid w:val="0019710A"/>
    <w:rsid w:val="00197D5F"/>
    <w:rsid w:val="001A129A"/>
    <w:rsid w:val="001A7D6A"/>
    <w:rsid w:val="001B2134"/>
    <w:rsid w:val="001C3758"/>
    <w:rsid w:val="001D147A"/>
    <w:rsid w:val="001D42BF"/>
    <w:rsid w:val="001D58B1"/>
    <w:rsid w:val="001E1924"/>
    <w:rsid w:val="001F0F48"/>
    <w:rsid w:val="001F3AED"/>
    <w:rsid w:val="001F7D8A"/>
    <w:rsid w:val="00206B1E"/>
    <w:rsid w:val="00214C1A"/>
    <w:rsid w:val="0021736F"/>
    <w:rsid w:val="00220A44"/>
    <w:rsid w:val="0022607E"/>
    <w:rsid w:val="00227749"/>
    <w:rsid w:val="0023236A"/>
    <w:rsid w:val="00240D74"/>
    <w:rsid w:val="00243AE8"/>
    <w:rsid w:val="002450C5"/>
    <w:rsid w:val="00257515"/>
    <w:rsid w:val="00276B49"/>
    <w:rsid w:val="00280BFC"/>
    <w:rsid w:val="00281A1E"/>
    <w:rsid w:val="00282116"/>
    <w:rsid w:val="00290DF5"/>
    <w:rsid w:val="00291C5A"/>
    <w:rsid w:val="00291DC4"/>
    <w:rsid w:val="002A05C1"/>
    <w:rsid w:val="002B6CD7"/>
    <w:rsid w:val="002B79FB"/>
    <w:rsid w:val="002C1C5F"/>
    <w:rsid w:val="002C3E64"/>
    <w:rsid w:val="002C7793"/>
    <w:rsid w:val="002D701D"/>
    <w:rsid w:val="002E1F74"/>
    <w:rsid w:val="002E4FAD"/>
    <w:rsid w:val="002E53C8"/>
    <w:rsid w:val="002E7080"/>
    <w:rsid w:val="002F0AAB"/>
    <w:rsid w:val="002F234A"/>
    <w:rsid w:val="002F561F"/>
    <w:rsid w:val="002F6C37"/>
    <w:rsid w:val="00303C1D"/>
    <w:rsid w:val="0030419F"/>
    <w:rsid w:val="00304E64"/>
    <w:rsid w:val="003055EA"/>
    <w:rsid w:val="00320B6D"/>
    <w:rsid w:val="00320DE1"/>
    <w:rsid w:val="00320F10"/>
    <w:rsid w:val="00324785"/>
    <w:rsid w:val="0032624F"/>
    <w:rsid w:val="00332C5F"/>
    <w:rsid w:val="0033729D"/>
    <w:rsid w:val="003437DC"/>
    <w:rsid w:val="0034680F"/>
    <w:rsid w:val="00346FE7"/>
    <w:rsid w:val="00347787"/>
    <w:rsid w:val="00347C25"/>
    <w:rsid w:val="00347D00"/>
    <w:rsid w:val="00351AB4"/>
    <w:rsid w:val="0036585E"/>
    <w:rsid w:val="00366765"/>
    <w:rsid w:val="00366F6F"/>
    <w:rsid w:val="003742EB"/>
    <w:rsid w:val="00381A1A"/>
    <w:rsid w:val="00384E37"/>
    <w:rsid w:val="00384EF8"/>
    <w:rsid w:val="00387F46"/>
    <w:rsid w:val="00395430"/>
    <w:rsid w:val="00397268"/>
    <w:rsid w:val="003A5DF0"/>
    <w:rsid w:val="003B01AF"/>
    <w:rsid w:val="003B2E86"/>
    <w:rsid w:val="003B6653"/>
    <w:rsid w:val="003C0403"/>
    <w:rsid w:val="003C4B48"/>
    <w:rsid w:val="003D0062"/>
    <w:rsid w:val="003D0A47"/>
    <w:rsid w:val="003E1C28"/>
    <w:rsid w:val="003F436B"/>
    <w:rsid w:val="003F7C71"/>
    <w:rsid w:val="00400ADC"/>
    <w:rsid w:val="00400B18"/>
    <w:rsid w:val="00403C68"/>
    <w:rsid w:val="004109D5"/>
    <w:rsid w:val="004254ED"/>
    <w:rsid w:val="00431820"/>
    <w:rsid w:val="00437ACC"/>
    <w:rsid w:val="00441C48"/>
    <w:rsid w:val="00443D65"/>
    <w:rsid w:val="00444861"/>
    <w:rsid w:val="00453708"/>
    <w:rsid w:val="00461FCB"/>
    <w:rsid w:val="00472FBD"/>
    <w:rsid w:val="004740E5"/>
    <w:rsid w:val="00474937"/>
    <w:rsid w:val="00476F5F"/>
    <w:rsid w:val="00480DB4"/>
    <w:rsid w:val="00496EB7"/>
    <w:rsid w:val="004A3F81"/>
    <w:rsid w:val="004A7075"/>
    <w:rsid w:val="004B2164"/>
    <w:rsid w:val="004C466A"/>
    <w:rsid w:val="004C7E5E"/>
    <w:rsid w:val="004D7377"/>
    <w:rsid w:val="004E584F"/>
    <w:rsid w:val="004F7A2C"/>
    <w:rsid w:val="004F7D1C"/>
    <w:rsid w:val="005042A3"/>
    <w:rsid w:val="005069E8"/>
    <w:rsid w:val="00510E55"/>
    <w:rsid w:val="005120DA"/>
    <w:rsid w:val="00523B91"/>
    <w:rsid w:val="00524D18"/>
    <w:rsid w:val="005272D6"/>
    <w:rsid w:val="00534A6A"/>
    <w:rsid w:val="00535598"/>
    <w:rsid w:val="00540710"/>
    <w:rsid w:val="00541BF8"/>
    <w:rsid w:val="00543192"/>
    <w:rsid w:val="0055407D"/>
    <w:rsid w:val="005638D2"/>
    <w:rsid w:val="0056397E"/>
    <w:rsid w:val="00567C6F"/>
    <w:rsid w:val="005734EA"/>
    <w:rsid w:val="005812C9"/>
    <w:rsid w:val="00582095"/>
    <w:rsid w:val="00586483"/>
    <w:rsid w:val="005A217D"/>
    <w:rsid w:val="005B5F93"/>
    <w:rsid w:val="005C2025"/>
    <w:rsid w:val="005C63DB"/>
    <w:rsid w:val="005F31A1"/>
    <w:rsid w:val="00602665"/>
    <w:rsid w:val="006027AC"/>
    <w:rsid w:val="00616C00"/>
    <w:rsid w:val="00617392"/>
    <w:rsid w:val="0062310D"/>
    <w:rsid w:val="0063243A"/>
    <w:rsid w:val="006331B0"/>
    <w:rsid w:val="0063535D"/>
    <w:rsid w:val="00641A84"/>
    <w:rsid w:val="00642AC9"/>
    <w:rsid w:val="00651506"/>
    <w:rsid w:val="006540D7"/>
    <w:rsid w:val="00662C71"/>
    <w:rsid w:val="0067606F"/>
    <w:rsid w:val="00680167"/>
    <w:rsid w:val="00686A80"/>
    <w:rsid w:val="00686FCA"/>
    <w:rsid w:val="0069029C"/>
    <w:rsid w:val="00691195"/>
    <w:rsid w:val="0069418C"/>
    <w:rsid w:val="006949FD"/>
    <w:rsid w:val="006953CF"/>
    <w:rsid w:val="0069693F"/>
    <w:rsid w:val="006A6A92"/>
    <w:rsid w:val="006B0F7E"/>
    <w:rsid w:val="006B127C"/>
    <w:rsid w:val="006B6302"/>
    <w:rsid w:val="006D18DA"/>
    <w:rsid w:val="006D24D8"/>
    <w:rsid w:val="006D28C2"/>
    <w:rsid w:val="006F25A1"/>
    <w:rsid w:val="006F4022"/>
    <w:rsid w:val="006F66F9"/>
    <w:rsid w:val="00711AF1"/>
    <w:rsid w:val="00712DA5"/>
    <w:rsid w:val="00730E60"/>
    <w:rsid w:val="00737F7C"/>
    <w:rsid w:val="0074775E"/>
    <w:rsid w:val="00753CDA"/>
    <w:rsid w:val="0075708F"/>
    <w:rsid w:val="007630B1"/>
    <w:rsid w:val="0077198B"/>
    <w:rsid w:val="00780275"/>
    <w:rsid w:val="007821FA"/>
    <w:rsid w:val="00785463"/>
    <w:rsid w:val="007868B5"/>
    <w:rsid w:val="007A216B"/>
    <w:rsid w:val="007A3EF6"/>
    <w:rsid w:val="007B0BB6"/>
    <w:rsid w:val="007B49CB"/>
    <w:rsid w:val="007C15E1"/>
    <w:rsid w:val="007C307E"/>
    <w:rsid w:val="007C3208"/>
    <w:rsid w:val="007C54F5"/>
    <w:rsid w:val="007C6161"/>
    <w:rsid w:val="007C68BF"/>
    <w:rsid w:val="007C719B"/>
    <w:rsid w:val="007D13DC"/>
    <w:rsid w:val="007D5823"/>
    <w:rsid w:val="007E33DA"/>
    <w:rsid w:val="007E4716"/>
    <w:rsid w:val="007F1305"/>
    <w:rsid w:val="007F2E43"/>
    <w:rsid w:val="007F6B52"/>
    <w:rsid w:val="00801A15"/>
    <w:rsid w:val="008023BA"/>
    <w:rsid w:val="00844EC2"/>
    <w:rsid w:val="008475A5"/>
    <w:rsid w:val="00847F12"/>
    <w:rsid w:val="008509F6"/>
    <w:rsid w:val="00851A7A"/>
    <w:rsid w:val="00854459"/>
    <w:rsid w:val="00864DC1"/>
    <w:rsid w:val="00873A2B"/>
    <w:rsid w:val="0087674A"/>
    <w:rsid w:val="00880303"/>
    <w:rsid w:val="00886AD2"/>
    <w:rsid w:val="00890F6D"/>
    <w:rsid w:val="00892707"/>
    <w:rsid w:val="008939CB"/>
    <w:rsid w:val="008A28A7"/>
    <w:rsid w:val="008A2AFC"/>
    <w:rsid w:val="008A56FE"/>
    <w:rsid w:val="008A6B3E"/>
    <w:rsid w:val="008B74E1"/>
    <w:rsid w:val="008B7928"/>
    <w:rsid w:val="008C2A84"/>
    <w:rsid w:val="008D27A8"/>
    <w:rsid w:val="008D35C7"/>
    <w:rsid w:val="008E0F23"/>
    <w:rsid w:val="008F1CEE"/>
    <w:rsid w:val="008F4BD3"/>
    <w:rsid w:val="00911CE8"/>
    <w:rsid w:val="00914804"/>
    <w:rsid w:val="00923178"/>
    <w:rsid w:val="00924F7D"/>
    <w:rsid w:val="009322AA"/>
    <w:rsid w:val="00932FC4"/>
    <w:rsid w:val="00933096"/>
    <w:rsid w:val="0093462D"/>
    <w:rsid w:val="00935A49"/>
    <w:rsid w:val="009410A9"/>
    <w:rsid w:val="00945FF9"/>
    <w:rsid w:val="00955645"/>
    <w:rsid w:val="0096662A"/>
    <w:rsid w:val="00967B96"/>
    <w:rsid w:val="00971FCF"/>
    <w:rsid w:val="00974B01"/>
    <w:rsid w:val="009870C5"/>
    <w:rsid w:val="00990AE7"/>
    <w:rsid w:val="00991A19"/>
    <w:rsid w:val="0099491C"/>
    <w:rsid w:val="009A00BD"/>
    <w:rsid w:val="009A1511"/>
    <w:rsid w:val="009A35CD"/>
    <w:rsid w:val="009B5B45"/>
    <w:rsid w:val="009B7C67"/>
    <w:rsid w:val="009B7F3D"/>
    <w:rsid w:val="009C2A81"/>
    <w:rsid w:val="009E164A"/>
    <w:rsid w:val="009E164D"/>
    <w:rsid w:val="009E57D0"/>
    <w:rsid w:val="009F1CC3"/>
    <w:rsid w:val="00A17D60"/>
    <w:rsid w:val="00A2399E"/>
    <w:rsid w:val="00A24210"/>
    <w:rsid w:val="00A2722F"/>
    <w:rsid w:val="00A400A4"/>
    <w:rsid w:val="00A43CDD"/>
    <w:rsid w:val="00A62A18"/>
    <w:rsid w:val="00A83170"/>
    <w:rsid w:val="00A855F8"/>
    <w:rsid w:val="00A95185"/>
    <w:rsid w:val="00AA3E87"/>
    <w:rsid w:val="00AA44AE"/>
    <w:rsid w:val="00AA7852"/>
    <w:rsid w:val="00AB10EF"/>
    <w:rsid w:val="00AB1B47"/>
    <w:rsid w:val="00AB7255"/>
    <w:rsid w:val="00AC0158"/>
    <w:rsid w:val="00AC4DED"/>
    <w:rsid w:val="00AD06B8"/>
    <w:rsid w:val="00AE4374"/>
    <w:rsid w:val="00AF0A22"/>
    <w:rsid w:val="00AF107D"/>
    <w:rsid w:val="00AF3BF8"/>
    <w:rsid w:val="00AF4FD9"/>
    <w:rsid w:val="00AF7376"/>
    <w:rsid w:val="00B011E9"/>
    <w:rsid w:val="00B0246C"/>
    <w:rsid w:val="00B044C4"/>
    <w:rsid w:val="00B06A5A"/>
    <w:rsid w:val="00B06EFD"/>
    <w:rsid w:val="00B0784E"/>
    <w:rsid w:val="00B14866"/>
    <w:rsid w:val="00B17DCB"/>
    <w:rsid w:val="00B32483"/>
    <w:rsid w:val="00B32D22"/>
    <w:rsid w:val="00B3491B"/>
    <w:rsid w:val="00B36A48"/>
    <w:rsid w:val="00B47583"/>
    <w:rsid w:val="00B50E54"/>
    <w:rsid w:val="00B54AA1"/>
    <w:rsid w:val="00B56618"/>
    <w:rsid w:val="00B62039"/>
    <w:rsid w:val="00B62498"/>
    <w:rsid w:val="00B624A5"/>
    <w:rsid w:val="00B65A4E"/>
    <w:rsid w:val="00B70F78"/>
    <w:rsid w:val="00B7181C"/>
    <w:rsid w:val="00B820F9"/>
    <w:rsid w:val="00B83B89"/>
    <w:rsid w:val="00B93360"/>
    <w:rsid w:val="00B93E3B"/>
    <w:rsid w:val="00B94974"/>
    <w:rsid w:val="00BB0DFD"/>
    <w:rsid w:val="00BB1425"/>
    <w:rsid w:val="00BB1F81"/>
    <w:rsid w:val="00BB4E35"/>
    <w:rsid w:val="00BD22E2"/>
    <w:rsid w:val="00BD6607"/>
    <w:rsid w:val="00BD6D3E"/>
    <w:rsid w:val="00BF2A7E"/>
    <w:rsid w:val="00BF575E"/>
    <w:rsid w:val="00BF6D15"/>
    <w:rsid w:val="00C0288E"/>
    <w:rsid w:val="00C04108"/>
    <w:rsid w:val="00C075A5"/>
    <w:rsid w:val="00C123C3"/>
    <w:rsid w:val="00C162D7"/>
    <w:rsid w:val="00C2255B"/>
    <w:rsid w:val="00C22F85"/>
    <w:rsid w:val="00C33369"/>
    <w:rsid w:val="00C50EE2"/>
    <w:rsid w:val="00C51185"/>
    <w:rsid w:val="00C52E62"/>
    <w:rsid w:val="00C8307F"/>
    <w:rsid w:val="00CA5354"/>
    <w:rsid w:val="00CC422E"/>
    <w:rsid w:val="00CD2C0D"/>
    <w:rsid w:val="00CE1588"/>
    <w:rsid w:val="00CE1F2B"/>
    <w:rsid w:val="00CE221C"/>
    <w:rsid w:val="00CF568B"/>
    <w:rsid w:val="00CF6943"/>
    <w:rsid w:val="00CF7348"/>
    <w:rsid w:val="00D00877"/>
    <w:rsid w:val="00D07DE6"/>
    <w:rsid w:val="00D22034"/>
    <w:rsid w:val="00D34C5E"/>
    <w:rsid w:val="00D35BEA"/>
    <w:rsid w:val="00D36829"/>
    <w:rsid w:val="00D54221"/>
    <w:rsid w:val="00D61356"/>
    <w:rsid w:val="00D7009F"/>
    <w:rsid w:val="00D76A86"/>
    <w:rsid w:val="00D77BE8"/>
    <w:rsid w:val="00D80570"/>
    <w:rsid w:val="00D86038"/>
    <w:rsid w:val="00D92863"/>
    <w:rsid w:val="00D96A0F"/>
    <w:rsid w:val="00DA5944"/>
    <w:rsid w:val="00DA59DB"/>
    <w:rsid w:val="00DA707C"/>
    <w:rsid w:val="00DB6CC5"/>
    <w:rsid w:val="00DB7B11"/>
    <w:rsid w:val="00DD6EB7"/>
    <w:rsid w:val="00DF59AA"/>
    <w:rsid w:val="00E0470F"/>
    <w:rsid w:val="00E0687A"/>
    <w:rsid w:val="00E10675"/>
    <w:rsid w:val="00E1141E"/>
    <w:rsid w:val="00E20832"/>
    <w:rsid w:val="00E2188C"/>
    <w:rsid w:val="00E273DE"/>
    <w:rsid w:val="00E46132"/>
    <w:rsid w:val="00E56662"/>
    <w:rsid w:val="00E63FC9"/>
    <w:rsid w:val="00E67DD7"/>
    <w:rsid w:val="00E85EF6"/>
    <w:rsid w:val="00E871BD"/>
    <w:rsid w:val="00E915AE"/>
    <w:rsid w:val="00E91E84"/>
    <w:rsid w:val="00EA4FD3"/>
    <w:rsid w:val="00EB7C73"/>
    <w:rsid w:val="00EC2301"/>
    <w:rsid w:val="00ED255A"/>
    <w:rsid w:val="00ED63E0"/>
    <w:rsid w:val="00EE22A4"/>
    <w:rsid w:val="00EE3E8B"/>
    <w:rsid w:val="00EE5328"/>
    <w:rsid w:val="00EE7BFC"/>
    <w:rsid w:val="00EF409B"/>
    <w:rsid w:val="00F129BE"/>
    <w:rsid w:val="00F13FF1"/>
    <w:rsid w:val="00F31B1F"/>
    <w:rsid w:val="00F43EC6"/>
    <w:rsid w:val="00F4525E"/>
    <w:rsid w:val="00F45D0D"/>
    <w:rsid w:val="00F53944"/>
    <w:rsid w:val="00F56397"/>
    <w:rsid w:val="00F64BAF"/>
    <w:rsid w:val="00F65768"/>
    <w:rsid w:val="00F707BA"/>
    <w:rsid w:val="00F728B1"/>
    <w:rsid w:val="00F7579C"/>
    <w:rsid w:val="00F849A7"/>
    <w:rsid w:val="00F920A7"/>
    <w:rsid w:val="00F92429"/>
    <w:rsid w:val="00F925E1"/>
    <w:rsid w:val="00F96E8C"/>
    <w:rsid w:val="00FA203E"/>
    <w:rsid w:val="00FA2C99"/>
    <w:rsid w:val="00FB51F5"/>
    <w:rsid w:val="00FC0AE7"/>
    <w:rsid w:val="00FC25D1"/>
    <w:rsid w:val="00FC33D5"/>
    <w:rsid w:val="00FC46F8"/>
    <w:rsid w:val="00FD7420"/>
    <w:rsid w:val="00FD786B"/>
    <w:rsid w:val="00FE3645"/>
    <w:rsid w:val="00FE396D"/>
    <w:rsid w:val="00FE5560"/>
    <w:rsid w:val="00FF50DF"/>
    <w:rsid w:val="00FF51EF"/>
    <w:rsid w:val="0A295E61"/>
    <w:rsid w:val="29F65E2A"/>
    <w:rsid w:val="2C14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lsdException w:name="Strong" w:semiHidden="0" w:uiPriority="22" w:unhideWhenUsed="0" w:qFormat="1"/>
    <w:lsdException w:name="Emphasis" w:semiHidden="0" w:uiPriority="20" w:unhideWhenUsed="0" w:qFormat="1"/>
    <w:lsdException w:name="Normal (Web)" w:semiHidden="0" w:uiPriority="0"/>
    <w:lsdException w:name="Normal Table" w:semiHidden="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unhideWhenUsed/>
    <w:pPr>
      <w:spacing w:line="400" w:lineRule="exact"/>
      <w:ind w:left="1800" w:hanging="180"/>
    </w:pPr>
    <w:rPr>
      <w:rFonts w:eastAsia="宋体"/>
      <w:sz w:val="24"/>
      <w:szCs w:val="20"/>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unhideWhenUsed/>
    <w:rPr>
      <w:b/>
      <w:bCs/>
    </w:rPr>
  </w:style>
  <w:style w:type="character" w:styleId="a9">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Body Text Indent 2" w:semiHidden="0" w:uiPriority="0"/>
    <w:lsdException w:name="Strong" w:semiHidden="0" w:uiPriority="22" w:unhideWhenUsed="0" w:qFormat="1"/>
    <w:lsdException w:name="Emphasis" w:semiHidden="0" w:uiPriority="20" w:unhideWhenUsed="0" w:qFormat="1"/>
    <w:lsdException w:name="Normal (Web)" w:semiHidden="0" w:uiPriority="0"/>
    <w:lsdException w:name="Normal Table" w:semiHidden="0"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2">
    <w:name w:val="Body Text Indent 2"/>
    <w:basedOn w:val="a"/>
    <w:link w:val="2Char"/>
    <w:unhideWhenUsed/>
    <w:pPr>
      <w:spacing w:line="400" w:lineRule="exact"/>
      <w:ind w:left="1800" w:hanging="180"/>
    </w:pPr>
    <w:rPr>
      <w:rFonts w:eastAsia="宋体"/>
      <w:sz w:val="24"/>
      <w:szCs w:val="20"/>
    </w:r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qFormat/>
    <w:pPr>
      <w:spacing w:before="360"/>
      <w:jc w:val="left"/>
    </w:pPr>
    <w:rPr>
      <w:rFonts w:ascii="Cambria" w:eastAsia="楷体_GB2312" w:hAnsi="Cambria"/>
      <w:bCs/>
      <w:caps/>
      <w:sz w:val="24"/>
    </w:rPr>
  </w:style>
  <w:style w:type="paragraph" w:styleId="a7">
    <w:name w:val="Normal (Web)"/>
    <w:basedOn w:val="a"/>
    <w:unhideWhenUsed/>
    <w:rPr>
      <w:rFonts w:eastAsia="宋体"/>
      <w:sz w:val="24"/>
    </w:rPr>
  </w:style>
  <w:style w:type="paragraph" w:styleId="a8">
    <w:name w:val="annotation subject"/>
    <w:basedOn w:val="a3"/>
    <w:next w:val="a3"/>
    <w:link w:val="Char3"/>
    <w:uiPriority w:val="99"/>
    <w:unhideWhenUsed/>
    <w:rPr>
      <w:b/>
      <w:bCs/>
    </w:rPr>
  </w:style>
  <w:style w:type="character" w:styleId="a9">
    <w:name w:val="annotation reference"/>
    <w:uiPriority w:val="99"/>
    <w:unhideWhenUsed/>
    <w:rPr>
      <w:sz w:val="21"/>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link w:val="a3"/>
    <w:uiPriority w:val="99"/>
    <w:rPr>
      <w:rFonts w:ascii="Times New Roman" w:eastAsia="仿宋_GB2312" w:hAnsi="Times New Roman"/>
      <w:kern w:val="2"/>
      <w:sz w:val="28"/>
      <w:szCs w:val="24"/>
    </w:rPr>
  </w:style>
  <w:style w:type="character" w:customStyle="1" w:styleId="Char3">
    <w:name w:val="批注主题 Char"/>
    <w:link w:val="a8"/>
    <w:uiPriority w:val="99"/>
    <w:semiHidden/>
    <w:rPr>
      <w:rFonts w:ascii="Times New Roman" w:eastAsia="仿宋_GB2312" w:hAnsi="Times New Roman"/>
      <w:b/>
      <w:bCs/>
      <w:kern w:val="2"/>
      <w:sz w:val="28"/>
      <w:szCs w:val="24"/>
    </w:rPr>
  </w:style>
  <w:style w:type="character" w:customStyle="1" w:styleId="Char0">
    <w:name w:val="批注框文本 Char"/>
    <w:link w:val="a4"/>
    <w:uiPriority w:val="99"/>
    <w:semiHidden/>
    <w:rPr>
      <w:rFonts w:ascii="Times New Roman" w:eastAsia="仿宋_GB2312" w:hAnsi="Times New Roman"/>
      <w:kern w:val="2"/>
      <w:sz w:val="18"/>
      <w:szCs w:val="18"/>
    </w:rPr>
  </w:style>
  <w:style w:type="character" w:customStyle="1" w:styleId="2Char">
    <w:name w:val="正文文本缩进 2 Char"/>
    <w:link w:val="2"/>
    <w:semiHidden/>
    <w:rPr>
      <w:rFonts w:ascii="Times New Roman" w:hAnsi="Times New Roman"/>
      <w:kern w:val="2"/>
      <w:sz w:val="24"/>
    </w:rPr>
  </w:style>
  <w:style w:type="character" w:customStyle="1" w:styleId="Char2">
    <w:name w:val="页眉 Char"/>
    <w:link w:val="a6"/>
    <w:uiPriority w:val="99"/>
    <w:rPr>
      <w:rFonts w:ascii="Times New Roman" w:eastAsia="仿宋_GB2312" w:hAnsi="Times New Roman"/>
      <w:kern w:val="2"/>
      <w:sz w:val="18"/>
      <w:szCs w:val="18"/>
    </w:rPr>
  </w:style>
  <w:style w:type="character" w:customStyle="1" w:styleId="Char1">
    <w:name w:val="页脚 Char"/>
    <w:link w:val="a5"/>
    <w:uiPriority w:val="99"/>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1805</Characters>
  <Application>Microsoft Office Word</Application>
  <DocSecurity>0</DocSecurity>
  <Lines>15</Lines>
  <Paragraphs>4</Paragraphs>
  <ScaleCrop>false</ScaleCrop>
  <Company>复旦大学</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sanshan</dc:creator>
  <cp:lastModifiedBy>陈宇</cp:lastModifiedBy>
  <cp:revision>7</cp:revision>
  <cp:lastPrinted>2021-03-26T09:13:00Z</cp:lastPrinted>
  <dcterms:created xsi:type="dcterms:W3CDTF">2019-12-05T01:40:00Z</dcterms:created>
  <dcterms:modified xsi:type="dcterms:W3CDTF">2021-03-30T01:33:00Z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