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76CF" w14:textId="05D12427" w:rsidR="00420E76" w:rsidRDefault="0018573C">
      <w:pPr>
        <w:spacing w:line="500" w:lineRule="exact"/>
        <w:rPr>
          <w:rFonts w:ascii="宋体" w:hAnsi="宋体"/>
          <w:b/>
          <w:szCs w:val="21"/>
        </w:rPr>
      </w:pPr>
      <w:r>
        <w:rPr>
          <w:rFonts w:ascii="宋体" w:hAnsi="宋体"/>
          <w:b/>
          <w:szCs w:val="21"/>
        </w:rPr>
        <w:t xml:space="preserve">A股代码:601166            </w:t>
      </w:r>
      <w:r>
        <w:rPr>
          <w:rFonts w:ascii="宋体" w:hAnsi="宋体" w:hint="eastAsia"/>
          <w:b/>
          <w:szCs w:val="21"/>
        </w:rPr>
        <w:t xml:space="preserve">   </w:t>
      </w:r>
      <w:r>
        <w:rPr>
          <w:rFonts w:ascii="宋体" w:hAnsi="宋体"/>
          <w:b/>
          <w:szCs w:val="21"/>
        </w:rPr>
        <w:t xml:space="preserve">A股简称:兴业银行          </w:t>
      </w:r>
      <w:r>
        <w:rPr>
          <w:rFonts w:ascii="宋体" w:hAnsi="宋体" w:hint="eastAsia"/>
          <w:b/>
          <w:szCs w:val="21"/>
        </w:rPr>
        <w:t xml:space="preserve"> </w:t>
      </w:r>
      <w:r>
        <w:rPr>
          <w:rFonts w:ascii="宋体" w:hAnsi="宋体"/>
          <w:b/>
          <w:szCs w:val="21"/>
        </w:rPr>
        <w:t xml:space="preserve"> </w:t>
      </w:r>
      <w:r>
        <w:rPr>
          <w:rFonts w:ascii="宋体" w:hAnsi="宋体" w:hint="eastAsia"/>
          <w:b/>
          <w:szCs w:val="21"/>
        </w:rPr>
        <w:t xml:space="preserve">  编号</w:t>
      </w:r>
      <w:r>
        <w:rPr>
          <w:rFonts w:ascii="宋体" w:hAnsi="宋体"/>
          <w:b/>
          <w:szCs w:val="21"/>
        </w:rPr>
        <w:t>:</w:t>
      </w:r>
      <w:r w:rsidRPr="003160BB">
        <w:rPr>
          <w:rFonts w:ascii="宋体" w:hAnsi="宋体"/>
          <w:b/>
          <w:szCs w:val="21"/>
        </w:rPr>
        <w:t>临</w:t>
      </w:r>
      <w:r w:rsidRPr="003160BB">
        <w:rPr>
          <w:rFonts w:ascii="宋体" w:hAnsi="宋体" w:hint="eastAsia"/>
          <w:b/>
          <w:szCs w:val="21"/>
        </w:rPr>
        <w:t>202</w:t>
      </w:r>
      <w:r w:rsidR="004F1E44" w:rsidRPr="003160BB">
        <w:rPr>
          <w:rFonts w:ascii="宋体" w:hAnsi="宋体" w:hint="eastAsia"/>
          <w:b/>
          <w:szCs w:val="21"/>
        </w:rPr>
        <w:t>1</w:t>
      </w:r>
      <w:r w:rsidRPr="003160BB">
        <w:rPr>
          <w:rFonts w:ascii="宋体" w:hAnsi="宋体" w:hint="eastAsia"/>
          <w:b/>
          <w:szCs w:val="21"/>
        </w:rPr>
        <w:t>-</w:t>
      </w:r>
      <w:r w:rsidR="003160BB" w:rsidRPr="003160BB">
        <w:rPr>
          <w:rFonts w:ascii="宋体" w:hAnsi="宋体" w:hint="eastAsia"/>
          <w:b/>
          <w:szCs w:val="21"/>
        </w:rPr>
        <w:t>0</w:t>
      </w:r>
      <w:r w:rsidR="003160BB" w:rsidRPr="003160BB">
        <w:rPr>
          <w:rFonts w:ascii="宋体" w:hAnsi="宋体"/>
          <w:b/>
          <w:szCs w:val="21"/>
        </w:rPr>
        <w:t>0</w:t>
      </w:r>
      <w:r w:rsidR="003160BB" w:rsidRPr="003160BB">
        <w:rPr>
          <w:rFonts w:ascii="宋体" w:hAnsi="宋体" w:hint="eastAsia"/>
          <w:b/>
          <w:szCs w:val="21"/>
        </w:rPr>
        <w:t>9</w:t>
      </w:r>
    </w:p>
    <w:p w14:paraId="41D5B971" w14:textId="77777777" w:rsidR="00420E76" w:rsidRDefault="0018573C">
      <w:pPr>
        <w:spacing w:line="500" w:lineRule="exact"/>
        <w:jc w:val="left"/>
        <w:rPr>
          <w:rFonts w:ascii="宋体" w:hAnsi="宋体"/>
          <w:b/>
          <w:sz w:val="24"/>
          <w:szCs w:val="28"/>
        </w:rPr>
      </w:pPr>
      <w:r>
        <w:rPr>
          <w:rFonts w:ascii="宋体" w:hAnsi="宋体" w:hint="eastAsia"/>
          <w:b/>
          <w:szCs w:val="21"/>
        </w:rPr>
        <w:t>优先股代码：</w:t>
      </w:r>
      <w:r>
        <w:rPr>
          <w:rFonts w:ascii="宋体" w:hAnsi="宋体"/>
          <w:b/>
          <w:szCs w:val="21"/>
        </w:rPr>
        <w:t>360005、360012</w:t>
      </w:r>
      <w:r>
        <w:rPr>
          <w:rFonts w:ascii="宋体" w:hAnsi="宋体" w:hint="eastAsia"/>
          <w:b/>
          <w:szCs w:val="21"/>
        </w:rPr>
        <w:t>、</w:t>
      </w:r>
      <w:r>
        <w:rPr>
          <w:rFonts w:ascii="宋体" w:hAnsi="宋体"/>
          <w:b/>
          <w:szCs w:val="21"/>
        </w:rPr>
        <w:t xml:space="preserve">360032    </w:t>
      </w:r>
      <w:r>
        <w:rPr>
          <w:rFonts w:ascii="宋体" w:hAnsi="宋体" w:hint="eastAsia"/>
          <w:b/>
          <w:szCs w:val="21"/>
        </w:rPr>
        <w:t>优先股简称：兴业优</w:t>
      </w:r>
      <w:r>
        <w:rPr>
          <w:rFonts w:ascii="宋体" w:hAnsi="宋体"/>
          <w:b/>
          <w:szCs w:val="21"/>
        </w:rPr>
        <w:t>1、兴业优2、兴业优3</w:t>
      </w:r>
    </w:p>
    <w:p w14:paraId="3F380083" w14:textId="77777777" w:rsidR="00420E76" w:rsidRDefault="00420E76">
      <w:pPr>
        <w:spacing w:line="500" w:lineRule="exact"/>
        <w:jc w:val="left"/>
        <w:rPr>
          <w:rFonts w:ascii="仿宋_GB2312" w:eastAsia="仿宋_GB2312"/>
          <w:b/>
          <w:sz w:val="32"/>
          <w:szCs w:val="32"/>
        </w:rPr>
      </w:pPr>
    </w:p>
    <w:p w14:paraId="627880F9" w14:textId="77777777" w:rsidR="00420E76" w:rsidRDefault="0018573C">
      <w:pPr>
        <w:jc w:val="center"/>
        <w:rPr>
          <w:rFonts w:ascii="黑体" w:eastAsia="黑体"/>
          <w:color w:val="FF0000"/>
          <w:sz w:val="44"/>
          <w:szCs w:val="44"/>
        </w:rPr>
      </w:pPr>
      <w:r>
        <w:rPr>
          <w:rFonts w:ascii="黑体" w:eastAsia="黑体" w:hint="eastAsia"/>
          <w:color w:val="FF0000"/>
          <w:sz w:val="44"/>
          <w:szCs w:val="44"/>
        </w:rPr>
        <w:t>兴业银行股份有限公司</w:t>
      </w:r>
    </w:p>
    <w:p w14:paraId="43F8B310" w14:textId="77777777" w:rsidR="00420E76" w:rsidRDefault="0018573C">
      <w:pPr>
        <w:jc w:val="center"/>
        <w:rPr>
          <w:rFonts w:ascii="黑体" w:eastAsia="黑体"/>
          <w:color w:val="FF0000"/>
          <w:sz w:val="44"/>
          <w:szCs w:val="44"/>
        </w:rPr>
      </w:pPr>
      <w:r>
        <w:rPr>
          <w:rFonts w:ascii="黑体" w:eastAsia="黑体" w:hint="eastAsia"/>
          <w:color w:val="FF0000"/>
          <w:sz w:val="44"/>
          <w:szCs w:val="44"/>
        </w:rPr>
        <w:t>关于给予</w:t>
      </w:r>
      <w:r w:rsidR="00242118" w:rsidRPr="00242118">
        <w:rPr>
          <w:rFonts w:ascii="黑体" w:eastAsia="黑体" w:hint="eastAsia"/>
          <w:color w:val="FF0000"/>
          <w:sz w:val="44"/>
          <w:szCs w:val="44"/>
        </w:rPr>
        <w:t>中国烟草总公司系列</w:t>
      </w:r>
    </w:p>
    <w:p w14:paraId="36FA4827" w14:textId="77777777" w:rsidR="00420E76" w:rsidRDefault="0018573C">
      <w:pPr>
        <w:jc w:val="center"/>
        <w:rPr>
          <w:rFonts w:ascii="黑体" w:eastAsia="黑体"/>
          <w:color w:val="FF0000"/>
          <w:sz w:val="44"/>
          <w:szCs w:val="44"/>
        </w:rPr>
      </w:pPr>
      <w:r>
        <w:rPr>
          <w:rFonts w:ascii="黑体" w:eastAsia="黑体" w:hint="eastAsia"/>
          <w:color w:val="FF0000"/>
          <w:sz w:val="44"/>
          <w:szCs w:val="44"/>
        </w:rPr>
        <w:t>关联交易额度的公告</w:t>
      </w:r>
    </w:p>
    <w:p w14:paraId="3AAEC3C1" w14:textId="77777777" w:rsidR="00420E76" w:rsidRDefault="00420E76" w:rsidP="009E2D12">
      <w:pPr>
        <w:spacing w:line="400" w:lineRule="exact"/>
        <w:ind w:firstLine="573"/>
        <w:rPr>
          <w:rFonts w:ascii="宋体" w:hAnsi="宋体"/>
          <w:sz w:val="24"/>
        </w:rPr>
      </w:pPr>
    </w:p>
    <w:p w14:paraId="5D9896CF" w14:textId="77777777" w:rsidR="00420E76" w:rsidRDefault="0018573C">
      <w:pPr>
        <w:spacing w:line="360" w:lineRule="auto"/>
        <w:ind w:firstLine="570"/>
        <w:rPr>
          <w:rFonts w:ascii="宋体" w:hAnsi="宋体"/>
          <w:sz w:val="24"/>
        </w:rPr>
      </w:pPr>
      <w:r>
        <w:rPr>
          <w:rFonts w:ascii="宋体" w:hAnsi="宋体" w:hint="eastAsia"/>
          <w:sz w:val="24"/>
        </w:rPr>
        <w:t>本公司董事会及全体董事保证本公告内容不存在任何虚假记载、误导性陈述或者重大遗漏，并对其内容的真实性、准确性和完整性承担个别及连带责任。</w:t>
      </w:r>
    </w:p>
    <w:p w14:paraId="41DE58EB" w14:textId="77777777" w:rsidR="00420E76" w:rsidRDefault="00420E76" w:rsidP="009E2D12">
      <w:pPr>
        <w:spacing w:line="400" w:lineRule="exact"/>
        <w:ind w:firstLine="573"/>
        <w:rPr>
          <w:rFonts w:ascii="宋体" w:hAnsi="宋体"/>
          <w:b/>
          <w:sz w:val="24"/>
        </w:rPr>
      </w:pPr>
    </w:p>
    <w:p w14:paraId="0A06016C" w14:textId="77777777" w:rsidR="00420E76" w:rsidRDefault="0018573C" w:rsidP="003160BB">
      <w:pPr>
        <w:pStyle w:val="Default"/>
        <w:spacing w:line="360" w:lineRule="auto"/>
        <w:ind w:firstLineChars="200" w:firstLine="482"/>
        <w:rPr>
          <w:rFonts w:hAnsi="宋体"/>
          <w:b/>
        </w:rPr>
      </w:pPr>
      <w:r>
        <w:rPr>
          <w:rFonts w:hAnsi="宋体" w:hint="eastAsia"/>
          <w:b/>
        </w:rPr>
        <w:t xml:space="preserve">重要内容提示： </w:t>
      </w:r>
    </w:p>
    <w:p w14:paraId="23713BBE" w14:textId="36CAE921" w:rsidR="00420E76" w:rsidRPr="00A0039E" w:rsidRDefault="004F1E44" w:rsidP="004F1E44">
      <w:pPr>
        <w:pStyle w:val="Default"/>
        <w:spacing w:line="360" w:lineRule="auto"/>
        <w:ind w:firstLineChars="200" w:firstLine="480"/>
        <w:jc w:val="both"/>
        <w:rPr>
          <w:rFonts w:hAnsi="宋体"/>
          <w:iCs/>
        </w:rPr>
      </w:pPr>
      <w:r w:rsidRPr="00A0039E">
        <w:rPr>
          <w:rFonts w:hAnsi="宋体" w:hint="eastAsia"/>
        </w:rPr>
        <w:t>2021年3月30日，公司第九届董事会第二十七次会议</w:t>
      </w:r>
      <w:r w:rsidR="0018573C" w:rsidRPr="00A0039E">
        <w:rPr>
          <w:rFonts w:hAnsi="宋体" w:hint="eastAsia"/>
        </w:rPr>
        <w:t>审议同意给予</w:t>
      </w:r>
      <w:r w:rsidR="00E83D6A" w:rsidRPr="00A0039E">
        <w:rPr>
          <w:rFonts w:hAnsi="宋体" w:hint="eastAsia"/>
        </w:rPr>
        <w:t>中国烟草总公司</w:t>
      </w:r>
      <w:r w:rsidR="0018573C" w:rsidRPr="00A0039E">
        <w:rPr>
          <w:rFonts w:hAnsi="宋体" w:hint="eastAsia"/>
        </w:rPr>
        <w:t>系列关联法人授</w:t>
      </w:r>
      <w:proofErr w:type="gramStart"/>
      <w:r w:rsidR="0018573C" w:rsidRPr="00A0039E">
        <w:rPr>
          <w:rFonts w:hAnsi="宋体" w:hint="eastAsia"/>
        </w:rPr>
        <w:t>信类关联</w:t>
      </w:r>
      <w:proofErr w:type="gramEnd"/>
      <w:r w:rsidR="0018573C" w:rsidRPr="00A0039E">
        <w:rPr>
          <w:rFonts w:hAnsi="宋体" w:hint="eastAsia"/>
        </w:rPr>
        <w:t>交易额度人民币</w:t>
      </w:r>
      <w:r w:rsidR="00E83D6A" w:rsidRPr="00A0039E">
        <w:rPr>
          <w:rFonts w:hAnsi="宋体" w:hint="eastAsia"/>
        </w:rPr>
        <w:t>170亿元</w:t>
      </w:r>
      <w:r w:rsidR="0018573C" w:rsidRPr="00A0039E">
        <w:rPr>
          <w:rFonts w:hAnsi="宋体" w:hint="eastAsia"/>
        </w:rPr>
        <w:t>，</w:t>
      </w:r>
      <w:proofErr w:type="gramStart"/>
      <w:r w:rsidR="0018573C" w:rsidRPr="00A0039E">
        <w:rPr>
          <w:rFonts w:hAnsi="宋体" w:hint="eastAsia"/>
        </w:rPr>
        <w:t>非授信类关联</w:t>
      </w:r>
      <w:proofErr w:type="gramEnd"/>
      <w:r w:rsidR="0018573C" w:rsidRPr="00A0039E">
        <w:rPr>
          <w:rFonts w:hAnsi="宋体" w:hint="eastAsia"/>
        </w:rPr>
        <w:t>交易额度人民币</w:t>
      </w:r>
      <w:r w:rsidR="00E83D6A" w:rsidRPr="00A0039E">
        <w:rPr>
          <w:rFonts w:hAnsi="宋体" w:hint="eastAsia"/>
        </w:rPr>
        <w:t>53亿元，</w:t>
      </w:r>
      <w:r w:rsidR="0018573C" w:rsidRPr="00A0039E">
        <w:rPr>
          <w:rFonts w:hAnsi="宋体" w:hint="eastAsia"/>
        </w:rPr>
        <w:t>有效期</w:t>
      </w:r>
      <w:r w:rsidR="00E83D6A" w:rsidRPr="00A0039E">
        <w:rPr>
          <w:rFonts w:hAnsi="宋体"/>
        </w:rPr>
        <w:t>3</w:t>
      </w:r>
      <w:r w:rsidR="0018573C" w:rsidRPr="00A0039E">
        <w:rPr>
          <w:rFonts w:hAnsi="宋体" w:hint="eastAsia"/>
        </w:rPr>
        <w:t>年。</w:t>
      </w:r>
      <w:r w:rsidRPr="00A0039E">
        <w:rPr>
          <w:rFonts w:hAnsi="宋体" w:hint="eastAsia"/>
        </w:rPr>
        <w:t>关联董事韩敬文</w:t>
      </w:r>
      <w:r w:rsidR="0029724B">
        <w:rPr>
          <w:rFonts w:hAnsi="宋体" w:hint="eastAsia"/>
        </w:rPr>
        <w:t>先生</w:t>
      </w:r>
      <w:r w:rsidRPr="00A0039E">
        <w:rPr>
          <w:rFonts w:hAnsi="宋体" w:hint="eastAsia"/>
        </w:rPr>
        <w:t>已回避表决。</w:t>
      </w:r>
      <w:r w:rsidR="0018573C" w:rsidRPr="00A0039E">
        <w:rPr>
          <w:rFonts w:hAnsi="宋体" w:hint="eastAsia"/>
          <w:iCs/>
        </w:rPr>
        <w:t>以上关联交易是公司日常业务经营中的合理交易，对公司经营活动及财务状况无重大影响，不会影响公司的独立性。</w:t>
      </w:r>
    </w:p>
    <w:p w14:paraId="4A0DA1A5" w14:textId="77777777" w:rsidR="00420E76" w:rsidRPr="00A0039E" w:rsidRDefault="00420E76" w:rsidP="009E2D12">
      <w:pPr>
        <w:spacing w:line="400" w:lineRule="exact"/>
        <w:ind w:firstLine="573"/>
        <w:rPr>
          <w:rFonts w:ascii="宋体" w:hAnsi="宋体" w:cs="宋体"/>
          <w:color w:val="000000"/>
          <w:kern w:val="0"/>
          <w:sz w:val="24"/>
        </w:rPr>
      </w:pPr>
    </w:p>
    <w:p w14:paraId="07FF0492" w14:textId="77777777" w:rsidR="00420E76" w:rsidRPr="00EE2B66" w:rsidRDefault="0018573C" w:rsidP="003160BB">
      <w:pPr>
        <w:pStyle w:val="Default"/>
        <w:spacing w:line="360" w:lineRule="auto"/>
        <w:ind w:firstLineChars="200" w:firstLine="482"/>
        <w:rPr>
          <w:rFonts w:hAnsi="宋体"/>
          <w:b/>
        </w:rPr>
      </w:pPr>
      <w:r w:rsidRPr="00EE2B66">
        <w:rPr>
          <w:rFonts w:hAnsi="宋体" w:hint="eastAsia"/>
          <w:b/>
        </w:rPr>
        <w:t>一、关联交易概述</w:t>
      </w:r>
    </w:p>
    <w:p w14:paraId="5D5F0F68" w14:textId="23A63921" w:rsidR="00963F8F" w:rsidRDefault="0018573C" w:rsidP="000671F9">
      <w:pPr>
        <w:autoSpaceDE w:val="0"/>
        <w:autoSpaceDN w:val="0"/>
        <w:adjustRightInd w:val="0"/>
        <w:spacing w:line="360" w:lineRule="auto"/>
        <w:ind w:firstLineChars="200" w:firstLine="480"/>
        <w:rPr>
          <w:rFonts w:ascii="宋体" w:hAnsi="宋体" w:cs="宋体"/>
          <w:sz w:val="24"/>
        </w:rPr>
      </w:pPr>
      <w:r w:rsidRPr="00A0039E">
        <w:rPr>
          <w:rFonts w:ascii="宋体" w:hAnsi="宋体" w:cs="宋体" w:hint="eastAsia"/>
          <w:iCs/>
          <w:color w:val="000000"/>
          <w:kern w:val="0"/>
          <w:sz w:val="24"/>
        </w:rPr>
        <w:t>公司</w:t>
      </w:r>
      <w:r w:rsidRPr="00A0039E">
        <w:rPr>
          <w:rFonts w:ascii="宋体" w:hAnsi="宋体" w:cs="宋体" w:hint="eastAsia"/>
          <w:sz w:val="24"/>
        </w:rPr>
        <w:t>第九届董事会第二十</w:t>
      </w:r>
      <w:r w:rsidR="004F1E44" w:rsidRPr="00A0039E">
        <w:rPr>
          <w:rFonts w:ascii="宋体" w:hAnsi="宋体" w:cs="宋体" w:hint="eastAsia"/>
          <w:sz w:val="24"/>
        </w:rPr>
        <w:t>七</w:t>
      </w:r>
      <w:r w:rsidRPr="00A0039E">
        <w:rPr>
          <w:rFonts w:ascii="宋体" w:hAnsi="宋体" w:cs="宋体" w:hint="eastAsia"/>
          <w:sz w:val="24"/>
        </w:rPr>
        <w:t>次会议审</w:t>
      </w:r>
      <w:r>
        <w:rPr>
          <w:rFonts w:ascii="宋体" w:hAnsi="宋体" w:cs="宋体" w:hint="eastAsia"/>
          <w:sz w:val="24"/>
        </w:rPr>
        <w:t>议通</w:t>
      </w:r>
      <w:r w:rsidRPr="003A73AA">
        <w:rPr>
          <w:rFonts w:ascii="宋体" w:hAnsi="宋体" w:cs="宋体" w:hint="eastAsia"/>
          <w:sz w:val="24"/>
        </w:rPr>
        <w:t>过《</w:t>
      </w:r>
      <w:r w:rsidR="003A73AA" w:rsidRPr="003A73AA">
        <w:rPr>
          <w:rFonts w:ascii="宋体" w:hAnsi="宋体" w:cs="宋体" w:hint="eastAsia"/>
          <w:sz w:val="24"/>
        </w:rPr>
        <w:t>关于给予部分关联方关联交易额度的议案</w:t>
      </w:r>
      <w:r w:rsidRPr="003A73AA">
        <w:rPr>
          <w:rFonts w:ascii="宋体" w:hAnsi="宋体" w:cs="宋体" w:hint="eastAsia"/>
          <w:sz w:val="24"/>
        </w:rPr>
        <w:t>》，同意给予</w:t>
      </w:r>
      <w:r w:rsidR="00E83D6A" w:rsidRPr="003A73AA">
        <w:rPr>
          <w:rFonts w:ascii="宋体" w:hAnsi="宋体" w:cs="宋体" w:hint="eastAsia"/>
          <w:sz w:val="24"/>
        </w:rPr>
        <w:t>中国烟草总公司</w:t>
      </w:r>
      <w:r w:rsidRPr="003A73AA">
        <w:rPr>
          <w:rFonts w:ascii="宋体" w:hAnsi="宋体" w:cs="宋体" w:hint="eastAsia"/>
          <w:sz w:val="24"/>
        </w:rPr>
        <w:t>系列</w:t>
      </w:r>
      <w:r>
        <w:rPr>
          <w:rFonts w:ascii="宋体" w:hAnsi="宋体" w:cs="宋体" w:hint="eastAsia"/>
          <w:sz w:val="24"/>
        </w:rPr>
        <w:t>关联法人关联交易额度人民币</w:t>
      </w:r>
      <w:r w:rsidR="00963F8F" w:rsidRPr="00963F8F">
        <w:rPr>
          <w:rFonts w:ascii="宋体" w:hAnsi="宋体" w:cs="宋体" w:hint="eastAsia"/>
          <w:sz w:val="24"/>
        </w:rPr>
        <w:t>223亿元，</w:t>
      </w:r>
      <w:r>
        <w:rPr>
          <w:rFonts w:ascii="宋体" w:hAnsi="宋体" w:cs="宋体" w:hint="eastAsia"/>
          <w:sz w:val="24"/>
        </w:rPr>
        <w:t>有效期</w:t>
      </w:r>
      <w:r w:rsidR="000671F9">
        <w:rPr>
          <w:rFonts w:ascii="宋体" w:hAnsi="宋体" w:cs="宋体" w:hint="eastAsia"/>
          <w:sz w:val="24"/>
        </w:rPr>
        <w:t>3</w:t>
      </w:r>
      <w:r>
        <w:rPr>
          <w:rFonts w:ascii="宋体" w:hAnsi="宋体" w:cs="宋体" w:hint="eastAsia"/>
          <w:sz w:val="24"/>
        </w:rPr>
        <w:t>年，包括：</w:t>
      </w:r>
      <w:r w:rsidR="00144DA6" w:rsidRPr="00144DA6">
        <w:rPr>
          <w:rFonts w:ascii="宋体" w:hAnsi="宋体" w:cs="宋体" w:hint="eastAsia"/>
          <w:sz w:val="24"/>
        </w:rPr>
        <w:t>授信类关联交易额度170亿元，</w:t>
      </w:r>
      <w:r w:rsidR="007B630B" w:rsidRPr="007B630B">
        <w:rPr>
          <w:rFonts w:ascii="宋体" w:hAnsi="宋体" w:cs="宋体" w:hint="eastAsia"/>
          <w:sz w:val="24"/>
        </w:rPr>
        <w:t>用于中国烟草总公司及其关联企业开展各类短、中、长期业务品种，</w:t>
      </w:r>
      <w:r w:rsidR="00144DA6" w:rsidRPr="00144DA6">
        <w:rPr>
          <w:rFonts w:ascii="宋体" w:hAnsi="宋体" w:cs="宋体" w:hint="eastAsia"/>
          <w:sz w:val="24"/>
        </w:rPr>
        <w:t>其中，主体授信额度150亿元，非保本理财项下投资额度20</w:t>
      </w:r>
      <w:r w:rsidR="00144DA6">
        <w:rPr>
          <w:rFonts w:ascii="宋体" w:hAnsi="宋体" w:cs="宋体" w:hint="eastAsia"/>
          <w:sz w:val="24"/>
        </w:rPr>
        <w:t>亿元；</w:t>
      </w:r>
      <w:r w:rsidR="00144DA6" w:rsidRPr="00144DA6">
        <w:rPr>
          <w:rFonts w:ascii="宋体" w:hAnsi="宋体" w:cs="宋体" w:hint="eastAsia"/>
          <w:sz w:val="24"/>
        </w:rPr>
        <w:t>非授信类关联交易额度53亿元，交易类别包括结构性存款及理财、委托贷款、资产托管、物业租赁以及其他综合服务等。</w:t>
      </w:r>
    </w:p>
    <w:p w14:paraId="22DEF5BB" w14:textId="09300D61" w:rsidR="00420E76" w:rsidRDefault="0018573C">
      <w:pPr>
        <w:autoSpaceDE w:val="0"/>
        <w:autoSpaceDN w:val="0"/>
        <w:adjustRightInd w:val="0"/>
        <w:spacing w:line="360" w:lineRule="auto"/>
        <w:ind w:firstLineChars="200" w:firstLine="480"/>
        <w:rPr>
          <w:rFonts w:ascii="宋体" w:hAnsi="宋体"/>
          <w:color w:val="000000"/>
          <w:sz w:val="24"/>
        </w:rPr>
      </w:pPr>
      <w:r>
        <w:rPr>
          <w:rFonts w:ascii="宋体" w:hAnsi="宋体" w:hint="eastAsia"/>
          <w:sz w:val="24"/>
        </w:rPr>
        <w:t>本次公司与</w:t>
      </w:r>
      <w:r w:rsidR="00E83D6A">
        <w:rPr>
          <w:rFonts w:ascii="宋体" w:hAnsi="宋体" w:cs="宋体" w:hint="eastAsia"/>
          <w:sz w:val="24"/>
        </w:rPr>
        <w:t>中国烟草总公司</w:t>
      </w:r>
      <w:r>
        <w:rPr>
          <w:rFonts w:ascii="宋体" w:hAnsi="宋体" w:cs="宋体" w:hint="eastAsia"/>
          <w:sz w:val="24"/>
        </w:rPr>
        <w:t>系列关联法人</w:t>
      </w:r>
      <w:r>
        <w:rPr>
          <w:rFonts w:ascii="宋体" w:hAnsi="宋体" w:hint="eastAsia"/>
          <w:sz w:val="24"/>
        </w:rPr>
        <w:t>关联交易额度</w:t>
      </w:r>
      <w:r>
        <w:rPr>
          <w:rFonts w:ascii="宋体" w:hAnsi="宋体" w:hint="eastAsia"/>
          <w:color w:val="000000"/>
          <w:sz w:val="24"/>
        </w:rPr>
        <w:t>超过公司最近一期经审计净资产的1</w:t>
      </w:r>
      <w:r>
        <w:rPr>
          <w:rFonts w:ascii="宋体" w:hAnsi="宋体"/>
          <w:color w:val="000000"/>
          <w:sz w:val="24"/>
        </w:rPr>
        <w:t>%</w:t>
      </w:r>
      <w:r>
        <w:rPr>
          <w:rFonts w:ascii="宋体" w:hAnsi="宋体" w:hint="eastAsia"/>
          <w:color w:val="000000"/>
          <w:sz w:val="24"/>
        </w:rPr>
        <w:t>，但未超过5%，属于重大关联交易，由董事会审计与关联交易控制委员会审核</w:t>
      </w:r>
      <w:r w:rsidR="00CA15AA">
        <w:rPr>
          <w:rFonts w:ascii="宋体" w:hAnsi="宋体" w:hint="eastAsia"/>
          <w:color w:val="000000"/>
          <w:sz w:val="24"/>
        </w:rPr>
        <w:t>、</w:t>
      </w:r>
      <w:r>
        <w:rPr>
          <w:rFonts w:ascii="宋体" w:hAnsi="宋体" w:hint="eastAsia"/>
          <w:color w:val="000000"/>
          <w:sz w:val="24"/>
        </w:rPr>
        <w:t>董事会批准。</w:t>
      </w:r>
    </w:p>
    <w:p w14:paraId="5E85BE74" w14:textId="77777777" w:rsidR="00420E76" w:rsidRDefault="00420E76" w:rsidP="009E2D12">
      <w:pPr>
        <w:spacing w:line="400" w:lineRule="exact"/>
        <w:ind w:firstLine="573"/>
        <w:rPr>
          <w:rFonts w:ascii="宋体" w:hAnsi="宋体"/>
          <w:color w:val="000000"/>
          <w:sz w:val="24"/>
        </w:rPr>
      </w:pPr>
    </w:p>
    <w:p w14:paraId="2BA4C46A" w14:textId="77777777" w:rsidR="00420E76" w:rsidRDefault="0018573C" w:rsidP="003160BB">
      <w:pPr>
        <w:pStyle w:val="Default"/>
        <w:spacing w:line="360" w:lineRule="auto"/>
        <w:ind w:firstLineChars="200" w:firstLine="482"/>
        <w:rPr>
          <w:rFonts w:hAnsi="宋体"/>
          <w:b/>
        </w:rPr>
      </w:pPr>
      <w:r>
        <w:rPr>
          <w:rFonts w:hAnsi="宋体" w:hint="eastAsia"/>
          <w:b/>
        </w:rPr>
        <w:t>二、关联方介绍</w:t>
      </w:r>
      <w:r>
        <w:rPr>
          <w:rFonts w:hAnsi="宋体"/>
          <w:b/>
        </w:rPr>
        <w:t xml:space="preserve"> </w:t>
      </w:r>
    </w:p>
    <w:p w14:paraId="6B0FD299" w14:textId="77777777" w:rsidR="00420E76" w:rsidRDefault="0018573C">
      <w:pPr>
        <w:pStyle w:val="Default"/>
        <w:spacing w:line="360" w:lineRule="auto"/>
        <w:ind w:firstLineChars="150" w:firstLine="360"/>
        <w:rPr>
          <w:rFonts w:hAnsi="宋体"/>
        </w:rPr>
      </w:pPr>
      <w:r>
        <w:rPr>
          <w:rFonts w:hAnsi="宋体" w:cs="Times New Roman" w:hint="eastAsia"/>
          <w:kern w:val="2"/>
        </w:rPr>
        <w:t>（一）关联方的基本情况</w:t>
      </w:r>
    </w:p>
    <w:p w14:paraId="590F2B58" w14:textId="22F1E166" w:rsidR="00ED5E14" w:rsidRDefault="00E83D6A" w:rsidP="00C40676">
      <w:pPr>
        <w:spacing w:line="360" w:lineRule="auto"/>
        <w:ind w:firstLineChars="200" w:firstLine="480"/>
        <w:rPr>
          <w:rFonts w:ascii="宋体" w:hAnsi="宋体" w:cs="宋体"/>
          <w:kern w:val="0"/>
          <w:sz w:val="24"/>
        </w:rPr>
      </w:pPr>
      <w:r w:rsidRPr="000C2D75">
        <w:rPr>
          <w:rFonts w:ascii="宋体" w:hAnsi="宋体" w:cs="宋体" w:hint="eastAsia"/>
          <w:kern w:val="0"/>
          <w:sz w:val="24"/>
        </w:rPr>
        <w:lastRenderedPageBreak/>
        <w:t>中国烟草总公司</w:t>
      </w:r>
      <w:r w:rsidR="00ED5E14" w:rsidRPr="000C2D75">
        <w:rPr>
          <w:rFonts w:ascii="宋体" w:hAnsi="宋体" w:cs="宋体" w:hint="eastAsia"/>
          <w:kern w:val="0"/>
          <w:sz w:val="24"/>
        </w:rPr>
        <w:t>是经国务院批准组建的特大型国有企业，出资人为国务院，</w:t>
      </w:r>
      <w:r w:rsidR="00D44E7A" w:rsidRPr="000C2D75">
        <w:rPr>
          <w:rFonts w:ascii="宋体" w:hAnsi="宋体" w:cs="宋体" w:hint="eastAsia"/>
          <w:kern w:val="0"/>
          <w:sz w:val="24"/>
        </w:rPr>
        <w:t>由财政部对其国有资产实行监管。</w:t>
      </w:r>
      <w:r w:rsidR="00D44E7A">
        <w:rPr>
          <w:rFonts w:ascii="宋体" w:hAnsi="宋体" w:hint="eastAsia"/>
          <w:bCs/>
          <w:sz w:val="24"/>
        </w:rPr>
        <w:t>该公司</w:t>
      </w:r>
      <w:r w:rsidR="00D61303" w:rsidRPr="000C2D75">
        <w:rPr>
          <w:rFonts w:ascii="宋体" w:hAnsi="宋体" w:cs="宋体" w:hint="eastAsia"/>
          <w:kern w:val="0"/>
          <w:sz w:val="24"/>
        </w:rPr>
        <w:t>成立于1983年12月15日</w:t>
      </w:r>
      <w:r w:rsidR="00D44E7A" w:rsidRPr="00053F79">
        <w:rPr>
          <w:rFonts w:ascii="宋体" w:hAnsi="宋体" w:hint="eastAsia"/>
          <w:bCs/>
          <w:sz w:val="24"/>
        </w:rPr>
        <w:t>，企业类型为全民所有制，注册地北京</w:t>
      </w:r>
      <w:r w:rsidR="00D44E7A" w:rsidRPr="003E27A2">
        <w:rPr>
          <w:rFonts w:ascii="宋体" w:hAnsi="宋体" w:hint="eastAsia"/>
          <w:bCs/>
          <w:sz w:val="24"/>
        </w:rPr>
        <w:t>市</w:t>
      </w:r>
      <w:r w:rsidR="00D44E7A" w:rsidRPr="00053F79">
        <w:rPr>
          <w:rFonts w:ascii="宋体" w:hAnsi="宋体" w:hint="eastAsia"/>
          <w:bCs/>
          <w:sz w:val="24"/>
        </w:rPr>
        <w:t>，注册资本570亿元，法定代表人张建民，经营范围为烟草专卖品生产、经营、进出口贸易，国有资产经营与管理。</w:t>
      </w:r>
      <w:r w:rsidR="00D44E7A" w:rsidRPr="000C2D75" w:rsidDel="00D44E7A">
        <w:rPr>
          <w:rFonts w:ascii="宋体" w:hAnsi="宋体" w:cs="宋体" w:hint="eastAsia"/>
          <w:kern w:val="0"/>
          <w:sz w:val="24"/>
        </w:rPr>
        <w:t xml:space="preserve"> </w:t>
      </w:r>
    </w:p>
    <w:p w14:paraId="0559AAFE" w14:textId="77777777" w:rsidR="00420E76" w:rsidRPr="009C0218" w:rsidRDefault="0018573C" w:rsidP="009C0218">
      <w:pPr>
        <w:pStyle w:val="Default"/>
        <w:spacing w:line="360" w:lineRule="auto"/>
        <w:ind w:firstLineChars="150" w:firstLine="360"/>
        <w:rPr>
          <w:rFonts w:hAnsi="宋体" w:cs="Times New Roman"/>
          <w:kern w:val="2"/>
        </w:rPr>
      </w:pPr>
      <w:r w:rsidRPr="009C0218">
        <w:rPr>
          <w:rFonts w:hAnsi="宋体" w:cs="Times New Roman" w:hint="eastAsia"/>
          <w:kern w:val="2"/>
        </w:rPr>
        <w:t>（二）与上市公司的关联关系</w:t>
      </w:r>
    </w:p>
    <w:p w14:paraId="5C017424" w14:textId="137E0454" w:rsidR="00420E76" w:rsidRDefault="00AE1E30">
      <w:pPr>
        <w:spacing w:line="360" w:lineRule="auto"/>
        <w:ind w:firstLineChars="200" w:firstLine="480"/>
        <w:rPr>
          <w:rFonts w:ascii="宋体" w:hAnsi="宋体" w:cs="宋体"/>
          <w:kern w:val="0"/>
          <w:sz w:val="24"/>
        </w:rPr>
      </w:pPr>
      <w:r w:rsidRPr="00AE1E30">
        <w:rPr>
          <w:rFonts w:ascii="宋体" w:hAnsi="宋体" w:cs="宋体" w:hint="eastAsia"/>
          <w:kern w:val="0"/>
          <w:sz w:val="24"/>
        </w:rPr>
        <w:t>中国烟草总公司</w:t>
      </w:r>
      <w:r w:rsidR="00852F18">
        <w:rPr>
          <w:rFonts w:ascii="宋体" w:hAnsi="宋体" w:cs="宋体" w:hint="eastAsia"/>
          <w:kern w:val="0"/>
          <w:sz w:val="24"/>
        </w:rPr>
        <w:t>及其下属公司</w:t>
      </w:r>
      <w:r w:rsidRPr="00AE1E30">
        <w:rPr>
          <w:rFonts w:ascii="宋体" w:hAnsi="宋体" w:cs="宋体" w:hint="eastAsia"/>
          <w:kern w:val="0"/>
          <w:sz w:val="24"/>
        </w:rPr>
        <w:t>合计持有</w:t>
      </w:r>
      <w:r w:rsidR="003F274F">
        <w:rPr>
          <w:rFonts w:ascii="宋体" w:hAnsi="宋体" w:cs="宋体" w:hint="eastAsia"/>
          <w:kern w:val="0"/>
          <w:sz w:val="24"/>
        </w:rPr>
        <w:t>公司</w:t>
      </w:r>
      <w:r w:rsidRPr="00AE1E30">
        <w:rPr>
          <w:rFonts w:ascii="宋体" w:hAnsi="宋体" w:cs="宋体" w:hint="eastAsia"/>
          <w:kern w:val="0"/>
          <w:sz w:val="24"/>
        </w:rPr>
        <w:t>9.90%的股份，且向</w:t>
      </w:r>
      <w:r w:rsidR="003F274F">
        <w:rPr>
          <w:rFonts w:ascii="宋体" w:hAnsi="宋体" w:cs="宋体" w:hint="eastAsia"/>
          <w:kern w:val="0"/>
          <w:sz w:val="24"/>
        </w:rPr>
        <w:t>公司</w:t>
      </w:r>
      <w:r w:rsidRPr="00AE1E30">
        <w:rPr>
          <w:rFonts w:ascii="宋体" w:hAnsi="宋体" w:cs="宋体" w:hint="eastAsia"/>
          <w:kern w:val="0"/>
          <w:sz w:val="24"/>
        </w:rPr>
        <w:t>派驻了董事</w:t>
      </w:r>
      <w:r w:rsidR="0029724B" w:rsidRPr="0029724B">
        <w:rPr>
          <w:rFonts w:ascii="宋体" w:hAnsi="宋体" w:cs="宋体" w:hint="eastAsia"/>
          <w:kern w:val="0"/>
          <w:sz w:val="24"/>
        </w:rPr>
        <w:t>韩敬文先生</w:t>
      </w:r>
      <w:r w:rsidRPr="00AE1E30">
        <w:rPr>
          <w:rFonts w:ascii="宋体" w:hAnsi="宋体" w:cs="宋体" w:hint="eastAsia"/>
          <w:kern w:val="0"/>
          <w:sz w:val="24"/>
        </w:rPr>
        <w:t>。</w:t>
      </w:r>
      <w:r w:rsidR="0018573C">
        <w:rPr>
          <w:rFonts w:ascii="宋体" w:hAnsi="宋体" w:cs="宋体" w:hint="eastAsia"/>
          <w:kern w:val="0"/>
          <w:sz w:val="24"/>
        </w:rPr>
        <w:t>根据</w:t>
      </w:r>
      <w:r w:rsidR="00D243D4">
        <w:rPr>
          <w:rFonts w:ascii="宋体" w:hAnsi="宋体" w:cs="宋体" w:hint="eastAsia"/>
          <w:kern w:val="0"/>
          <w:sz w:val="24"/>
        </w:rPr>
        <w:t>中国</w:t>
      </w:r>
      <w:r w:rsidR="0018573C">
        <w:rPr>
          <w:rFonts w:ascii="宋体" w:hAnsi="宋体" w:cs="宋体" w:hint="eastAsia"/>
          <w:kern w:val="0"/>
          <w:sz w:val="24"/>
        </w:rPr>
        <w:t>银保监会《商业银行与内部人和股东关联交易管理办法》《商业银行股权管理暂行办法》、上交所《上市公司关联交易实施指引》和公司《关联交易管理办法》等相关规定，</w:t>
      </w:r>
      <w:r w:rsidR="00E83D6A">
        <w:rPr>
          <w:rFonts w:ascii="宋体" w:hAnsi="宋体" w:cs="宋体" w:hint="eastAsia"/>
          <w:kern w:val="0"/>
          <w:sz w:val="24"/>
        </w:rPr>
        <w:t>中国烟草总公司</w:t>
      </w:r>
      <w:r w:rsidR="0018573C">
        <w:rPr>
          <w:rFonts w:ascii="宋体" w:hAnsi="宋体" w:cs="宋体" w:hint="eastAsia"/>
          <w:kern w:val="0"/>
          <w:sz w:val="24"/>
        </w:rPr>
        <w:t>及其关联企业属于公司关联方。</w:t>
      </w:r>
    </w:p>
    <w:p w14:paraId="3ED166D0" w14:textId="77777777" w:rsidR="00420E76" w:rsidRDefault="00420E76" w:rsidP="009E2D12">
      <w:pPr>
        <w:spacing w:line="400" w:lineRule="exact"/>
        <w:ind w:firstLine="573"/>
        <w:rPr>
          <w:rFonts w:ascii="宋体" w:hAnsi="宋体" w:cs="宋体"/>
          <w:kern w:val="0"/>
          <w:sz w:val="24"/>
        </w:rPr>
      </w:pPr>
    </w:p>
    <w:p w14:paraId="02621C52" w14:textId="77777777" w:rsidR="00420E76" w:rsidRPr="003160BB" w:rsidRDefault="0018573C">
      <w:pPr>
        <w:pStyle w:val="Default"/>
        <w:spacing w:line="360" w:lineRule="auto"/>
        <w:ind w:firstLineChars="200" w:firstLine="482"/>
        <w:rPr>
          <w:rFonts w:hAnsi="宋体"/>
          <w:b/>
        </w:rPr>
      </w:pPr>
      <w:r w:rsidRPr="003160BB">
        <w:rPr>
          <w:rFonts w:hAnsi="宋体" w:hint="eastAsia"/>
          <w:b/>
        </w:rPr>
        <w:t>三、关联交易的主要内容和定价政策</w:t>
      </w:r>
    </w:p>
    <w:p w14:paraId="08E538B4" w14:textId="77777777" w:rsidR="00420E76" w:rsidRDefault="0018573C">
      <w:pPr>
        <w:pStyle w:val="Default"/>
        <w:spacing w:line="360" w:lineRule="auto"/>
        <w:ind w:firstLineChars="200" w:firstLine="480"/>
        <w:rPr>
          <w:rFonts w:hAnsi="宋体"/>
          <w:color w:val="auto"/>
        </w:rPr>
      </w:pPr>
      <w:r>
        <w:rPr>
          <w:rFonts w:hAnsi="宋体" w:hint="eastAsia"/>
          <w:color w:val="auto"/>
        </w:rPr>
        <w:t>（一）关联交易主要内容</w:t>
      </w:r>
    </w:p>
    <w:p w14:paraId="7C3BB4DC" w14:textId="298C664C" w:rsidR="00E674B4" w:rsidRDefault="006E5574">
      <w:pPr>
        <w:spacing w:line="360" w:lineRule="auto"/>
        <w:ind w:firstLineChars="200" w:firstLine="480"/>
        <w:rPr>
          <w:rFonts w:ascii="宋体" w:hAnsi="宋体"/>
          <w:sz w:val="24"/>
        </w:rPr>
      </w:pPr>
      <w:r>
        <w:rPr>
          <w:rFonts w:ascii="宋体" w:hAnsi="宋体" w:hint="eastAsia"/>
          <w:sz w:val="24"/>
        </w:rPr>
        <w:t>公司</w:t>
      </w:r>
      <w:r w:rsidR="00A0039E">
        <w:rPr>
          <w:rFonts w:ascii="宋体" w:hAnsi="宋体" w:hint="eastAsia"/>
          <w:sz w:val="24"/>
        </w:rPr>
        <w:t>2017年年度</w:t>
      </w:r>
      <w:r w:rsidRPr="006E5574">
        <w:rPr>
          <w:rFonts w:ascii="宋体" w:hAnsi="宋体" w:hint="eastAsia"/>
          <w:sz w:val="24"/>
        </w:rPr>
        <w:t>股东大会于2018年5月25日同意追加给予</w:t>
      </w:r>
      <w:r w:rsidR="00CA15AA" w:rsidRPr="00CA15AA">
        <w:rPr>
          <w:rFonts w:ascii="宋体" w:hAnsi="宋体" w:hint="eastAsia"/>
          <w:sz w:val="24"/>
        </w:rPr>
        <w:t>中国烟草总公司系列关联法人</w:t>
      </w:r>
      <w:proofErr w:type="gramStart"/>
      <w:r w:rsidRPr="006E5574">
        <w:rPr>
          <w:rFonts w:ascii="宋体" w:hAnsi="宋体" w:hint="eastAsia"/>
          <w:sz w:val="24"/>
        </w:rPr>
        <w:t>非授信类关联</w:t>
      </w:r>
      <w:proofErr w:type="gramEnd"/>
      <w:r w:rsidRPr="006E5574">
        <w:rPr>
          <w:rFonts w:ascii="宋体" w:hAnsi="宋体" w:hint="eastAsia"/>
          <w:sz w:val="24"/>
        </w:rPr>
        <w:t>交易额度人民币47.6亿元，变更后</w:t>
      </w:r>
      <w:r w:rsidR="00CA15AA" w:rsidRPr="00CA15AA">
        <w:rPr>
          <w:rFonts w:ascii="宋体" w:hAnsi="宋体" w:hint="eastAsia"/>
          <w:sz w:val="24"/>
        </w:rPr>
        <w:t>中国烟草总公司系列关联法人</w:t>
      </w:r>
      <w:r w:rsidRPr="006E5574">
        <w:rPr>
          <w:rFonts w:ascii="宋体" w:hAnsi="宋体" w:hint="eastAsia"/>
          <w:sz w:val="24"/>
        </w:rPr>
        <w:t>关联交易额度合计人民币203亿元，包括授</w:t>
      </w:r>
      <w:proofErr w:type="gramStart"/>
      <w:r w:rsidRPr="006E5574">
        <w:rPr>
          <w:rFonts w:ascii="宋体" w:hAnsi="宋体" w:hint="eastAsia"/>
          <w:sz w:val="24"/>
        </w:rPr>
        <w:t>信类关联</w:t>
      </w:r>
      <w:proofErr w:type="gramEnd"/>
      <w:r w:rsidRPr="006E5574">
        <w:rPr>
          <w:rFonts w:ascii="宋体" w:hAnsi="宋体" w:hint="eastAsia"/>
          <w:sz w:val="24"/>
        </w:rPr>
        <w:t>交易额度150亿元，</w:t>
      </w:r>
      <w:proofErr w:type="gramStart"/>
      <w:r w:rsidRPr="006E5574">
        <w:rPr>
          <w:rFonts w:ascii="宋体" w:hAnsi="宋体" w:hint="eastAsia"/>
          <w:sz w:val="24"/>
        </w:rPr>
        <w:t>非授信类关联</w:t>
      </w:r>
      <w:proofErr w:type="gramEnd"/>
      <w:r w:rsidRPr="006E5574">
        <w:rPr>
          <w:rFonts w:ascii="宋体" w:hAnsi="宋体" w:hint="eastAsia"/>
          <w:sz w:val="24"/>
        </w:rPr>
        <w:t>交易额度53亿元，有效期至2021年4月30日止。</w:t>
      </w:r>
    </w:p>
    <w:p w14:paraId="76CCA990" w14:textId="2C972ED9" w:rsidR="003F274F" w:rsidRDefault="003F274F">
      <w:pPr>
        <w:spacing w:line="360" w:lineRule="auto"/>
        <w:ind w:firstLineChars="200" w:firstLine="480"/>
        <w:rPr>
          <w:rFonts w:ascii="宋体" w:hAnsi="宋体" w:cs="宋体"/>
          <w:sz w:val="24"/>
        </w:rPr>
      </w:pPr>
      <w:r w:rsidRPr="003F274F">
        <w:rPr>
          <w:rFonts w:ascii="宋体" w:hAnsi="宋体" w:hint="eastAsia"/>
          <w:sz w:val="24"/>
        </w:rPr>
        <w:t>由于原审批额度即将于2021年4月30日届满，本次重新核定给予</w:t>
      </w:r>
      <w:r w:rsidR="00CA15AA" w:rsidRPr="00CA15AA">
        <w:rPr>
          <w:rFonts w:ascii="宋体" w:hAnsi="宋体" w:hint="eastAsia"/>
          <w:sz w:val="24"/>
        </w:rPr>
        <w:t>中国烟草总公司系列关联法人</w:t>
      </w:r>
      <w:r w:rsidRPr="003F274F">
        <w:rPr>
          <w:rFonts w:ascii="宋体" w:hAnsi="宋体" w:hint="eastAsia"/>
          <w:sz w:val="24"/>
        </w:rPr>
        <w:t>关联交易额度人民币223亿元，有效期3年，使用范围包括</w:t>
      </w:r>
      <w:r w:rsidR="0074543B">
        <w:rPr>
          <w:rFonts w:ascii="宋体" w:hAnsi="宋体" w:hint="eastAsia"/>
          <w:sz w:val="24"/>
        </w:rPr>
        <w:t>公司</w:t>
      </w:r>
      <w:r w:rsidRPr="003F274F">
        <w:rPr>
          <w:rFonts w:ascii="宋体" w:hAnsi="宋体" w:hint="eastAsia"/>
          <w:sz w:val="24"/>
        </w:rPr>
        <w:t>及</w:t>
      </w:r>
      <w:r w:rsidR="0074543B">
        <w:rPr>
          <w:rFonts w:ascii="宋体" w:hAnsi="宋体" w:hint="eastAsia"/>
          <w:sz w:val="24"/>
        </w:rPr>
        <w:t>公司</w:t>
      </w:r>
      <w:r w:rsidRPr="003F274F">
        <w:rPr>
          <w:rFonts w:ascii="宋体" w:hAnsi="宋体" w:hint="eastAsia"/>
          <w:sz w:val="24"/>
        </w:rPr>
        <w:t>并表附属机构</w:t>
      </w:r>
      <w:r>
        <w:rPr>
          <w:rFonts w:ascii="宋体" w:hAnsi="宋体" w:cs="宋体" w:hint="eastAsia"/>
          <w:sz w:val="24"/>
        </w:rPr>
        <w:t>，具体包括：</w:t>
      </w:r>
      <w:r w:rsidRPr="00144DA6">
        <w:rPr>
          <w:rFonts w:ascii="宋体" w:hAnsi="宋体" w:cs="宋体" w:hint="eastAsia"/>
          <w:sz w:val="24"/>
        </w:rPr>
        <w:t>授</w:t>
      </w:r>
      <w:proofErr w:type="gramStart"/>
      <w:r w:rsidRPr="00144DA6">
        <w:rPr>
          <w:rFonts w:ascii="宋体" w:hAnsi="宋体" w:cs="宋体" w:hint="eastAsia"/>
          <w:sz w:val="24"/>
        </w:rPr>
        <w:t>信类关联</w:t>
      </w:r>
      <w:proofErr w:type="gramEnd"/>
      <w:r w:rsidRPr="00144DA6">
        <w:rPr>
          <w:rFonts w:ascii="宋体" w:hAnsi="宋体" w:cs="宋体" w:hint="eastAsia"/>
          <w:sz w:val="24"/>
        </w:rPr>
        <w:t>交易额度170亿元，其中，主体授信额度150亿元，用于各类短中长期业务品种；非保本理财项下投资额度20</w:t>
      </w:r>
      <w:r>
        <w:rPr>
          <w:rFonts w:ascii="宋体" w:hAnsi="宋体" w:cs="宋体" w:hint="eastAsia"/>
          <w:sz w:val="24"/>
        </w:rPr>
        <w:t>亿元，用于非保本理财项下各类投资；</w:t>
      </w:r>
      <w:proofErr w:type="gramStart"/>
      <w:r w:rsidRPr="00144DA6">
        <w:rPr>
          <w:rFonts w:ascii="宋体" w:hAnsi="宋体" w:cs="宋体" w:hint="eastAsia"/>
          <w:sz w:val="24"/>
        </w:rPr>
        <w:t>非授信类关联</w:t>
      </w:r>
      <w:proofErr w:type="gramEnd"/>
      <w:r w:rsidRPr="00144DA6">
        <w:rPr>
          <w:rFonts w:ascii="宋体" w:hAnsi="宋体" w:cs="宋体" w:hint="eastAsia"/>
          <w:sz w:val="24"/>
        </w:rPr>
        <w:t>交易额度53亿元，交易类别包括结构性存款及理财、委托贷款、资产托管、物业租赁以及其他综合服务等。</w:t>
      </w:r>
    </w:p>
    <w:p w14:paraId="68CACFFB" w14:textId="77777777"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t>（二）定价政策</w:t>
      </w:r>
    </w:p>
    <w:p w14:paraId="4799C479" w14:textId="77777777" w:rsidR="00420E76" w:rsidRDefault="0018573C">
      <w:pPr>
        <w:pStyle w:val="Default"/>
        <w:spacing w:line="360" w:lineRule="auto"/>
        <w:ind w:firstLineChars="200" w:firstLine="480"/>
        <w:rPr>
          <w:rFonts w:hAnsi="宋体" w:cs="Times New Roman"/>
          <w:color w:val="auto"/>
        </w:rPr>
      </w:pPr>
      <w:r>
        <w:rPr>
          <w:rFonts w:hAnsi="宋体" w:cs="Times New Roman" w:hint="eastAsia"/>
          <w:color w:val="auto"/>
        </w:rPr>
        <w:t>公司与</w:t>
      </w:r>
      <w:r w:rsidR="00E83D6A">
        <w:rPr>
          <w:rFonts w:hAnsi="宋体" w:hint="eastAsia"/>
        </w:rPr>
        <w:t>中国烟草总公司</w:t>
      </w:r>
      <w:r>
        <w:rPr>
          <w:rFonts w:hAnsi="宋体" w:hint="eastAsia"/>
        </w:rPr>
        <w:t>系列关联法人</w:t>
      </w:r>
      <w:r>
        <w:rPr>
          <w:rFonts w:hAnsi="宋体" w:cs="Times New Roman" w:hint="eastAsia"/>
          <w:color w:val="auto"/>
        </w:rPr>
        <w:t>的关联交易，交易定价参考</w:t>
      </w:r>
      <w:proofErr w:type="gramStart"/>
      <w:r>
        <w:rPr>
          <w:rFonts w:hAnsi="宋体" w:cs="Times New Roman" w:hint="eastAsia"/>
          <w:color w:val="auto"/>
        </w:rPr>
        <w:t>独立第三</w:t>
      </w:r>
      <w:proofErr w:type="gramEnd"/>
      <w:r>
        <w:rPr>
          <w:rFonts w:hAnsi="宋体" w:cs="Times New Roman" w:hint="eastAsia"/>
          <w:color w:val="auto"/>
        </w:rPr>
        <w:t>方的非关联交易价格。</w:t>
      </w:r>
      <w:proofErr w:type="gramStart"/>
      <w:r>
        <w:rPr>
          <w:rFonts w:hAnsi="宋体" w:cs="Times New Roman" w:hint="eastAsia"/>
          <w:color w:val="auto"/>
        </w:rPr>
        <w:t>如授信类关联</w:t>
      </w:r>
      <w:proofErr w:type="gramEnd"/>
      <w:r>
        <w:rPr>
          <w:rFonts w:hAnsi="宋体" w:cs="Times New Roman" w:hint="eastAsia"/>
          <w:color w:val="auto"/>
        </w:rPr>
        <w:t>交易，相关授信条件没有优于其他受</w:t>
      </w:r>
      <w:proofErr w:type="gramStart"/>
      <w:r>
        <w:rPr>
          <w:rFonts w:hAnsi="宋体" w:cs="Times New Roman" w:hint="eastAsia"/>
          <w:color w:val="auto"/>
        </w:rPr>
        <w:t>信主体</w:t>
      </w:r>
      <w:proofErr w:type="gramEnd"/>
      <w:r>
        <w:rPr>
          <w:rFonts w:hAnsi="宋体" w:cs="Times New Roman" w:hint="eastAsia"/>
          <w:color w:val="auto"/>
        </w:rPr>
        <w:t>同类授信的条件，关联交易价格参考</w:t>
      </w:r>
      <w:proofErr w:type="gramStart"/>
      <w:r>
        <w:rPr>
          <w:rFonts w:hAnsi="宋体" w:cs="Times New Roman" w:hint="eastAsia"/>
          <w:color w:val="auto"/>
        </w:rPr>
        <w:t>独立第三</w:t>
      </w:r>
      <w:proofErr w:type="gramEnd"/>
      <w:r>
        <w:rPr>
          <w:rFonts w:hAnsi="宋体" w:cs="Times New Roman" w:hint="eastAsia"/>
          <w:color w:val="auto"/>
        </w:rPr>
        <w:t>方的非关联交易价格，结算方式与</w:t>
      </w:r>
      <w:proofErr w:type="gramStart"/>
      <w:r>
        <w:rPr>
          <w:rFonts w:hAnsi="宋体" w:cs="Times New Roman" w:hint="eastAsia"/>
          <w:color w:val="auto"/>
        </w:rPr>
        <w:t>独立第三</w:t>
      </w:r>
      <w:proofErr w:type="gramEnd"/>
      <w:r>
        <w:rPr>
          <w:rFonts w:hAnsi="宋体" w:cs="Times New Roman" w:hint="eastAsia"/>
          <w:color w:val="auto"/>
        </w:rPr>
        <w:t>方的非关联交易相同；</w:t>
      </w:r>
      <w:proofErr w:type="gramStart"/>
      <w:r>
        <w:rPr>
          <w:rFonts w:hAnsi="宋体" w:cs="Times New Roman" w:hint="eastAsia"/>
          <w:color w:val="auto"/>
        </w:rPr>
        <w:t>非授信类关联</w:t>
      </w:r>
      <w:proofErr w:type="gramEnd"/>
      <w:r>
        <w:rPr>
          <w:rFonts w:hAnsi="宋体" w:cs="Times New Roman" w:hint="eastAsia"/>
          <w:color w:val="auto"/>
        </w:rPr>
        <w:t>交易属于公司日常业务经营中的合理交易，遵循一般商业原则，以不优于对非关联方同类交易的条件进行。</w:t>
      </w:r>
    </w:p>
    <w:p w14:paraId="5B0280FA" w14:textId="77777777" w:rsidR="009E2D12" w:rsidRDefault="009E2D12">
      <w:pPr>
        <w:pStyle w:val="Default"/>
        <w:spacing w:line="360" w:lineRule="auto"/>
        <w:ind w:firstLineChars="200" w:firstLine="482"/>
        <w:rPr>
          <w:rFonts w:hAnsi="宋体" w:hint="eastAsia"/>
          <w:b/>
        </w:rPr>
      </w:pPr>
    </w:p>
    <w:p w14:paraId="07937CFE" w14:textId="30646A1F" w:rsidR="00420E76" w:rsidRPr="003160BB" w:rsidRDefault="0018573C" w:rsidP="009E2D12">
      <w:pPr>
        <w:pStyle w:val="Default"/>
        <w:spacing w:line="460" w:lineRule="exact"/>
        <w:ind w:firstLineChars="200" w:firstLine="482"/>
        <w:rPr>
          <w:rFonts w:hAnsi="宋体"/>
          <w:b/>
        </w:rPr>
      </w:pPr>
      <w:r w:rsidRPr="003160BB">
        <w:rPr>
          <w:rFonts w:hAnsi="宋体" w:hint="eastAsia"/>
          <w:b/>
        </w:rPr>
        <w:lastRenderedPageBreak/>
        <w:t>四、关联交易的目的以及本次关联交易对上市公司的影响</w:t>
      </w:r>
    </w:p>
    <w:p w14:paraId="402ED572" w14:textId="3EED0982" w:rsidR="00420E76" w:rsidRDefault="0018573C" w:rsidP="003160BB">
      <w:pPr>
        <w:pStyle w:val="Default"/>
        <w:spacing w:line="360" w:lineRule="auto"/>
        <w:ind w:firstLineChars="200" w:firstLine="480"/>
        <w:jc w:val="both"/>
        <w:rPr>
          <w:rFonts w:hAnsi="宋体" w:cs="Times New Roman"/>
          <w:color w:val="auto"/>
        </w:rPr>
      </w:pPr>
      <w:r>
        <w:rPr>
          <w:rFonts w:hAnsi="宋体" w:cs="Times New Roman" w:hint="eastAsia"/>
          <w:color w:val="auto"/>
        </w:rPr>
        <w:t>公司与</w:t>
      </w:r>
      <w:r w:rsidR="00E83D6A">
        <w:rPr>
          <w:rFonts w:hAnsi="宋体" w:hint="eastAsia"/>
        </w:rPr>
        <w:t>中国烟草总公司</w:t>
      </w:r>
      <w:r>
        <w:rPr>
          <w:rFonts w:hAnsi="宋体" w:hint="eastAsia"/>
        </w:rPr>
        <w:t>系列关联法人</w:t>
      </w:r>
      <w:r>
        <w:rPr>
          <w:rFonts w:hAnsi="宋体" w:cs="Times New Roman" w:hint="eastAsia"/>
          <w:color w:val="auto"/>
        </w:rPr>
        <w:t>在多个业务领域的合作持续推进，相关业务需求不断增加，公司与</w:t>
      </w:r>
      <w:r w:rsidR="00E83D6A">
        <w:rPr>
          <w:rFonts w:hAnsi="宋体" w:hint="eastAsia"/>
        </w:rPr>
        <w:t>中国烟草总公司</w:t>
      </w:r>
      <w:r>
        <w:rPr>
          <w:rFonts w:hAnsi="宋体" w:hint="eastAsia"/>
        </w:rPr>
        <w:t>系列关联法人</w:t>
      </w:r>
      <w:r>
        <w:rPr>
          <w:rFonts w:hAnsi="宋体" w:cs="Times New Roman" w:hint="eastAsia"/>
          <w:color w:val="auto"/>
        </w:rPr>
        <w:t>开展的相关业务有利于各方的进一步合作。</w:t>
      </w:r>
    </w:p>
    <w:p w14:paraId="5FBF4097" w14:textId="77777777" w:rsidR="00420E76" w:rsidRDefault="0018573C" w:rsidP="003160BB">
      <w:pPr>
        <w:pStyle w:val="Default"/>
        <w:spacing w:line="360" w:lineRule="auto"/>
        <w:ind w:firstLineChars="200" w:firstLine="480"/>
        <w:jc w:val="both"/>
        <w:rPr>
          <w:rFonts w:hAnsi="宋体" w:cs="Times New Roman"/>
          <w:color w:val="auto"/>
        </w:rPr>
      </w:pPr>
      <w:r>
        <w:rPr>
          <w:rFonts w:hAnsi="宋体" w:cs="Times New Roman" w:hint="eastAsia"/>
          <w:color w:val="auto"/>
        </w:rPr>
        <w:t>上述关联交易是公司在日常业务中按市场原则及一般商务条款或按照不优于适用于</w:t>
      </w:r>
      <w:proofErr w:type="gramStart"/>
      <w:r>
        <w:rPr>
          <w:rFonts w:hAnsi="宋体" w:cs="Times New Roman" w:hint="eastAsia"/>
          <w:color w:val="auto"/>
        </w:rPr>
        <w:t>独立第三</w:t>
      </w:r>
      <w:proofErr w:type="gramEnd"/>
      <w:r>
        <w:rPr>
          <w:rFonts w:hAnsi="宋体" w:cs="Times New Roman" w:hint="eastAsia"/>
          <w:color w:val="auto"/>
        </w:rPr>
        <w:t>方的条款而订立，交易条款公平合理，符合公司和全体股东的利益，符合监管部门相关法规要求及公司内部制度相关规定，不存在损害公司及中小股东利益的情况，不会对公司本期及未来的财务状况产生不利影响，也不会影响上市公司的独立性。</w:t>
      </w:r>
    </w:p>
    <w:p w14:paraId="471DDA50" w14:textId="77777777" w:rsidR="00420E76" w:rsidRDefault="00420E76" w:rsidP="009E2D12">
      <w:pPr>
        <w:spacing w:line="360" w:lineRule="exact"/>
        <w:ind w:firstLine="573"/>
        <w:rPr>
          <w:rFonts w:hAnsi="宋体"/>
          <w:b/>
        </w:rPr>
      </w:pPr>
    </w:p>
    <w:p w14:paraId="5F4D19C2" w14:textId="77777777" w:rsidR="00420E76" w:rsidRDefault="0018573C" w:rsidP="003160BB">
      <w:pPr>
        <w:pStyle w:val="Default"/>
        <w:spacing w:line="360" w:lineRule="auto"/>
        <w:ind w:firstLineChars="200" w:firstLine="482"/>
        <w:rPr>
          <w:rFonts w:hAnsi="宋体"/>
          <w:b/>
        </w:rPr>
      </w:pPr>
      <w:r>
        <w:rPr>
          <w:rFonts w:hAnsi="宋体" w:hint="eastAsia"/>
          <w:b/>
        </w:rPr>
        <w:t>五、独立董事意见</w:t>
      </w:r>
    </w:p>
    <w:p w14:paraId="2BE21A7E" w14:textId="70D5D971" w:rsidR="00420E76" w:rsidRDefault="0018573C" w:rsidP="003160BB">
      <w:pPr>
        <w:pStyle w:val="Default"/>
        <w:spacing w:line="360" w:lineRule="auto"/>
        <w:ind w:firstLineChars="200" w:firstLine="480"/>
        <w:jc w:val="both"/>
        <w:rPr>
          <w:rFonts w:hAnsi="宋体" w:cs="Times New Roman"/>
          <w:color w:val="auto"/>
        </w:rPr>
      </w:pPr>
      <w:r>
        <w:rPr>
          <w:rFonts w:hAnsi="宋体" w:cs="Times New Roman" w:hint="eastAsia"/>
          <w:color w:val="auto"/>
        </w:rPr>
        <w:t>公司独</w:t>
      </w:r>
      <w:r w:rsidRPr="0074543B">
        <w:rPr>
          <w:rFonts w:hAnsi="宋体" w:cs="Times New Roman" w:hint="eastAsia"/>
          <w:color w:val="auto"/>
        </w:rPr>
        <w:t>立董事</w:t>
      </w:r>
      <w:r w:rsidRPr="0074543B">
        <w:rPr>
          <w:rFonts w:hAnsi="宋体" w:cs="Times New Roman"/>
          <w:color w:val="auto"/>
        </w:rPr>
        <w:t xml:space="preserve">Paul </w:t>
      </w:r>
      <w:proofErr w:type="spellStart"/>
      <w:r w:rsidRPr="0074543B">
        <w:rPr>
          <w:rFonts w:hAnsi="宋体" w:cs="Times New Roman"/>
          <w:color w:val="auto"/>
        </w:rPr>
        <w:t>M.Theil</w:t>
      </w:r>
      <w:proofErr w:type="spellEnd"/>
      <w:r w:rsidRPr="0074543B">
        <w:rPr>
          <w:rFonts w:hAnsi="宋体" w:cs="Times New Roman" w:hint="eastAsia"/>
          <w:color w:val="auto"/>
        </w:rPr>
        <w:t>先生、朱青先生、刘世平先生、苏锡嘉先生、林华先生对上</w:t>
      </w:r>
      <w:r>
        <w:rPr>
          <w:rFonts w:hAnsi="宋体" w:cs="Times New Roman" w:hint="eastAsia"/>
          <w:color w:val="auto"/>
        </w:rPr>
        <w:t>述关联交易事项发表独立意见如下：</w:t>
      </w:r>
    </w:p>
    <w:p w14:paraId="1C1F26A6" w14:textId="45A146A0" w:rsidR="00420E76" w:rsidRPr="009C0218" w:rsidRDefault="0018573C" w:rsidP="009C0218">
      <w:pPr>
        <w:pStyle w:val="af1"/>
        <w:numPr>
          <w:ilvl w:val="0"/>
          <w:numId w:val="2"/>
        </w:numPr>
        <w:spacing w:line="360" w:lineRule="auto"/>
        <w:ind w:left="0" w:firstLine="480"/>
        <w:rPr>
          <w:rFonts w:ascii="宋体" w:hAnsi="宋体"/>
          <w:sz w:val="24"/>
        </w:rPr>
      </w:pPr>
      <w:r w:rsidRPr="009C0218">
        <w:rPr>
          <w:rFonts w:ascii="宋体" w:hAnsi="宋体" w:hint="eastAsia"/>
          <w:sz w:val="24"/>
        </w:rPr>
        <w:t>程序性。上述关联交易事项已履行董事会审计与关联交易控制委员会审核和董事会审批等程序，符合中国银保监会、中国证监会、上海证券交易所等监管部门发布的规章和公司章程、《关联交易管理办法》等规定。</w:t>
      </w:r>
    </w:p>
    <w:p w14:paraId="721A5DBB" w14:textId="77777777" w:rsidR="00420E76" w:rsidRDefault="0018573C" w:rsidP="009C0218">
      <w:pPr>
        <w:pStyle w:val="Default"/>
        <w:spacing w:line="360" w:lineRule="auto"/>
        <w:ind w:firstLineChars="200" w:firstLine="480"/>
        <w:jc w:val="both"/>
        <w:rPr>
          <w:rFonts w:hAnsi="宋体" w:cs="Times New Roman"/>
          <w:color w:val="auto"/>
        </w:rPr>
      </w:pPr>
      <w:r>
        <w:rPr>
          <w:rFonts w:hAnsi="宋体" w:cs="Times New Roman" w:hint="eastAsia"/>
          <w:color w:val="auto"/>
        </w:rPr>
        <w:t>（二）公允性。上述关联交易属于公司日常业务经营中的合理交易，遵循一般商业原则，且以不优于对非关联方同类交易的条件进行，交易条件公平、合理，符合监管部门相关法规要求及公司内部制度相关规定，未损害公司及股东、特别是中小股东的利益，不会对公司本期及未来的财务状况产生不利影响，也不会影响公司的独立性。</w:t>
      </w:r>
    </w:p>
    <w:p w14:paraId="788ACE4F" w14:textId="77777777" w:rsidR="00420E76" w:rsidRDefault="00420E76" w:rsidP="009E2D12">
      <w:pPr>
        <w:spacing w:line="360" w:lineRule="exact"/>
        <w:ind w:firstLine="573"/>
        <w:rPr>
          <w:rFonts w:hAnsi="宋体"/>
        </w:rPr>
      </w:pPr>
    </w:p>
    <w:p w14:paraId="0019A4D0" w14:textId="77777777" w:rsidR="00420E76" w:rsidRPr="003160BB" w:rsidRDefault="0018573C" w:rsidP="003160BB">
      <w:pPr>
        <w:autoSpaceDE w:val="0"/>
        <w:autoSpaceDN w:val="0"/>
        <w:adjustRightInd w:val="0"/>
        <w:spacing w:line="360" w:lineRule="auto"/>
        <w:ind w:firstLineChars="200" w:firstLine="482"/>
        <w:jc w:val="left"/>
        <w:rPr>
          <w:rFonts w:hAnsi="宋体"/>
          <w:b/>
        </w:rPr>
      </w:pPr>
      <w:r w:rsidRPr="003160BB">
        <w:rPr>
          <w:rFonts w:ascii="宋体" w:hAnsi="宋体" w:cs="宋体" w:hint="eastAsia"/>
          <w:b/>
          <w:sz w:val="24"/>
        </w:rPr>
        <w:t>六、备查文件目录</w:t>
      </w:r>
      <w:r w:rsidRPr="003160BB">
        <w:rPr>
          <w:rFonts w:ascii="宋体" w:hAnsi="宋体" w:cs="宋体"/>
          <w:b/>
          <w:sz w:val="24"/>
        </w:rPr>
        <w:t xml:space="preserve"> </w:t>
      </w:r>
    </w:p>
    <w:p w14:paraId="72D479A1" w14:textId="4FC0D249" w:rsidR="00420E76" w:rsidRDefault="0018573C" w:rsidP="009E2D12">
      <w:pPr>
        <w:pStyle w:val="Default"/>
        <w:spacing w:line="420" w:lineRule="exact"/>
        <w:ind w:firstLineChars="200" w:firstLine="480"/>
        <w:rPr>
          <w:rFonts w:hAnsi="宋体"/>
        </w:rPr>
      </w:pPr>
      <w:r>
        <w:rPr>
          <w:rFonts w:hAnsi="宋体"/>
        </w:rPr>
        <w:t>1</w:t>
      </w:r>
      <w:r>
        <w:rPr>
          <w:rFonts w:hAnsi="宋体" w:hint="eastAsia"/>
        </w:rPr>
        <w:t>、</w:t>
      </w:r>
      <w:r w:rsidR="0074543B">
        <w:rPr>
          <w:rFonts w:hAnsi="宋体" w:hint="eastAsia"/>
        </w:rPr>
        <w:t>公司</w:t>
      </w:r>
      <w:r w:rsidR="0074543B" w:rsidRPr="00610F87">
        <w:rPr>
          <w:rFonts w:hAnsi="宋体" w:hint="eastAsia"/>
        </w:rPr>
        <w:t>第九届</w:t>
      </w:r>
      <w:r>
        <w:rPr>
          <w:rFonts w:hAnsi="宋体" w:hint="eastAsia"/>
        </w:rPr>
        <w:t>董事会审计与关联交易控制委员会</w:t>
      </w:r>
      <w:r w:rsidR="0074543B" w:rsidRPr="00610F87">
        <w:rPr>
          <w:rFonts w:hAnsi="宋体" w:hint="eastAsia"/>
        </w:rPr>
        <w:t>第二十四次会议</w:t>
      </w:r>
      <w:r>
        <w:rPr>
          <w:rFonts w:hAnsi="宋体" w:hint="eastAsia"/>
        </w:rPr>
        <w:t>决议；</w:t>
      </w:r>
      <w:r>
        <w:rPr>
          <w:rFonts w:hAnsi="宋体"/>
        </w:rPr>
        <w:t xml:space="preserve"> </w:t>
      </w:r>
    </w:p>
    <w:p w14:paraId="5C4B0CED" w14:textId="64C687BB" w:rsidR="00420E76" w:rsidRDefault="0018573C" w:rsidP="009E2D12">
      <w:pPr>
        <w:pStyle w:val="Default"/>
        <w:spacing w:line="420" w:lineRule="exact"/>
        <w:ind w:firstLineChars="200" w:firstLine="480"/>
        <w:rPr>
          <w:rFonts w:hAnsi="宋体"/>
        </w:rPr>
      </w:pPr>
      <w:r>
        <w:rPr>
          <w:rFonts w:hAnsi="宋体"/>
        </w:rPr>
        <w:t>2</w:t>
      </w:r>
      <w:r>
        <w:rPr>
          <w:rFonts w:hAnsi="宋体" w:hint="eastAsia"/>
        </w:rPr>
        <w:t>、</w:t>
      </w:r>
      <w:r w:rsidR="0074543B">
        <w:rPr>
          <w:rFonts w:hAnsi="宋体" w:hint="eastAsia"/>
        </w:rPr>
        <w:t>公司</w:t>
      </w:r>
      <w:r w:rsidR="0074543B" w:rsidRPr="00610F87">
        <w:rPr>
          <w:rFonts w:hAnsi="宋体" w:hint="eastAsia"/>
        </w:rPr>
        <w:t>第九届</w:t>
      </w:r>
      <w:r>
        <w:rPr>
          <w:rFonts w:hAnsi="宋体" w:hint="eastAsia"/>
        </w:rPr>
        <w:t>董事会</w:t>
      </w:r>
      <w:r w:rsidR="0074543B" w:rsidRPr="00610F87">
        <w:rPr>
          <w:rFonts w:hAnsi="宋体" w:hint="eastAsia"/>
        </w:rPr>
        <w:t>第二十七次会议</w:t>
      </w:r>
      <w:r>
        <w:rPr>
          <w:rFonts w:hAnsi="宋体" w:hint="eastAsia"/>
        </w:rPr>
        <w:t>决议；</w:t>
      </w:r>
    </w:p>
    <w:p w14:paraId="463BB5E4" w14:textId="77777777" w:rsidR="00420E76" w:rsidRDefault="0018573C" w:rsidP="009E2D12">
      <w:pPr>
        <w:pStyle w:val="Default"/>
        <w:spacing w:line="420" w:lineRule="exact"/>
        <w:ind w:firstLineChars="200" w:firstLine="480"/>
        <w:rPr>
          <w:rFonts w:hAnsi="宋体"/>
        </w:rPr>
      </w:pPr>
      <w:r>
        <w:rPr>
          <w:rFonts w:hAnsi="宋体"/>
        </w:rPr>
        <w:t>3</w:t>
      </w:r>
      <w:r>
        <w:rPr>
          <w:rFonts w:hAnsi="宋体" w:hint="eastAsia"/>
        </w:rPr>
        <w:t>、经独立董事签字确认的事前认可意见；</w:t>
      </w:r>
    </w:p>
    <w:p w14:paraId="7BBDC4D7" w14:textId="77777777" w:rsidR="00420E76" w:rsidRDefault="0018573C" w:rsidP="009E2D12">
      <w:pPr>
        <w:pStyle w:val="Default"/>
        <w:spacing w:line="420" w:lineRule="exact"/>
        <w:ind w:firstLineChars="200" w:firstLine="480"/>
        <w:rPr>
          <w:rFonts w:hAnsi="宋体"/>
        </w:rPr>
      </w:pPr>
      <w:r>
        <w:rPr>
          <w:rFonts w:hAnsi="宋体"/>
        </w:rPr>
        <w:t>4、经独立董事签字确认的独立意见。</w:t>
      </w:r>
    </w:p>
    <w:p w14:paraId="3A356437" w14:textId="77777777" w:rsidR="00420E76" w:rsidRDefault="00420E76" w:rsidP="009E2D12">
      <w:pPr>
        <w:spacing w:line="360" w:lineRule="exact"/>
        <w:ind w:firstLine="573"/>
        <w:rPr>
          <w:rFonts w:hAnsi="宋体"/>
        </w:rPr>
      </w:pPr>
    </w:p>
    <w:p w14:paraId="2D52726A" w14:textId="77777777" w:rsidR="00420E76" w:rsidRDefault="0018573C">
      <w:pPr>
        <w:pStyle w:val="Default"/>
        <w:spacing w:line="360" w:lineRule="auto"/>
        <w:ind w:firstLineChars="200" w:firstLine="480"/>
        <w:rPr>
          <w:rFonts w:hAnsi="宋体"/>
        </w:rPr>
      </w:pPr>
      <w:r>
        <w:rPr>
          <w:rFonts w:hAnsi="宋体" w:hint="eastAsia"/>
        </w:rPr>
        <w:t>特此公告。</w:t>
      </w:r>
      <w:r>
        <w:rPr>
          <w:rFonts w:hAnsi="宋体"/>
        </w:rPr>
        <w:t xml:space="preserve"> </w:t>
      </w:r>
      <w:bookmarkStart w:id="0" w:name="_GoBack"/>
      <w:bookmarkEnd w:id="0"/>
    </w:p>
    <w:p w14:paraId="4EFC1D94" w14:textId="77777777" w:rsidR="00420E76" w:rsidRDefault="00420E76" w:rsidP="009E2D12">
      <w:pPr>
        <w:spacing w:line="360" w:lineRule="exact"/>
        <w:ind w:firstLine="573"/>
        <w:rPr>
          <w:rFonts w:hAnsi="宋体"/>
        </w:rPr>
      </w:pPr>
    </w:p>
    <w:p w14:paraId="3907A523" w14:textId="77777777" w:rsidR="00420E76" w:rsidRDefault="0018573C">
      <w:pPr>
        <w:pStyle w:val="Default"/>
        <w:spacing w:line="360" w:lineRule="auto"/>
        <w:ind w:firstLineChars="1850" w:firstLine="4440"/>
        <w:rPr>
          <w:rFonts w:hAnsi="宋体"/>
        </w:rPr>
      </w:pPr>
      <w:r>
        <w:rPr>
          <w:rFonts w:hAnsi="宋体" w:hint="eastAsia"/>
        </w:rPr>
        <w:t>兴业银行股份有限公司董事会</w:t>
      </w:r>
    </w:p>
    <w:p w14:paraId="57BAFE42" w14:textId="3BAD8A2D" w:rsidR="00420E76" w:rsidRDefault="0018573C" w:rsidP="009E2D12">
      <w:pPr>
        <w:pStyle w:val="Default"/>
        <w:spacing w:line="360" w:lineRule="auto"/>
        <w:ind w:firstLineChars="1000" w:firstLine="2400"/>
      </w:pPr>
      <w:r>
        <w:rPr>
          <w:rFonts w:hAnsi="宋体"/>
        </w:rPr>
        <w:t xml:space="preserve"> </w:t>
      </w:r>
      <w:r>
        <w:rPr>
          <w:rFonts w:hAnsi="宋体" w:hint="eastAsia"/>
        </w:rPr>
        <w:t xml:space="preserve">                      </w:t>
      </w:r>
      <w:r w:rsidRPr="0074543B">
        <w:rPr>
          <w:rFonts w:hAnsi="宋体"/>
        </w:rPr>
        <w:t>202</w:t>
      </w:r>
      <w:r w:rsidR="0074543B" w:rsidRPr="0074543B">
        <w:rPr>
          <w:rFonts w:hAnsi="宋体" w:hint="eastAsia"/>
        </w:rPr>
        <w:t>1</w:t>
      </w:r>
      <w:r w:rsidRPr="0074543B">
        <w:rPr>
          <w:rFonts w:hAnsi="宋体" w:hint="eastAsia"/>
        </w:rPr>
        <w:t>年</w:t>
      </w:r>
      <w:r w:rsidR="0074543B" w:rsidRPr="0074543B">
        <w:rPr>
          <w:rFonts w:hAnsi="宋体" w:hint="eastAsia"/>
        </w:rPr>
        <w:t>3</w:t>
      </w:r>
      <w:r w:rsidRPr="0074543B">
        <w:rPr>
          <w:rFonts w:hAnsi="宋体" w:hint="eastAsia"/>
        </w:rPr>
        <w:t>月</w:t>
      </w:r>
      <w:r w:rsidR="0074543B" w:rsidRPr="0074543B">
        <w:rPr>
          <w:rFonts w:hAnsi="宋体" w:hint="eastAsia"/>
        </w:rPr>
        <w:t>30</w:t>
      </w:r>
      <w:r w:rsidRPr="0074543B">
        <w:rPr>
          <w:rFonts w:hAnsi="宋体" w:hint="eastAsia"/>
        </w:rPr>
        <w:t>日</w:t>
      </w:r>
    </w:p>
    <w:sectPr w:rsidR="00420E76" w:rsidSect="009E2D12">
      <w:footerReference w:type="even" r:id="rId10"/>
      <w:footerReference w:type="default" r:id="rId11"/>
      <w:pgSz w:w="11906" w:h="16838"/>
      <w:pgMar w:top="1134" w:right="1701" w:bottom="737"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98B2D" w14:textId="77777777" w:rsidR="009E57EE" w:rsidRDefault="009E57EE">
      <w:r>
        <w:separator/>
      </w:r>
    </w:p>
  </w:endnote>
  <w:endnote w:type="continuationSeparator" w:id="0">
    <w:p w14:paraId="282F329A" w14:textId="77777777" w:rsidR="009E57EE" w:rsidRDefault="009E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BAAA" w14:textId="77777777" w:rsidR="00420E76" w:rsidRDefault="0018573C">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A46CEF8" w14:textId="77777777" w:rsidR="00420E76" w:rsidRDefault="00420E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33837"/>
    </w:sdtPr>
    <w:sdtEndPr/>
    <w:sdtContent>
      <w:p w14:paraId="3216DC06" w14:textId="77777777" w:rsidR="00420E76" w:rsidRDefault="0018573C">
        <w:pPr>
          <w:pStyle w:val="a8"/>
          <w:jc w:val="center"/>
        </w:pPr>
        <w:r>
          <w:fldChar w:fldCharType="begin"/>
        </w:r>
        <w:r>
          <w:instrText>PAGE   \* MERGEFORMAT</w:instrText>
        </w:r>
        <w:r>
          <w:fldChar w:fldCharType="separate"/>
        </w:r>
        <w:r w:rsidR="009E2D12" w:rsidRPr="009E2D12">
          <w:rPr>
            <w:noProof/>
            <w:lang w:val="zh-CN"/>
          </w:rPr>
          <w:t>2</w:t>
        </w:r>
        <w:r>
          <w:fldChar w:fldCharType="end"/>
        </w:r>
      </w:p>
    </w:sdtContent>
  </w:sdt>
  <w:p w14:paraId="3203A25B" w14:textId="77777777" w:rsidR="00420E76" w:rsidRDefault="00420E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824" w14:textId="77777777" w:rsidR="009E57EE" w:rsidRDefault="009E57EE">
      <w:r>
        <w:separator/>
      </w:r>
    </w:p>
  </w:footnote>
  <w:footnote w:type="continuationSeparator" w:id="0">
    <w:p w14:paraId="0F800317" w14:textId="77777777" w:rsidR="009E57EE" w:rsidRDefault="009E5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20B1"/>
    <w:multiLevelType w:val="multilevel"/>
    <w:tmpl w:val="0F5D20B1"/>
    <w:lvl w:ilvl="0">
      <w:start w:val="1"/>
      <w:numFmt w:val="upperLetter"/>
      <w:pStyle w:val="1"/>
      <w:lvlText w:val="%1"/>
      <w:lvlJc w:val="left"/>
      <w:pPr>
        <w:tabs>
          <w:tab w:val="left" w:pos="425"/>
        </w:tabs>
        <w:ind w:left="425" w:hanging="425"/>
      </w:pPr>
      <w:rPr>
        <w:rFonts w:eastAsia="宋体" w:hint="eastAsia"/>
        <w:b/>
        <w:i w:val="0"/>
        <w:sz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none"/>
      <w:pStyle w:val="4"/>
      <w:lvlText w:val=""/>
      <w:lvlJc w:val="left"/>
      <w:pPr>
        <w:tabs>
          <w:tab w:val="left" w:pos="1636"/>
        </w:tabs>
        <w:ind w:left="567" w:firstLine="709"/>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496"/>
        </w:tabs>
        <w:ind w:left="4394" w:hanging="1418"/>
      </w:pPr>
      <w:rPr>
        <w:rFonts w:hint="eastAsia"/>
      </w:rPr>
    </w:lvl>
    <w:lvl w:ilvl="8">
      <w:start w:val="1"/>
      <w:numFmt w:val="decimal"/>
      <w:lvlText w:val="%1.%2.%3.%4.%5.%6.%7.%8.%9"/>
      <w:lvlJc w:val="left"/>
      <w:pPr>
        <w:tabs>
          <w:tab w:val="left" w:pos="6282"/>
        </w:tabs>
        <w:ind w:left="5102" w:hanging="1700"/>
      </w:pPr>
      <w:rPr>
        <w:rFonts w:hint="eastAsia"/>
      </w:rPr>
    </w:lvl>
  </w:abstractNum>
  <w:abstractNum w:abstractNumId="1">
    <w:nsid w:val="43154E6E"/>
    <w:multiLevelType w:val="hybridMultilevel"/>
    <w:tmpl w:val="ACA60872"/>
    <w:lvl w:ilvl="0" w:tplc="E11456EA">
      <w:start w:val="1"/>
      <w:numFmt w:val="japaneseCounting"/>
      <w:lvlText w:val="（%1）"/>
      <w:lvlJc w:val="left"/>
      <w:pPr>
        <w:ind w:left="1632" w:hanging="1152"/>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78"/>
    <w:rsid w:val="00003209"/>
    <w:rsid w:val="00003477"/>
    <w:rsid w:val="00007292"/>
    <w:rsid w:val="0001021A"/>
    <w:rsid w:val="0001038F"/>
    <w:rsid w:val="000121F9"/>
    <w:rsid w:val="00012653"/>
    <w:rsid w:val="00013D73"/>
    <w:rsid w:val="00017776"/>
    <w:rsid w:val="00017972"/>
    <w:rsid w:val="00020DB1"/>
    <w:rsid w:val="00022B1F"/>
    <w:rsid w:val="00022C0B"/>
    <w:rsid w:val="00024C4D"/>
    <w:rsid w:val="00030359"/>
    <w:rsid w:val="00031A33"/>
    <w:rsid w:val="00032D33"/>
    <w:rsid w:val="0003479C"/>
    <w:rsid w:val="00034E37"/>
    <w:rsid w:val="00036EF6"/>
    <w:rsid w:val="000370C2"/>
    <w:rsid w:val="000440FB"/>
    <w:rsid w:val="00044C73"/>
    <w:rsid w:val="00046497"/>
    <w:rsid w:val="00053039"/>
    <w:rsid w:val="0005381C"/>
    <w:rsid w:val="000551BC"/>
    <w:rsid w:val="0005718D"/>
    <w:rsid w:val="0006276A"/>
    <w:rsid w:val="00063783"/>
    <w:rsid w:val="000671F9"/>
    <w:rsid w:val="00075E74"/>
    <w:rsid w:val="00081D16"/>
    <w:rsid w:val="000821C1"/>
    <w:rsid w:val="0008483C"/>
    <w:rsid w:val="0008665D"/>
    <w:rsid w:val="0009018C"/>
    <w:rsid w:val="000904A6"/>
    <w:rsid w:val="00091C2C"/>
    <w:rsid w:val="00093620"/>
    <w:rsid w:val="000972BD"/>
    <w:rsid w:val="000A3B8C"/>
    <w:rsid w:val="000A49B3"/>
    <w:rsid w:val="000A5462"/>
    <w:rsid w:val="000A60AB"/>
    <w:rsid w:val="000A6D6B"/>
    <w:rsid w:val="000B0C64"/>
    <w:rsid w:val="000B321D"/>
    <w:rsid w:val="000B33EF"/>
    <w:rsid w:val="000B6A0C"/>
    <w:rsid w:val="000C092D"/>
    <w:rsid w:val="000C13ED"/>
    <w:rsid w:val="000C2D75"/>
    <w:rsid w:val="000C4F26"/>
    <w:rsid w:val="000C52A4"/>
    <w:rsid w:val="000C54A4"/>
    <w:rsid w:val="000C5FA8"/>
    <w:rsid w:val="000C6EE1"/>
    <w:rsid w:val="000C722F"/>
    <w:rsid w:val="000D1301"/>
    <w:rsid w:val="000D2754"/>
    <w:rsid w:val="000D2953"/>
    <w:rsid w:val="000D4D06"/>
    <w:rsid w:val="000D55DA"/>
    <w:rsid w:val="000D5899"/>
    <w:rsid w:val="000D5AF5"/>
    <w:rsid w:val="000D7865"/>
    <w:rsid w:val="000D7964"/>
    <w:rsid w:val="000E3CB7"/>
    <w:rsid w:val="000E60E8"/>
    <w:rsid w:val="000F0F01"/>
    <w:rsid w:val="000F37DA"/>
    <w:rsid w:val="00100708"/>
    <w:rsid w:val="00100A5A"/>
    <w:rsid w:val="00101561"/>
    <w:rsid w:val="00103AB2"/>
    <w:rsid w:val="00104B2D"/>
    <w:rsid w:val="00110907"/>
    <w:rsid w:val="001118C2"/>
    <w:rsid w:val="00113648"/>
    <w:rsid w:val="001137AA"/>
    <w:rsid w:val="001167D6"/>
    <w:rsid w:val="00123814"/>
    <w:rsid w:val="00125B54"/>
    <w:rsid w:val="00130A7A"/>
    <w:rsid w:val="00136826"/>
    <w:rsid w:val="00143AF0"/>
    <w:rsid w:val="00144DA6"/>
    <w:rsid w:val="001532DC"/>
    <w:rsid w:val="00153D7F"/>
    <w:rsid w:val="001558CC"/>
    <w:rsid w:val="0015778D"/>
    <w:rsid w:val="0016237B"/>
    <w:rsid w:val="00162B12"/>
    <w:rsid w:val="00162B7D"/>
    <w:rsid w:val="00164A6C"/>
    <w:rsid w:val="00165F00"/>
    <w:rsid w:val="0017027F"/>
    <w:rsid w:val="00171EF3"/>
    <w:rsid w:val="00172D2B"/>
    <w:rsid w:val="001776F5"/>
    <w:rsid w:val="00180386"/>
    <w:rsid w:val="00180DDB"/>
    <w:rsid w:val="00181DA2"/>
    <w:rsid w:val="001840FF"/>
    <w:rsid w:val="001842DF"/>
    <w:rsid w:val="0018573C"/>
    <w:rsid w:val="001902CB"/>
    <w:rsid w:val="001A035A"/>
    <w:rsid w:val="001A047E"/>
    <w:rsid w:val="001A548B"/>
    <w:rsid w:val="001A7BBA"/>
    <w:rsid w:val="001B029A"/>
    <w:rsid w:val="001B34D7"/>
    <w:rsid w:val="001B5244"/>
    <w:rsid w:val="001B58C5"/>
    <w:rsid w:val="001B7E6C"/>
    <w:rsid w:val="001C1969"/>
    <w:rsid w:val="001C39BE"/>
    <w:rsid w:val="001C763E"/>
    <w:rsid w:val="001D3F45"/>
    <w:rsid w:val="001D45C4"/>
    <w:rsid w:val="001D4645"/>
    <w:rsid w:val="001D5416"/>
    <w:rsid w:val="001D58FC"/>
    <w:rsid w:val="001E4434"/>
    <w:rsid w:val="001E5CB4"/>
    <w:rsid w:val="001E61E8"/>
    <w:rsid w:val="001F06C1"/>
    <w:rsid w:val="001F0CCE"/>
    <w:rsid w:val="001F17DA"/>
    <w:rsid w:val="001F3D39"/>
    <w:rsid w:val="001F3DA2"/>
    <w:rsid w:val="001F3F82"/>
    <w:rsid w:val="002024EE"/>
    <w:rsid w:val="00203AB8"/>
    <w:rsid w:val="00203D1D"/>
    <w:rsid w:val="00204A0B"/>
    <w:rsid w:val="00207928"/>
    <w:rsid w:val="00212B93"/>
    <w:rsid w:val="002176B0"/>
    <w:rsid w:val="00225112"/>
    <w:rsid w:val="00227288"/>
    <w:rsid w:val="00235CC7"/>
    <w:rsid w:val="002374B5"/>
    <w:rsid w:val="00240CBA"/>
    <w:rsid w:val="0024183E"/>
    <w:rsid w:val="00242118"/>
    <w:rsid w:val="00242B53"/>
    <w:rsid w:val="00245B45"/>
    <w:rsid w:val="002473FA"/>
    <w:rsid w:val="002475E8"/>
    <w:rsid w:val="00250D62"/>
    <w:rsid w:val="00252BFC"/>
    <w:rsid w:val="002543B8"/>
    <w:rsid w:val="00254FAD"/>
    <w:rsid w:val="0025573E"/>
    <w:rsid w:val="00255F80"/>
    <w:rsid w:val="002608A5"/>
    <w:rsid w:val="002615C0"/>
    <w:rsid w:val="002647A0"/>
    <w:rsid w:val="00264879"/>
    <w:rsid w:val="00271C6E"/>
    <w:rsid w:val="002738EB"/>
    <w:rsid w:val="00274089"/>
    <w:rsid w:val="00274D8C"/>
    <w:rsid w:val="002840D7"/>
    <w:rsid w:val="0028724C"/>
    <w:rsid w:val="00295CE0"/>
    <w:rsid w:val="00297110"/>
    <w:rsid w:val="0029724B"/>
    <w:rsid w:val="002A2123"/>
    <w:rsid w:val="002A4B7B"/>
    <w:rsid w:val="002A4CBB"/>
    <w:rsid w:val="002A501F"/>
    <w:rsid w:val="002A6DC6"/>
    <w:rsid w:val="002B0197"/>
    <w:rsid w:val="002B0E7C"/>
    <w:rsid w:val="002B7DD3"/>
    <w:rsid w:val="002C6207"/>
    <w:rsid w:val="002D120E"/>
    <w:rsid w:val="002D3BF5"/>
    <w:rsid w:val="002D5045"/>
    <w:rsid w:val="002D515E"/>
    <w:rsid w:val="002E04A2"/>
    <w:rsid w:val="002E1268"/>
    <w:rsid w:val="002E21C7"/>
    <w:rsid w:val="002E6785"/>
    <w:rsid w:val="002F02F1"/>
    <w:rsid w:val="002F2125"/>
    <w:rsid w:val="002F410F"/>
    <w:rsid w:val="002F6D97"/>
    <w:rsid w:val="00300907"/>
    <w:rsid w:val="003029EF"/>
    <w:rsid w:val="00305CA6"/>
    <w:rsid w:val="0030614C"/>
    <w:rsid w:val="00310C7C"/>
    <w:rsid w:val="00312F0F"/>
    <w:rsid w:val="003136AB"/>
    <w:rsid w:val="003158A3"/>
    <w:rsid w:val="00315FA6"/>
    <w:rsid w:val="003160BB"/>
    <w:rsid w:val="00316F76"/>
    <w:rsid w:val="0031738C"/>
    <w:rsid w:val="003177D8"/>
    <w:rsid w:val="00322B04"/>
    <w:rsid w:val="00324423"/>
    <w:rsid w:val="003267DB"/>
    <w:rsid w:val="00330838"/>
    <w:rsid w:val="00332036"/>
    <w:rsid w:val="00334254"/>
    <w:rsid w:val="00334BD0"/>
    <w:rsid w:val="0034124C"/>
    <w:rsid w:val="00343B8C"/>
    <w:rsid w:val="00345DBD"/>
    <w:rsid w:val="0034673A"/>
    <w:rsid w:val="00346BDE"/>
    <w:rsid w:val="00347534"/>
    <w:rsid w:val="00350155"/>
    <w:rsid w:val="003503A3"/>
    <w:rsid w:val="00351720"/>
    <w:rsid w:val="0035462A"/>
    <w:rsid w:val="00357381"/>
    <w:rsid w:val="00357B77"/>
    <w:rsid w:val="00370553"/>
    <w:rsid w:val="00370788"/>
    <w:rsid w:val="003839AC"/>
    <w:rsid w:val="003847AD"/>
    <w:rsid w:val="00385481"/>
    <w:rsid w:val="0038776B"/>
    <w:rsid w:val="003A4DF8"/>
    <w:rsid w:val="003A73AA"/>
    <w:rsid w:val="003A799B"/>
    <w:rsid w:val="003B25C2"/>
    <w:rsid w:val="003B29EF"/>
    <w:rsid w:val="003C0983"/>
    <w:rsid w:val="003C0C98"/>
    <w:rsid w:val="003C162B"/>
    <w:rsid w:val="003C3273"/>
    <w:rsid w:val="003C4EBE"/>
    <w:rsid w:val="003D26D3"/>
    <w:rsid w:val="003D4DF0"/>
    <w:rsid w:val="003E4D4B"/>
    <w:rsid w:val="003E52B7"/>
    <w:rsid w:val="003E7AED"/>
    <w:rsid w:val="003F0360"/>
    <w:rsid w:val="003F274F"/>
    <w:rsid w:val="003F69E9"/>
    <w:rsid w:val="003F74A9"/>
    <w:rsid w:val="003F79EC"/>
    <w:rsid w:val="0040575F"/>
    <w:rsid w:val="00406937"/>
    <w:rsid w:val="004103D0"/>
    <w:rsid w:val="004109B6"/>
    <w:rsid w:val="00410BEF"/>
    <w:rsid w:val="004142E4"/>
    <w:rsid w:val="004168F5"/>
    <w:rsid w:val="0041764E"/>
    <w:rsid w:val="00417CE3"/>
    <w:rsid w:val="004203EA"/>
    <w:rsid w:val="00420E76"/>
    <w:rsid w:val="004305FC"/>
    <w:rsid w:val="004342D6"/>
    <w:rsid w:val="004363F2"/>
    <w:rsid w:val="00436751"/>
    <w:rsid w:val="00440022"/>
    <w:rsid w:val="00441042"/>
    <w:rsid w:val="00441897"/>
    <w:rsid w:val="00447CBE"/>
    <w:rsid w:val="00447F83"/>
    <w:rsid w:val="00453665"/>
    <w:rsid w:val="00454FC4"/>
    <w:rsid w:val="004560EE"/>
    <w:rsid w:val="00465FF3"/>
    <w:rsid w:val="00466BCF"/>
    <w:rsid w:val="00466D4C"/>
    <w:rsid w:val="004707A8"/>
    <w:rsid w:val="00471E3F"/>
    <w:rsid w:val="004745C5"/>
    <w:rsid w:val="00483989"/>
    <w:rsid w:val="00485018"/>
    <w:rsid w:val="00491564"/>
    <w:rsid w:val="004949DC"/>
    <w:rsid w:val="00494BB1"/>
    <w:rsid w:val="004A0655"/>
    <w:rsid w:val="004A1F72"/>
    <w:rsid w:val="004A4DBF"/>
    <w:rsid w:val="004A595A"/>
    <w:rsid w:val="004B09E7"/>
    <w:rsid w:val="004B4DA1"/>
    <w:rsid w:val="004B5FAA"/>
    <w:rsid w:val="004B64D9"/>
    <w:rsid w:val="004B784A"/>
    <w:rsid w:val="004C217E"/>
    <w:rsid w:val="004C2B1B"/>
    <w:rsid w:val="004D0553"/>
    <w:rsid w:val="004D2BD4"/>
    <w:rsid w:val="004E1DBE"/>
    <w:rsid w:val="004E2BAE"/>
    <w:rsid w:val="004F006A"/>
    <w:rsid w:val="004F0ECD"/>
    <w:rsid w:val="004F1E44"/>
    <w:rsid w:val="004F21F8"/>
    <w:rsid w:val="004F654A"/>
    <w:rsid w:val="004F6572"/>
    <w:rsid w:val="004F7B53"/>
    <w:rsid w:val="00500D10"/>
    <w:rsid w:val="005062B7"/>
    <w:rsid w:val="0051430C"/>
    <w:rsid w:val="00514DCE"/>
    <w:rsid w:val="00527A2F"/>
    <w:rsid w:val="005313CD"/>
    <w:rsid w:val="00531483"/>
    <w:rsid w:val="005368D8"/>
    <w:rsid w:val="00540E95"/>
    <w:rsid w:val="005414B0"/>
    <w:rsid w:val="00542ED8"/>
    <w:rsid w:val="00543AF1"/>
    <w:rsid w:val="00545812"/>
    <w:rsid w:val="005459B5"/>
    <w:rsid w:val="005461BF"/>
    <w:rsid w:val="005507C7"/>
    <w:rsid w:val="00551655"/>
    <w:rsid w:val="00551BEA"/>
    <w:rsid w:val="00552AB8"/>
    <w:rsid w:val="005546E4"/>
    <w:rsid w:val="0055512A"/>
    <w:rsid w:val="00561A0B"/>
    <w:rsid w:val="00571501"/>
    <w:rsid w:val="00571833"/>
    <w:rsid w:val="00573DC8"/>
    <w:rsid w:val="00573EA6"/>
    <w:rsid w:val="005804DF"/>
    <w:rsid w:val="00585125"/>
    <w:rsid w:val="00585B04"/>
    <w:rsid w:val="00585DB3"/>
    <w:rsid w:val="00586BB1"/>
    <w:rsid w:val="005910CF"/>
    <w:rsid w:val="0059395B"/>
    <w:rsid w:val="005939BC"/>
    <w:rsid w:val="00597A21"/>
    <w:rsid w:val="005A6DEC"/>
    <w:rsid w:val="005A6E0F"/>
    <w:rsid w:val="005A76DF"/>
    <w:rsid w:val="005B0D3E"/>
    <w:rsid w:val="005B643F"/>
    <w:rsid w:val="005B6E18"/>
    <w:rsid w:val="005C23FE"/>
    <w:rsid w:val="005C4C52"/>
    <w:rsid w:val="005C54EA"/>
    <w:rsid w:val="005C5EEA"/>
    <w:rsid w:val="005C64BE"/>
    <w:rsid w:val="005D29EE"/>
    <w:rsid w:val="005D3B3F"/>
    <w:rsid w:val="005D7493"/>
    <w:rsid w:val="005D7CF9"/>
    <w:rsid w:val="005D7D0A"/>
    <w:rsid w:val="005E0E4B"/>
    <w:rsid w:val="005E1910"/>
    <w:rsid w:val="005E1A67"/>
    <w:rsid w:val="005E28A8"/>
    <w:rsid w:val="005E35CA"/>
    <w:rsid w:val="005E46A2"/>
    <w:rsid w:val="005E70F3"/>
    <w:rsid w:val="005E76A2"/>
    <w:rsid w:val="005F0C8F"/>
    <w:rsid w:val="005F0E60"/>
    <w:rsid w:val="005F2B73"/>
    <w:rsid w:val="005F5DFF"/>
    <w:rsid w:val="00601D73"/>
    <w:rsid w:val="006029AA"/>
    <w:rsid w:val="00606701"/>
    <w:rsid w:val="00606B38"/>
    <w:rsid w:val="00613414"/>
    <w:rsid w:val="00614625"/>
    <w:rsid w:val="00615308"/>
    <w:rsid w:val="006166A2"/>
    <w:rsid w:val="0062091F"/>
    <w:rsid w:val="006222D1"/>
    <w:rsid w:val="00623EC6"/>
    <w:rsid w:val="0062704C"/>
    <w:rsid w:val="00630371"/>
    <w:rsid w:val="006333DB"/>
    <w:rsid w:val="00636869"/>
    <w:rsid w:val="00640785"/>
    <w:rsid w:val="0064184B"/>
    <w:rsid w:val="00645D0E"/>
    <w:rsid w:val="00646421"/>
    <w:rsid w:val="0065130D"/>
    <w:rsid w:val="00651CC8"/>
    <w:rsid w:val="0065723D"/>
    <w:rsid w:val="00661195"/>
    <w:rsid w:val="00663634"/>
    <w:rsid w:val="00663ED6"/>
    <w:rsid w:val="0066671F"/>
    <w:rsid w:val="006739D0"/>
    <w:rsid w:val="00675452"/>
    <w:rsid w:val="00677476"/>
    <w:rsid w:val="006818F1"/>
    <w:rsid w:val="00681C0D"/>
    <w:rsid w:val="006860C4"/>
    <w:rsid w:val="006868C6"/>
    <w:rsid w:val="00686F04"/>
    <w:rsid w:val="00691EDF"/>
    <w:rsid w:val="00697C00"/>
    <w:rsid w:val="006A04D4"/>
    <w:rsid w:val="006A4A47"/>
    <w:rsid w:val="006A5337"/>
    <w:rsid w:val="006B3846"/>
    <w:rsid w:val="006C0E0E"/>
    <w:rsid w:val="006C150D"/>
    <w:rsid w:val="006C475D"/>
    <w:rsid w:val="006D01D2"/>
    <w:rsid w:val="006D3BD3"/>
    <w:rsid w:val="006D6519"/>
    <w:rsid w:val="006E0DB3"/>
    <w:rsid w:val="006E1779"/>
    <w:rsid w:val="006E2225"/>
    <w:rsid w:val="006E2AD8"/>
    <w:rsid w:val="006E36D0"/>
    <w:rsid w:val="006E5574"/>
    <w:rsid w:val="006E7A13"/>
    <w:rsid w:val="006F17D1"/>
    <w:rsid w:val="006F525D"/>
    <w:rsid w:val="006F66E5"/>
    <w:rsid w:val="006F7D6D"/>
    <w:rsid w:val="007014B8"/>
    <w:rsid w:val="00701C39"/>
    <w:rsid w:val="0070727C"/>
    <w:rsid w:val="00710733"/>
    <w:rsid w:val="00710F09"/>
    <w:rsid w:val="0071372D"/>
    <w:rsid w:val="007139C5"/>
    <w:rsid w:val="00714F31"/>
    <w:rsid w:val="007205B2"/>
    <w:rsid w:val="00725AAA"/>
    <w:rsid w:val="00726F2A"/>
    <w:rsid w:val="00727D1C"/>
    <w:rsid w:val="00733559"/>
    <w:rsid w:val="00742A50"/>
    <w:rsid w:val="007430C3"/>
    <w:rsid w:val="00743E4F"/>
    <w:rsid w:val="00744181"/>
    <w:rsid w:val="0074543B"/>
    <w:rsid w:val="00747FCB"/>
    <w:rsid w:val="00750534"/>
    <w:rsid w:val="00754D15"/>
    <w:rsid w:val="00757D82"/>
    <w:rsid w:val="00757D95"/>
    <w:rsid w:val="00762051"/>
    <w:rsid w:val="007622E2"/>
    <w:rsid w:val="00765B92"/>
    <w:rsid w:val="00767B3F"/>
    <w:rsid w:val="0077079B"/>
    <w:rsid w:val="007714EC"/>
    <w:rsid w:val="00772DDE"/>
    <w:rsid w:val="00773255"/>
    <w:rsid w:val="007739C8"/>
    <w:rsid w:val="00774037"/>
    <w:rsid w:val="00774D8D"/>
    <w:rsid w:val="0078447B"/>
    <w:rsid w:val="00792070"/>
    <w:rsid w:val="0079350A"/>
    <w:rsid w:val="007938F6"/>
    <w:rsid w:val="0079603F"/>
    <w:rsid w:val="007966F9"/>
    <w:rsid w:val="00796F8C"/>
    <w:rsid w:val="007A0B9C"/>
    <w:rsid w:val="007A604A"/>
    <w:rsid w:val="007A639C"/>
    <w:rsid w:val="007A73A6"/>
    <w:rsid w:val="007B0F78"/>
    <w:rsid w:val="007B1880"/>
    <w:rsid w:val="007B57CA"/>
    <w:rsid w:val="007B630B"/>
    <w:rsid w:val="007C0C4A"/>
    <w:rsid w:val="007C18D2"/>
    <w:rsid w:val="007C63E1"/>
    <w:rsid w:val="007C6709"/>
    <w:rsid w:val="007C7D8D"/>
    <w:rsid w:val="007D1871"/>
    <w:rsid w:val="007D7981"/>
    <w:rsid w:val="007E06C2"/>
    <w:rsid w:val="007E11CC"/>
    <w:rsid w:val="007E3CF9"/>
    <w:rsid w:val="007E4F5F"/>
    <w:rsid w:val="007E5359"/>
    <w:rsid w:val="007E6B2A"/>
    <w:rsid w:val="007E78F0"/>
    <w:rsid w:val="007F4082"/>
    <w:rsid w:val="007F589C"/>
    <w:rsid w:val="008036D1"/>
    <w:rsid w:val="00803DCC"/>
    <w:rsid w:val="008048BA"/>
    <w:rsid w:val="00804DEF"/>
    <w:rsid w:val="008065EF"/>
    <w:rsid w:val="00812DDA"/>
    <w:rsid w:val="0081794F"/>
    <w:rsid w:val="00817CEC"/>
    <w:rsid w:val="00822269"/>
    <w:rsid w:val="00824381"/>
    <w:rsid w:val="008255DA"/>
    <w:rsid w:val="008269F8"/>
    <w:rsid w:val="008310B5"/>
    <w:rsid w:val="00832622"/>
    <w:rsid w:val="0083333B"/>
    <w:rsid w:val="00835529"/>
    <w:rsid w:val="008374BD"/>
    <w:rsid w:val="00842022"/>
    <w:rsid w:val="008422CC"/>
    <w:rsid w:val="008456CA"/>
    <w:rsid w:val="00846A48"/>
    <w:rsid w:val="0084740E"/>
    <w:rsid w:val="0085058E"/>
    <w:rsid w:val="00851589"/>
    <w:rsid w:val="00852F18"/>
    <w:rsid w:val="00857F79"/>
    <w:rsid w:val="00860D6C"/>
    <w:rsid w:val="00864719"/>
    <w:rsid w:val="00866FDC"/>
    <w:rsid w:val="00867278"/>
    <w:rsid w:val="00870949"/>
    <w:rsid w:val="00871571"/>
    <w:rsid w:val="008718FA"/>
    <w:rsid w:val="00871E06"/>
    <w:rsid w:val="008759F7"/>
    <w:rsid w:val="00875B82"/>
    <w:rsid w:val="00882D02"/>
    <w:rsid w:val="00882FE6"/>
    <w:rsid w:val="00883328"/>
    <w:rsid w:val="00884B14"/>
    <w:rsid w:val="00885A18"/>
    <w:rsid w:val="00886292"/>
    <w:rsid w:val="008862F2"/>
    <w:rsid w:val="0089462F"/>
    <w:rsid w:val="00894ADA"/>
    <w:rsid w:val="00895D07"/>
    <w:rsid w:val="00896ADF"/>
    <w:rsid w:val="00896DC9"/>
    <w:rsid w:val="008A2BA7"/>
    <w:rsid w:val="008A57C4"/>
    <w:rsid w:val="008A5E72"/>
    <w:rsid w:val="008A62A6"/>
    <w:rsid w:val="008A7CC2"/>
    <w:rsid w:val="008B0C9E"/>
    <w:rsid w:val="008B23D1"/>
    <w:rsid w:val="008B3998"/>
    <w:rsid w:val="008B3DA6"/>
    <w:rsid w:val="008B63D1"/>
    <w:rsid w:val="008B76F1"/>
    <w:rsid w:val="008C06BC"/>
    <w:rsid w:val="008C2A4D"/>
    <w:rsid w:val="008C374A"/>
    <w:rsid w:val="008C634B"/>
    <w:rsid w:val="008D0874"/>
    <w:rsid w:val="008D2E4C"/>
    <w:rsid w:val="008D5208"/>
    <w:rsid w:val="008D60A9"/>
    <w:rsid w:val="008E0A0E"/>
    <w:rsid w:val="008E17C2"/>
    <w:rsid w:val="008E2443"/>
    <w:rsid w:val="008E24DD"/>
    <w:rsid w:val="008E7F27"/>
    <w:rsid w:val="008F0071"/>
    <w:rsid w:val="008F0863"/>
    <w:rsid w:val="008F0D7B"/>
    <w:rsid w:val="008F1F50"/>
    <w:rsid w:val="008F4683"/>
    <w:rsid w:val="008F5F51"/>
    <w:rsid w:val="00905FA2"/>
    <w:rsid w:val="00913FA7"/>
    <w:rsid w:val="009143BC"/>
    <w:rsid w:val="00914C06"/>
    <w:rsid w:val="00916EDE"/>
    <w:rsid w:val="0092671F"/>
    <w:rsid w:val="009274F1"/>
    <w:rsid w:val="00941ED4"/>
    <w:rsid w:val="00945F53"/>
    <w:rsid w:val="00950FA2"/>
    <w:rsid w:val="00951346"/>
    <w:rsid w:val="00952ACA"/>
    <w:rsid w:val="00955EA4"/>
    <w:rsid w:val="0095709F"/>
    <w:rsid w:val="00963E81"/>
    <w:rsid w:val="00963F8F"/>
    <w:rsid w:val="00970069"/>
    <w:rsid w:val="00970BD7"/>
    <w:rsid w:val="0097301C"/>
    <w:rsid w:val="00974C0B"/>
    <w:rsid w:val="009763BE"/>
    <w:rsid w:val="00977594"/>
    <w:rsid w:val="00977D3B"/>
    <w:rsid w:val="00980D41"/>
    <w:rsid w:val="00981B8B"/>
    <w:rsid w:val="009857A4"/>
    <w:rsid w:val="00987CB3"/>
    <w:rsid w:val="009945E7"/>
    <w:rsid w:val="009A09AD"/>
    <w:rsid w:val="009A1357"/>
    <w:rsid w:val="009A1B87"/>
    <w:rsid w:val="009A1D7E"/>
    <w:rsid w:val="009A3880"/>
    <w:rsid w:val="009A5FAE"/>
    <w:rsid w:val="009A6367"/>
    <w:rsid w:val="009B4453"/>
    <w:rsid w:val="009B5114"/>
    <w:rsid w:val="009B5615"/>
    <w:rsid w:val="009B5B6A"/>
    <w:rsid w:val="009C0218"/>
    <w:rsid w:val="009C0F29"/>
    <w:rsid w:val="009C6BBE"/>
    <w:rsid w:val="009D06F7"/>
    <w:rsid w:val="009D23CF"/>
    <w:rsid w:val="009D28D0"/>
    <w:rsid w:val="009D36DB"/>
    <w:rsid w:val="009D6579"/>
    <w:rsid w:val="009E28E8"/>
    <w:rsid w:val="009E2D12"/>
    <w:rsid w:val="009E3070"/>
    <w:rsid w:val="009E57EE"/>
    <w:rsid w:val="009F29DB"/>
    <w:rsid w:val="009F3363"/>
    <w:rsid w:val="009F715C"/>
    <w:rsid w:val="009F741B"/>
    <w:rsid w:val="00A0039E"/>
    <w:rsid w:val="00A033C0"/>
    <w:rsid w:val="00A053B6"/>
    <w:rsid w:val="00A10FFA"/>
    <w:rsid w:val="00A11A40"/>
    <w:rsid w:val="00A17722"/>
    <w:rsid w:val="00A205A6"/>
    <w:rsid w:val="00A22BC9"/>
    <w:rsid w:val="00A230A3"/>
    <w:rsid w:val="00A2788E"/>
    <w:rsid w:val="00A27F7E"/>
    <w:rsid w:val="00A3088C"/>
    <w:rsid w:val="00A31C34"/>
    <w:rsid w:val="00A325B3"/>
    <w:rsid w:val="00A32FC8"/>
    <w:rsid w:val="00A359C7"/>
    <w:rsid w:val="00A41059"/>
    <w:rsid w:val="00A44327"/>
    <w:rsid w:val="00A45645"/>
    <w:rsid w:val="00A46DEC"/>
    <w:rsid w:val="00A50A6E"/>
    <w:rsid w:val="00A52C12"/>
    <w:rsid w:val="00A541AC"/>
    <w:rsid w:val="00A546AE"/>
    <w:rsid w:val="00A54B64"/>
    <w:rsid w:val="00A55F9D"/>
    <w:rsid w:val="00A560E9"/>
    <w:rsid w:val="00A57189"/>
    <w:rsid w:val="00A6056A"/>
    <w:rsid w:val="00A63715"/>
    <w:rsid w:val="00A645E8"/>
    <w:rsid w:val="00A65901"/>
    <w:rsid w:val="00A6755C"/>
    <w:rsid w:val="00A75331"/>
    <w:rsid w:val="00A913AD"/>
    <w:rsid w:val="00A93BBE"/>
    <w:rsid w:val="00A957C8"/>
    <w:rsid w:val="00A96557"/>
    <w:rsid w:val="00AA2BC5"/>
    <w:rsid w:val="00AA4E8C"/>
    <w:rsid w:val="00AB3B11"/>
    <w:rsid w:val="00AC3FE2"/>
    <w:rsid w:val="00AC5642"/>
    <w:rsid w:val="00AC6793"/>
    <w:rsid w:val="00AD3642"/>
    <w:rsid w:val="00AD69E1"/>
    <w:rsid w:val="00AE047D"/>
    <w:rsid w:val="00AE1E30"/>
    <w:rsid w:val="00AF0130"/>
    <w:rsid w:val="00AF2061"/>
    <w:rsid w:val="00AF492B"/>
    <w:rsid w:val="00AF5526"/>
    <w:rsid w:val="00AF559D"/>
    <w:rsid w:val="00B0451B"/>
    <w:rsid w:val="00B165B3"/>
    <w:rsid w:val="00B22538"/>
    <w:rsid w:val="00B250A9"/>
    <w:rsid w:val="00B25566"/>
    <w:rsid w:val="00B25BB4"/>
    <w:rsid w:val="00B31E4D"/>
    <w:rsid w:val="00B3220B"/>
    <w:rsid w:val="00B37975"/>
    <w:rsid w:val="00B4244E"/>
    <w:rsid w:val="00B51FEC"/>
    <w:rsid w:val="00B556EB"/>
    <w:rsid w:val="00B574F5"/>
    <w:rsid w:val="00B62C31"/>
    <w:rsid w:val="00B643CD"/>
    <w:rsid w:val="00B733AC"/>
    <w:rsid w:val="00B872B6"/>
    <w:rsid w:val="00B8742B"/>
    <w:rsid w:val="00B907C8"/>
    <w:rsid w:val="00B94282"/>
    <w:rsid w:val="00B945DC"/>
    <w:rsid w:val="00B95AAB"/>
    <w:rsid w:val="00B95E79"/>
    <w:rsid w:val="00BA2EC6"/>
    <w:rsid w:val="00BA674C"/>
    <w:rsid w:val="00BA6F0E"/>
    <w:rsid w:val="00BB190D"/>
    <w:rsid w:val="00BB48DC"/>
    <w:rsid w:val="00BB6B5B"/>
    <w:rsid w:val="00BB6C66"/>
    <w:rsid w:val="00BC2526"/>
    <w:rsid w:val="00BD0976"/>
    <w:rsid w:val="00BD30C6"/>
    <w:rsid w:val="00BD3E79"/>
    <w:rsid w:val="00BD4094"/>
    <w:rsid w:val="00BD674B"/>
    <w:rsid w:val="00BD6A0C"/>
    <w:rsid w:val="00BD790C"/>
    <w:rsid w:val="00BE3C30"/>
    <w:rsid w:val="00BE62D1"/>
    <w:rsid w:val="00BF2BE8"/>
    <w:rsid w:val="00BF3D9F"/>
    <w:rsid w:val="00BF3E5C"/>
    <w:rsid w:val="00BF6C23"/>
    <w:rsid w:val="00BF6EDA"/>
    <w:rsid w:val="00BF7159"/>
    <w:rsid w:val="00C019A5"/>
    <w:rsid w:val="00C074F8"/>
    <w:rsid w:val="00C10A8A"/>
    <w:rsid w:val="00C1246C"/>
    <w:rsid w:val="00C160B7"/>
    <w:rsid w:val="00C1759D"/>
    <w:rsid w:val="00C23256"/>
    <w:rsid w:val="00C23D88"/>
    <w:rsid w:val="00C2726D"/>
    <w:rsid w:val="00C34E8E"/>
    <w:rsid w:val="00C36579"/>
    <w:rsid w:val="00C40676"/>
    <w:rsid w:val="00C451DC"/>
    <w:rsid w:val="00C45907"/>
    <w:rsid w:val="00C45F53"/>
    <w:rsid w:val="00C47DCA"/>
    <w:rsid w:val="00C50A2F"/>
    <w:rsid w:val="00C533FF"/>
    <w:rsid w:val="00C55AA6"/>
    <w:rsid w:val="00C561A7"/>
    <w:rsid w:val="00C56F78"/>
    <w:rsid w:val="00C618B2"/>
    <w:rsid w:val="00C6254B"/>
    <w:rsid w:val="00C62805"/>
    <w:rsid w:val="00C652A2"/>
    <w:rsid w:val="00C6582D"/>
    <w:rsid w:val="00C65D79"/>
    <w:rsid w:val="00C70D62"/>
    <w:rsid w:val="00C74B62"/>
    <w:rsid w:val="00C74DCE"/>
    <w:rsid w:val="00C76FAE"/>
    <w:rsid w:val="00C773A0"/>
    <w:rsid w:val="00C77592"/>
    <w:rsid w:val="00C77FCE"/>
    <w:rsid w:val="00C85182"/>
    <w:rsid w:val="00C96429"/>
    <w:rsid w:val="00CA0108"/>
    <w:rsid w:val="00CA15AA"/>
    <w:rsid w:val="00CA1E94"/>
    <w:rsid w:val="00CA1EDB"/>
    <w:rsid w:val="00CA3D3D"/>
    <w:rsid w:val="00CA3FC1"/>
    <w:rsid w:val="00CB09EB"/>
    <w:rsid w:val="00CB155C"/>
    <w:rsid w:val="00CB40F2"/>
    <w:rsid w:val="00CB60B6"/>
    <w:rsid w:val="00CC1F13"/>
    <w:rsid w:val="00CC57A2"/>
    <w:rsid w:val="00CC67D9"/>
    <w:rsid w:val="00CD3407"/>
    <w:rsid w:val="00CD345A"/>
    <w:rsid w:val="00CD3832"/>
    <w:rsid w:val="00CD65CF"/>
    <w:rsid w:val="00CE74AE"/>
    <w:rsid w:val="00CF34CA"/>
    <w:rsid w:val="00CF3F82"/>
    <w:rsid w:val="00CF4EF4"/>
    <w:rsid w:val="00CF6019"/>
    <w:rsid w:val="00CF7A09"/>
    <w:rsid w:val="00D01327"/>
    <w:rsid w:val="00D01BCD"/>
    <w:rsid w:val="00D022BA"/>
    <w:rsid w:val="00D028A9"/>
    <w:rsid w:val="00D03199"/>
    <w:rsid w:val="00D1085A"/>
    <w:rsid w:val="00D11652"/>
    <w:rsid w:val="00D1203D"/>
    <w:rsid w:val="00D134BA"/>
    <w:rsid w:val="00D13520"/>
    <w:rsid w:val="00D1522F"/>
    <w:rsid w:val="00D16706"/>
    <w:rsid w:val="00D16B31"/>
    <w:rsid w:val="00D20322"/>
    <w:rsid w:val="00D21339"/>
    <w:rsid w:val="00D23CBD"/>
    <w:rsid w:val="00D243D4"/>
    <w:rsid w:val="00D24903"/>
    <w:rsid w:val="00D3166F"/>
    <w:rsid w:val="00D320A0"/>
    <w:rsid w:val="00D34428"/>
    <w:rsid w:val="00D35D5E"/>
    <w:rsid w:val="00D35E77"/>
    <w:rsid w:val="00D4086F"/>
    <w:rsid w:val="00D410CC"/>
    <w:rsid w:val="00D435D1"/>
    <w:rsid w:val="00D43622"/>
    <w:rsid w:val="00D44743"/>
    <w:rsid w:val="00D44E7A"/>
    <w:rsid w:val="00D47DFE"/>
    <w:rsid w:val="00D50582"/>
    <w:rsid w:val="00D5519A"/>
    <w:rsid w:val="00D556EF"/>
    <w:rsid w:val="00D61303"/>
    <w:rsid w:val="00D621C3"/>
    <w:rsid w:val="00D628B8"/>
    <w:rsid w:val="00D63DFB"/>
    <w:rsid w:val="00D67BE7"/>
    <w:rsid w:val="00D7148F"/>
    <w:rsid w:val="00D716E0"/>
    <w:rsid w:val="00D7196A"/>
    <w:rsid w:val="00D7619B"/>
    <w:rsid w:val="00D768A4"/>
    <w:rsid w:val="00D82EAF"/>
    <w:rsid w:val="00D83985"/>
    <w:rsid w:val="00D843A3"/>
    <w:rsid w:val="00D84C48"/>
    <w:rsid w:val="00D855F1"/>
    <w:rsid w:val="00D86A08"/>
    <w:rsid w:val="00D91CAC"/>
    <w:rsid w:val="00DA15D7"/>
    <w:rsid w:val="00DA2265"/>
    <w:rsid w:val="00DA3F6A"/>
    <w:rsid w:val="00DA5E38"/>
    <w:rsid w:val="00DB0B51"/>
    <w:rsid w:val="00DB4E25"/>
    <w:rsid w:val="00DB5131"/>
    <w:rsid w:val="00DB592D"/>
    <w:rsid w:val="00DB59F2"/>
    <w:rsid w:val="00DB663B"/>
    <w:rsid w:val="00DB7200"/>
    <w:rsid w:val="00DC2CF7"/>
    <w:rsid w:val="00DC4BCE"/>
    <w:rsid w:val="00DC5C92"/>
    <w:rsid w:val="00DD041C"/>
    <w:rsid w:val="00DD0541"/>
    <w:rsid w:val="00DD4160"/>
    <w:rsid w:val="00DD5128"/>
    <w:rsid w:val="00DD7708"/>
    <w:rsid w:val="00DD7AA1"/>
    <w:rsid w:val="00DE1369"/>
    <w:rsid w:val="00DE1807"/>
    <w:rsid w:val="00DE5431"/>
    <w:rsid w:val="00DE6E43"/>
    <w:rsid w:val="00DF0FFC"/>
    <w:rsid w:val="00DF1390"/>
    <w:rsid w:val="00DF1518"/>
    <w:rsid w:val="00DF2B69"/>
    <w:rsid w:val="00DF3D96"/>
    <w:rsid w:val="00DF6FDE"/>
    <w:rsid w:val="00E0232E"/>
    <w:rsid w:val="00E02897"/>
    <w:rsid w:val="00E030EA"/>
    <w:rsid w:val="00E100A2"/>
    <w:rsid w:val="00E10E77"/>
    <w:rsid w:val="00E15092"/>
    <w:rsid w:val="00E16264"/>
    <w:rsid w:val="00E200CA"/>
    <w:rsid w:val="00E20BB3"/>
    <w:rsid w:val="00E307F0"/>
    <w:rsid w:val="00E31A40"/>
    <w:rsid w:val="00E32D0C"/>
    <w:rsid w:val="00E32E9A"/>
    <w:rsid w:val="00E33A0F"/>
    <w:rsid w:val="00E3592C"/>
    <w:rsid w:val="00E404E5"/>
    <w:rsid w:val="00E4254A"/>
    <w:rsid w:val="00E42E76"/>
    <w:rsid w:val="00E4319B"/>
    <w:rsid w:val="00E446B5"/>
    <w:rsid w:val="00E45024"/>
    <w:rsid w:val="00E47212"/>
    <w:rsid w:val="00E4779E"/>
    <w:rsid w:val="00E5070A"/>
    <w:rsid w:val="00E51594"/>
    <w:rsid w:val="00E5207B"/>
    <w:rsid w:val="00E54B53"/>
    <w:rsid w:val="00E54C0E"/>
    <w:rsid w:val="00E57F16"/>
    <w:rsid w:val="00E63A39"/>
    <w:rsid w:val="00E64C7A"/>
    <w:rsid w:val="00E65650"/>
    <w:rsid w:val="00E674B4"/>
    <w:rsid w:val="00E679D5"/>
    <w:rsid w:val="00E75CE7"/>
    <w:rsid w:val="00E83D6A"/>
    <w:rsid w:val="00E853FF"/>
    <w:rsid w:val="00E95B8C"/>
    <w:rsid w:val="00EA256C"/>
    <w:rsid w:val="00EA32E6"/>
    <w:rsid w:val="00EA60A1"/>
    <w:rsid w:val="00EA6571"/>
    <w:rsid w:val="00EA7914"/>
    <w:rsid w:val="00EA7F74"/>
    <w:rsid w:val="00EB0CE3"/>
    <w:rsid w:val="00EB202D"/>
    <w:rsid w:val="00EB4F0E"/>
    <w:rsid w:val="00EB5902"/>
    <w:rsid w:val="00EB793D"/>
    <w:rsid w:val="00EB7EA8"/>
    <w:rsid w:val="00EC003B"/>
    <w:rsid w:val="00EC2D04"/>
    <w:rsid w:val="00EC783E"/>
    <w:rsid w:val="00ED5E14"/>
    <w:rsid w:val="00EE1521"/>
    <w:rsid w:val="00EE1DA5"/>
    <w:rsid w:val="00EE2B66"/>
    <w:rsid w:val="00EE552F"/>
    <w:rsid w:val="00EE5DD0"/>
    <w:rsid w:val="00EE6331"/>
    <w:rsid w:val="00EE77DA"/>
    <w:rsid w:val="00EF1FEF"/>
    <w:rsid w:val="00EF461C"/>
    <w:rsid w:val="00F04CC6"/>
    <w:rsid w:val="00F149AC"/>
    <w:rsid w:val="00F16195"/>
    <w:rsid w:val="00F16584"/>
    <w:rsid w:val="00F16D7D"/>
    <w:rsid w:val="00F17D0F"/>
    <w:rsid w:val="00F200A4"/>
    <w:rsid w:val="00F20E95"/>
    <w:rsid w:val="00F21381"/>
    <w:rsid w:val="00F218D5"/>
    <w:rsid w:val="00F23237"/>
    <w:rsid w:val="00F2333D"/>
    <w:rsid w:val="00F356F9"/>
    <w:rsid w:val="00F36FCC"/>
    <w:rsid w:val="00F3741A"/>
    <w:rsid w:val="00F400AA"/>
    <w:rsid w:val="00F44D41"/>
    <w:rsid w:val="00F465A1"/>
    <w:rsid w:val="00F46E1F"/>
    <w:rsid w:val="00F47D11"/>
    <w:rsid w:val="00F515C0"/>
    <w:rsid w:val="00F52E66"/>
    <w:rsid w:val="00F5405D"/>
    <w:rsid w:val="00F56FF6"/>
    <w:rsid w:val="00F61571"/>
    <w:rsid w:val="00F61D11"/>
    <w:rsid w:val="00F636C1"/>
    <w:rsid w:val="00F651A7"/>
    <w:rsid w:val="00F66392"/>
    <w:rsid w:val="00F70D53"/>
    <w:rsid w:val="00F7257A"/>
    <w:rsid w:val="00F7335B"/>
    <w:rsid w:val="00F76419"/>
    <w:rsid w:val="00F778F5"/>
    <w:rsid w:val="00F821FA"/>
    <w:rsid w:val="00F83A13"/>
    <w:rsid w:val="00F85A23"/>
    <w:rsid w:val="00F90A22"/>
    <w:rsid w:val="00F91411"/>
    <w:rsid w:val="00FA07A8"/>
    <w:rsid w:val="00FA15C3"/>
    <w:rsid w:val="00FA6160"/>
    <w:rsid w:val="00FB0DE6"/>
    <w:rsid w:val="00FB2E30"/>
    <w:rsid w:val="00FB5A43"/>
    <w:rsid w:val="00FB6159"/>
    <w:rsid w:val="00FC4500"/>
    <w:rsid w:val="00FD61FB"/>
    <w:rsid w:val="00FD7ED7"/>
    <w:rsid w:val="00FE1297"/>
    <w:rsid w:val="00FE3BAD"/>
    <w:rsid w:val="00FE3CF9"/>
    <w:rsid w:val="00FF1020"/>
    <w:rsid w:val="00FF2F97"/>
    <w:rsid w:val="00FF3206"/>
    <w:rsid w:val="00FF725E"/>
    <w:rsid w:val="00FF781C"/>
    <w:rsid w:val="1B187D5B"/>
    <w:rsid w:val="3E662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D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0"/>
    <w:next w:val="a"/>
    <w:qFormat/>
    <w:pPr>
      <w:keepNext/>
      <w:keepLines/>
      <w:numPr>
        <w:numId w:val="1"/>
      </w:numPr>
      <w:spacing w:before="340" w:after="330"/>
    </w:pPr>
    <w:rPr>
      <w:bCs w:val="0"/>
      <w:kern w:val="44"/>
      <w:sz w:val="28"/>
      <w:szCs w:val="44"/>
    </w:rPr>
  </w:style>
  <w:style w:type="paragraph" w:styleId="2">
    <w:name w:val="heading 2"/>
    <w:basedOn w:val="a0"/>
    <w:next w:val="a"/>
    <w:qFormat/>
    <w:pPr>
      <w:keepNext/>
      <w:keepLines/>
      <w:spacing w:before="260" w:after="260"/>
      <w:jc w:val="left"/>
      <w:outlineLvl w:val="1"/>
    </w:pPr>
    <w:rPr>
      <w:bCs w:val="0"/>
      <w:sz w:val="24"/>
    </w:rPr>
  </w:style>
  <w:style w:type="paragraph" w:styleId="3">
    <w:name w:val="heading 3"/>
    <w:basedOn w:val="a0"/>
    <w:next w:val="a"/>
    <w:qFormat/>
    <w:pPr>
      <w:keepNext/>
      <w:keepLines/>
      <w:spacing w:before="260" w:after="260"/>
      <w:jc w:val="left"/>
      <w:outlineLvl w:val="2"/>
    </w:pPr>
    <w:rPr>
      <w:bCs w:val="0"/>
      <w:sz w:val="21"/>
    </w:rPr>
  </w:style>
  <w:style w:type="paragraph" w:styleId="4">
    <w:name w:val="heading 4"/>
    <w:basedOn w:val="a0"/>
    <w:next w:val="a"/>
    <w:qFormat/>
    <w:pPr>
      <w:keepNext/>
      <w:keepLines/>
      <w:numPr>
        <w:ilvl w:val="3"/>
        <w:numId w:val="1"/>
      </w:numPr>
      <w:spacing w:before="280" w:after="290"/>
      <w:jc w:val="left"/>
      <w:outlineLvl w:val="3"/>
    </w:pPr>
    <w:rPr>
      <w:b w:val="0"/>
      <w:bCs w:val="0"/>
      <w:sz w:val="21"/>
      <w:szCs w:val="28"/>
    </w:rPr>
  </w:style>
  <w:style w:type="paragraph" w:styleId="5">
    <w:name w:val="heading 5"/>
    <w:basedOn w:val="a"/>
    <w:next w:val="a"/>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cs="Arial"/>
      <w:b/>
      <w:bCs/>
      <w:sz w:val="32"/>
      <w:szCs w:val="32"/>
    </w:rPr>
  </w:style>
  <w:style w:type="paragraph" w:styleId="30">
    <w:name w:val="List 3"/>
    <w:basedOn w:val="a"/>
    <w:pPr>
      <w:ind w:leftChars="400" w:left="100" w:hangingChars="200" w:hanging="200"/>
    </w:pPr>
  </w:style>
  <w:style w:type="paragraph" w:styleId="a4">
    <w:name w:val="annotation text"/>
    <w:basedOn w:val="a"/>
    <w:link w:val="Char"/>
    <w:pPr>
      <w:jc w:val="left"/>
    </w:pPr>
  </w:style>
  <w:style w:type="paragraph" w:styleId="a5">
    <w:name w:val="Body Text Indent"/>
    <w:basedOn w:val="a"/>
    <w:pPr>
      <w:ind w:firstLineChars="200" w:firstLine="560"/>
    </w:pPr>
    <w:rPr>
      <w:rFonts w:ascii="仿宋_GB2312" w:eastAsia="仿宋_GB2312"/>
      <w:sz w:val="2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0"/>
    </w:rPr>
  </w:style>
  <w:style w:type="paragraph" w:styleId="aa">
    <w:name w:val="footnote text"/>
    <w:basedOn w:val="a"/>
    <w:semiHidden/>
    <w:qFormat/>
    <w:pPr>
      <w:snapToGrid w:val="0"/>
      <w:jc w:val="left"/>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1"/>
    <w:rPr>
      <w:b/>
      <w:bCs/>
    </w:rPr>
  </w:style>
  <w:style w:type="character" w:styleId="ad">
    <w:name w:val="page number"/>
    <w:basedOn w:val="a1"/>
  </w:style>
  <w:style w:type="character" w:styleId="ae">
    <w:name w:val="Hyperlink"/>
    <w:basedOn w:val="a1"/>
    <w:rPr>
      <w:color w:val="0000FF"/>
      <w:u w:val="single"/>
    </w:rPr>
  </w:style>
  <w:style w:type="character" w:styleId="af">
    <w:name w:val="annotation reference"/>
    <w:rPr>
      <w:sz w:val="21"/>
      <w:szCs w:val="21"/>
    </w:rPr>
  </w:style>
  <w:style w:type="character" w:styleId="af0">
    <w:name w:val="footnote reference"/>
    <w:semiHidden/>
    <w:rPr>
      <w:vertAlign w:val="superscript"/>
    </w:rPr>
  </w:style>
  <w:style w:type="character" w:customStyle="1" w:styleId="da">
    <w:name w:val="da"/>
    <w:basedOn w:val="a1"/>
    <w:qFormat/>
  </w:style>
  <w:style w:type="character" w:customStyle="1" w:styleId="Char0">
    <w:name w:val="页脚 Char"/>
    <w:link w:val="a8"/>
    <w:uiPriority w:val="99"/>
    <w:qFormat/>
    <w:rPr>
      <w:rFonts w:eastAsia="宋体"/>
      <w:kern w:val="2"/>
      <w:sz w:val="18"/>
      <w:szCs w:val="18"/>
      <w:lang w:val="en-US" w:eastAsia="zh-CN" w:bidi="ar-SA"/>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
    <w:name w:val="Char Char"/>
    <w:basedOn w:val="a"/>
    <w:pPr>
      <w:tabs>
        <w:tab w:val="left" w:pos="1500"/>
      </w:tabs>
      <w:spacing w:line="360" w:lineRule="auto"/>
      <w:ind w:left="1500" w:firstLineChars="200" w:firstLine="480"/>
    </w:pPr>
    <w:rPr>
      <w:sz w:val="24"/>
    </w:rPr>
  </w:style>
  <w:style w:type="paragraph" w:styleId="af1">
    <w:name w:val="List Paragraph"/>
    <w:basedOn w:val="a"/>
    <w:uiPriority w:val="34"/>
    <w:qFormat/>
    <w:pPr>
      <w:ind w:firstLineChars="200" w:firstLine="420"/>
    </w:pPr>
    <w:rPr>
      <w:sz w:val="28"/>
    </w:rPr>
  </w:style>
  <w:style w:type="paragraph" w:customStyle="1" w:styleId="11">
    <w:name w:val="修订1"/>
    <w:hidden/>
    <w:uiPriority w:val="99"/>
    <w:semiHidden/>
    <w:qFormat/>
    <w:rPr>
      <w:kern w:val="2"/>
      <w:sz w:val="21"/>
      <w:szCs w:val="24"/>
    </w:rPr>
  </w:style>
  <w:style w:type="character" w:customStyle="1" w:styleId="Char">
    <w:name w:val="批注文字 Char"/>
    <w:link w:val="a4"/>
    <w:qFormat/>
    <w:rPr>
      <w:kern w:val="2"/>
      <w:sz w:val="21"/>
      <w:szCs w:val="24"/>
    </w:rPr>
  </w:style>
  <w:style w:type="character" w:customStyle="1" w:styleId="Char1">
    <w:name w:val="批注主题 Char"/>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B8E2D-82CC-4FAB-9BA4-E9D0F4A1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343</Words>
  <Characters>1961</Characters>
  <Application>Microsoft Office Word</Application>
  <DocSecurity>0</DocSecurity>
  <Lines>16</Lines>
  <Paragraphs>4</Paragraphs>
  <ScaleCrop>false</ScaleCrop>
  <Company>COMMONORG</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四、特别说明事项</dc:title>
  <dc:creator>卢淋丽</dc:creator>
  <cp:lastModifiedBy>陈宇</cp:lastModifiedBy>
  <cp:revision>39</cp:revision>
  <cp:lastPrinted>2020-04-02T03:02:00Z</cp:lastPrinted>
  <dcterms:created xsi:type="dcterms:W3CDTF">2021-03-22T02:18:00Z</dcterms:created>
  <dcterms:modified xsi:type="dcterms:W3CDTF">2021-03-29T12:46:00Z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