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02" w:rsidRDefault="00470602" w:rsidP="006B0C8C">
      <w:pPr>
        <w:jc w:val="center"/>
        <w:rPr>
          <w:b/>
          <w:sz w:val="30"/>
          <w:szCs w:val="30"/>
        </w:rPr>
      </w:pPr>
    </w:p>
    <w:p w:rsidR="006B0C8C" w:rsidRPr="00470602" w:rsidRDefault="006B0C8C" w:rsidP="00470602">
      <w:pPr>
        <w:widowControl/>
        <w:spacing w:before="50" w:after="50" w:line="360" w:lineRule="auto"/>
        <w:jc w:val="center"/>
        <w:rPr>
          <w:rFonts w:ascii="黑体" w:eastAsia="黑体" w:hAnsi="黑体"/>
          <w:bCs/>
          <w:iCs/>
          <w:color w:val="FF0000"/>
          <w:kern w:val="20"/>
          <w:sz w:val="32"/>
          <w:szCs w:val="32"/>
        </w:rPr>
      </w:pPr>
      <w:r w:rsidRPr="00470602">
        <w:rPr>
          <w:rFonts w:ascii="黑体" w:eastAsia="黑体" w:hAnsi="黑体"/>
          <w:bCs/>
          <w:iCs/>
          <w:color w:val="FF0000"/>
          <w:kern w:val="20"/>
          <w:sz w:val="32"/>
          <w:szCs w:val="32"/>
        </w:rPr>
        <w:t>兴业银行股份有限公司独立董事</w:t>
      </w:r>
    </w:p>
    <w:p w:rsidR="006B0C8C" w:rsidRPr="00470602" w:rsidRDefault="006B0C8C" w:rsidP="00470602">
      <w:pPr>
        <w:widowControl/>
        <w:spacing w:before="50" w:after="50" w:line="360" w:lineRule="auto"/>
        <w:jc w:val="center"/>
        <w:rPr>
          <w:rFonts w:ascii="黑体" w:eastAsia="黑体" w:hAnsi="黑体"/>
          <w:bCs/>
          <w:iCs/>
          <w:color w:val="FF0000"/>
          <w:kern w:val="20"/>
          <w:sz w:val="32"/>
          <w:szCs w:val="32"/>
        </w:rPr>
      </w:pPr>
      <w:r w:rsidRPr="00470602">
        <w:rPr>
          <w:rFonts w:ascii="黑体" w:eastAsia="黑体" w:hAnsi="黑体"/>
          <w:bCs/>
          <w:iCs/>
          <w:color w:val="FF0000"/>
          <w:kern w:val="20"/>
          <w:sz w:val="32"/>
          <w:szCs w:val="32"/>
        </w:rPr>
        <w:t>关于</w:t>
      </w:r>
      <w:r w:rsidRPr="00470602">
        <w:rPr>
          <w:rFonts w:ascii="黑体" w:eastAsia="黑体" w:hAnsi="黑体" w:hint="eastAsia"/>
          <w:bCs/>
          <w:iCs/>
          <w:color w:val="FF0000"/>
          <w:kern w:val="20"/>
          <w:sz w:val="32"/>
          <w:szCs w:val="32"/>
        </w:rPr>
        <w:t>公司公开发行A股可转换公司债</w:t>
      </w:r>
      <w:proofErr w:type="gramStart"/>
      <w:r w:rsidRPr="00470602">
        <w:rPr>
          <w:rFonts w:ascii="黑体" w:eastAsia="黑体" w:hAnsi="黑体" w:hint="eastAsia"/>
          <w:bCs/>
          <w:iCs/>
          <w:color w:val="FF0000"/>
          <w:kern w:val="20"/>
          <w:sz w:val="32"/>
          <w:szCs w:val="32"/>
        </w:rPr>
        <w:t>券</w:t>
      </w:r>
      <w:proofErr w:type="gramEnd"/>
      <w:r w:rsidRPr="00470602">
        <w:rPr>
          <w:rFonts w:ascii="黑体" w:eastAsia="黑体" w:hAnsi="黑体" w:hint="eastAsia"/>
          <w:bCs/>
          <w:iCs/>
          <w:color w:val="FF0000"/>
          <w:kern w:val="20"/>
          <w:sz w:val="32"/>
          <w:szCs w:val="32"/>
        </w:rPr>
        <w:t>的独立意见</w:t>
      </w:r>
    </w:p>
    <w:p w:rsidR="006B0C8C" w:rsidRDefault="006B0C8C" w:rsidP="006B0C8C">
      <w:pPr>
        <w:spacing w:after="105" w:line="259" w:lineRule="auto"/>
        <w:ind w:right="45"/>
        <w:jc w:val="center"/>
      </w:pPr>
    </w:p>
    <w:p w:rsidR="006B0C8C" w:rsidRPr="00470602" w:rsidRDefault="006B0C8C" w:rsidP="00470602">
      <w:pPr>
        <w:spacing w:line="360" w:lineRule="auto"/>
        <w:ind w:firstLineChars="200" w:firstLine="480"/>
        <w:rPr>
          <w:rFonts w:ascii="宋体" w:hAnsi="宋体"/>
          <w:sz w:val="24"/>
        </w:rPr>
      </w:pPr>
      <w:r w:rsidRPr="00470602">
        <w:rPr>
          <w:rFonts w:ascii="宋体" w:hAnsi="宋体" w:hint="eastAsia"/>
          <w:sz w:val="24"/>
        </w:rPr>
        <w:t>根据《中华人民共和国公司法》《中华人民共和国证券法》《上市公司证券发行管理办法》《可转换公司债券管理办法》《上海证券交易所股票上市规则》《关于在上市公司建立独立董事制度的指导意见》等相关法律法规及规范性文件以及《兴业银行股份有限公司章程》（以下简称“《公司章程》</w:t>
      </w:r>
      <w:r w:rsidRPr="00470602">
        <w:rPr>
          <w:rFonts w:ascii="宋体" w:hAnsi="宋体"/>
          <w:sz w:val="24"/>
        </w:rPr>
        <w:t>”</w:t>
      </w:r>
      <w:r w:rsidRPr="00470602">
        <w:rPr>
          <w:rFonts w:ascii="宋体" w:hAnsi="宋体" w:hint="eastAsia"/>
          <w:sz w:val="24"/>
        </w:rPr>
        <w:t>）等相关规定，作为兴业银行股份有限公司（以下简称“公司”）独立董事，我们认真审阅了公开发行A股可转换公司债</w:t>
      </w:r>
      <w:proofErr w:type="gramStart"/>
      <w:r w:rsidRPr="00470602">
        <w:rPr>
          <w:rFonts w:ascii="宋体" w:hAnsi="宋体" w:hint="eastAsia"/>
          <w:sz w:val="24"/>
        </w:rPr>
        <w:t>券</w:t>
      </w:r>
      <w:proofErr w:type="gramEnd"/>
      <w:r w:rsidRPr="00470602">
        <w:rPr>
          <w:rFonts w:ascii="宋体" w:hAnsi="宋体" w:hint="eastAsia"/>
          <w:sz w:val="24"/>
        </w:rPr>
        <w:t>（以下简称“本次发行可转债”）的相关议案，对本次发行可转债事项发表独立意见如下：</w:t>
      </w:r>
    </w:p>
    <w:p w:rsidR="006B0C8C" w:rsidRPr="00470602" w:rsidRDefault="006B0C8C" w:rsidP="00470602">
      <w:pPr>
        <w:spacing w:line="360" w:lineRule="auto"/>
        <w:ind w:firstLineChars="200" w:firstLine="480"/>
        <w:rPr>
          <w:rFonts w:ascii="宋体" w:hAnsi="宋体"/>
          <w:sz w:val="24"/>
        </w:rPr>
      </w:pPr>
      <w:r w:rsidRPr="00470602">
        <w:rPr>
          <w:rFonts w:ascii="宋体" w:hAnsi="宋体" w:hint="eastAsia"/>
          <w:sz w:val="24"/>
        </w:rPr>
        <w:t>一、公司符合《中华人民共和国公司法》《中华人民共和国证券法》《上市公司证券发行管理办法》《可转换公司债券管理办法》等法律法规及规范性文件关于公开发行A股可转换公司债</w:t>
      </w:r>
      <w:proofErr w:type="gramStart"/>
      <w:r w:rsidRPr="00470602">
        <w:rPr>
          <w:rFonts w:ascii="宋体" w:hAnsi="宋体" w:hint="eastAsia"/>
          <w:sz w:val="24"/>
        </w:rPr>
        <w:t>券</w:t>
      </w:r>
      <w:proofErr w:type="gramEnd"/>
      <w:r w:rsidRPr="00470602">
        <w:rPr>
          <w:rFonts w:ascii="宋体" w:hAnsi="宋体" w:hint="eastAsia"/>
          <w:sz w:val="24"/>
        </w:rPr>
        <w:t>的各项规定和要求，具备公开发行A股可转换公司债</w:t>
      </w:r>
      <w:proofErr w:type="gramStart"/>
      <w:r w:rsidRPr="00470602">
        <w:rPr>
          <w:rFonts w:ascii="宋体" w:hAnsi="宋体" w:hint="eastAsia"/>
          <w:sz w:val="24"/>
        </w:rPr>
        <w:t>券</w:t>
      </w:r>
      <w:proofErr w:type="gramEnd"/>
      <w:r w:rsidRPr="00470602">
        <w:rPr>
          <w:rFonts w:ascii="宋体" w:hAnsi="宋体" w:hint="eastAsia"/>
          <w:sz w:val="24"/>
        </w:rPr>
        <w:t>的资格和条件。</w:t>
      </w:r>
    </w:p>
    <w:p w:rsidR="006B0C8C" w:rsidRPr="00470602" w:rsidRDefault="006B0C8C" w:rsidP="00470602">
      <w:pPr>
        <w:spacing w:line="360" w:lineRule="auto"/>
        <w:ind w:firstLineChars="200" w:firstLine="480"/>
        <w:rPr>
          <w:rFonts w:ascii="宋体" w:hAnsi="宋体"/>
          <w:sz w:val="24"/>
        </w:rPr>
      </w:pPr>
      <w:r w:rsidRPr="00470602">
        <w:rPr>
          <w:rFonts w:ascii="宋体" w:hAnsi="宋体" w:hint="eastAsia"/>
          <w:sz w:val="24"/>
        </w:rPr>
        <w:t>二、公司本次发行可转</w:t>
      </w:r>
      <w:proofErr w:type="gramStart"/>
      <w:r w:rsidRPr="00470602">
        <w:rPr>
          <w:rFonts w:ascii="宋体" w:hAnsi="宋体" w:hint="eastAsia"/>
          <w:sz w:val="24"/>
        </w:rPr>
        <w:t>债方案</w:t>
      </w:r>
      <w:proofErr w:type="gramEnd"/>
      <w:r w:rsidRPr="00470602">
        <w:rPr>
          <w:rFonts w:ascii="宋体" w:hAnsi="宋体" w:hint="eastAsia"/>
          <w:sz w:val="24"/>
        </w:rPr>
        <w:t>符合相关法律、法规和规范性文件的有关规定，发行方案切实可行，符合公司实际情况及长远发展规划，有利于进一步提升公司综合竞争实力，增强持续发展能力和风险抵御能力，符合公司和全体股东的利益。</w:t>
      </w:r>
    </w:p>
    <w:p w:rsidR="006B0C8C" w:rsidRPr="00470602" w:rsidRDefault="006B0C8C" w:rsidP="00470602">
      <w:pPr>
        <w:spacing w:line="360" w:lineRule="auto"/>
        <w:ind w:firstLineChars="200" w:firstLine="480"/>
        <w:rPr>
          <w:rFonts w:ascii="宋体" w:hAnsi="宋体"/>
          <w:sz w:val="24"/>
        </w:rPr>
      </w:pPr>
      <w:r w:rsidRPr="00470602">
        <w:rPr>
          <w:rFonts w:ascii="宋体" w:hAnsi="宋体" w:hint="eastAsia"/>
          <w:sz w:val="24"/>
        </w:rPr>
        <w:t>三、公司就本次发行可转</w:t>
      </w:r>
      <w:proofErr w:type="gramStart"/>
      <w:r w:rsidRPr="00470602">
        <w:rPr>
          <w:rFonts w:ascii="宋体" w:hAnsi="宋体" w:hint="eastAsia"/>
          <w:sz w:val="24"/>
        </w:rPr>
        <w:t>债对摊</w:t>
      </w:r>
      <w:proofErr w:type="gramEnd"/>
      <w:r w:rsidRPr="00470602">
        <w:rPr>
          <w:rFonts w:ascii="宋体" w:hAnsi="宋体" w:hint="eastAsia"/>
          <w:sz w:val="24"/>
        </w:rPr>
        <w:t>薄即期回报的影响进行了分析，制定了切实可行的填补措施，</w:t>
      </w:r>
      <w:r w:rsidRPr="00470602">
        <w:rPr>
          <w:rFonts w:ascii="宋体" w:hAnsi="宋体"/>
          <w:sz w:val="24"/>
        </w:rPr>
        <w:t>并由相关主体出具承诺以保证履行，</w:t>
      </w:r>
      <w:r w:rsidRPr="00470602">
        <w:rPr>
          <w:rFonts w:ascii="宋体" w:hAnsi="宋体" w:hint="eastAsia"/>
          <w:sz w:val="24"/>
        </w:rPr>
        <w:t>充分</w:t>
      </w:r>
      <w:r w:rsidRPr="00470602">
        <w:rPr>
          <w:rFonts w:ascii="宋体" w:hAnsi="宋体"/>
          <w:sz w:val="24"/>
        </w:rPr>
        <w:t>保护了公司股东特别是中小股东的合法权益。</w:t>
      </w:r>
    </w:p>
    <w:p w:rsidR="006B0C8C" w:rsidRPr="00470602" w:rsidRDefault="006B0C8C" w:rsidP="00470602">
      <w:pPr>
        <w:spacing w:line="360" w:lineRule="auto"/>
        <w:ind w:firstLineChars="200" w:firstLine="480"/>
        <w:rPr>
          <w:rFonts w:ascii="宋体" w:hAnsi="宋体"/>
          <w:sz w:val="24"/>
        </w:rPr>
      </w:pPr>
      <w:r w:rsidRPr="00470602">
        <w:rPr>
          <w:rFonts w:ascii="宋体" w:hAnsi="宋体" w:hint="eastAsia"/>
          <w:sz w:val="24"/>
        </w:rPr>
        <w:t>四、本次发行可转债的相关议案已经公司第九届董事会第二十九次会议审议通过，董事会会议的召集、召开和表决程序符合相关法律法规和《公司章程》的规定。本次发行可转债事项尚需提交公司股东大会审议通过，并在获得中国银行保险监督管理委员会批准和中国证券监督管理委员会核准后方可实施。</w:t>
      </w:r>
    </w:p>
    <w:p w:rsidR="006B0C8C" w:rsidRPr="00470602" w:rsidRDefault="006B0C8C" w:rsidP="00470602">
      <w:pPr>
        <w:spacing w:line="360" w:lineRule="auto"/>
        <w:ind w:firstLineChars="200" w:firstLine="480"/>
        <w:rPr>
          <w:rFonts w:ascii="宋体" w:hAnsi="宋体"/>
          <w:sz w:val="24"/>
        </w:rPr>
      </w:pPr>
      <w:r w:rsidRPr="00470602">
        <w:rPr>
          <w:rFonts w:ascii="宋体" w:hAnsi="宋体"/>
          <w:sz w:val="24"/>
        </w:rPr>
        <w:t>我们一致同意公司本次公开发行A股可转换公司债</w:t>
      </w:r>
      <w:proofErr w:type="gramStart"/>
      <w:r w:rsidRPr="00470602">
        <w:rPr>
          <w:rFonts w:ascii="宋体" w:hAnsi="宋体"/>
          <w:sz w:val="24"/>
        </w:rPr>
        <w:t>券</w:t>
      </w:r>
      <w:proofErr w:type="gramEnd"/>
      <w:r w:rsidRPr="00470602">
        <w:rPr>
          <w:rFonts w:ascii="宋体" w:hAnsi="宋体"/>
          <w:sz w:val="24"/>
        </w:rPr>
        <w:t>及相关授权，并同意将相关议案提交公司股东大会审议。</w:t>
      </w:r>
    </w:p>
    <w:p w:rsidR="00470602" w:rsidRDefault="00470602" w:rsidP="00470602">
      <w:pPr>
        <w:spacing w:line="360" w:lineRule="auto"/>
        <w:ind w:firstLineChars="200" w:firstLine="480"/>
        <w:jc w:val="right"/>
        <w:rPr>
          <w:rFonts w:ascii="宋体" w:hAnsi="宋体"/>
          <w:bCs/>
          <w:iCs/>
          <w:sz w:val="24"/>
        </w:rPr>
      </w:pPr>
    </w:p>
    <w:p w:rsidR="00470602" w:rsidRPr="00A41997" w:rsidRDefault="00470602" w:rsidP="00470602">
      <w:pPr>
        <w:spacing w:line="360" w:lineRule="auto"/>
        <w:ind w:firstLineChars="200" w:firstLine="480"/>
        <w:jc w:val="right"/>
        <w:rPr>
          <w:rFonts w:ascii="宋体" w:hAnsi="宋体"/>
          <w:bCs/>
          <w:iCs/>
          <w:sz w:val="24"/>
        </w:rPr>
      </w:pPr>
      <w:r w:rsidRPr="00A41997">
        <w:rPr>
          <w:rFonts w:ascii="宋体" w:hAnsi="宋体" w:hint="eastAsia"/>
          <w:bCs/>
          <w:iCs/>
          <w:sz w:val="24"/>
        </w:rPr>
        <w:lastRenderedPageBreak/>
        <w:t>独立董事：Paul M. Theil、朱 青、刘世平、苏锡嘉、林 华</w:t>
      </w:r>
    </w:p>
    <w:p w:rsidR="00470602" w:rsidRDefault="00470602" w:rsidP="00470602">
      <w:pPr>
        <w:spacing w:line="360" w:lineRule="auto"/>
        <w:ind w:firstLineChars="200" w:firstLine="480"/>
        <w:jc w:val="right"/>
        <w:rPr>
          <w:rFonts w:ascii="宋体" w:hAnsi="宋体"/>
          <w:bCs/>
          <w:iCs/>
          <w:sz w:val="24"/>
        </w:rPr>
      </w:pPr>
      <w:r>
        <w:rPr>
          <w:rFonts w:ascii="宋体" w:hAnsi="宋体" w:hint="eastAsia"/>
          <w:bCs/>
          <w:iCs/>
          <w:sz w:val="24"/>
        </w:rPr>
        <w:t>20</w:t>
      </w:r>
      <w:r>
        <w:rPr>
          <w:rFonts w:ascii="宋体" w:hAnsi="宋体"/>
          <w:bCs/>
          <w:iCs/>
          <w:sz w:val="24"/>
        </w:rPr>
        <w:t>21</w:t>
      </w:r>
      <w:r w:rsidRPr="00A41997">
        <w:rPr>
          <w:rFonts w:ascii="宋体" w:hAnsi="宋体" w:hint="eastAsia"/>
          <w:bCs/>
          <w:iCs/>
          <w:sz w:val="24"/>
        </w:rPr>
        <w:t>年</w:t>
      </w:r>
      <w:r>
        <w:rPr>
          <w:rFonts w:ascii="宋体" w:hAnsi="宋体"/>
          <w:bCs/>
          <w:iCs/>
          <w:sz w:val="24"/>
        </w:rPr>
        <w:t>5</w:t>
      </w:r>
      <w:r w:rsidRPr="00A41997">
        <w:rPr>
          <w:rFonts w:ascii="宋体" w:hAnsi="宋体" w:hint="eastAsia"/>
          <w:bCs/>
          <w:iCs/>
          <w:sz w:val="24"/>
        </w:rPr>
        <w:t>月</w:t>
      </w:r>
      <w:r w:rsidR="00653B99">
        <w:rPr>
          <w:rFonts w:ascii="宋体" w:hAnsi="宋体" w:hint="eastAsia"/>
          <w:bCs/>
          <w:iCs/>
          <w:sz w:val="24"/>
        </w:rPr>
        <w:t>2</w:t>
      </w:r>
      <w:r w:rsidR="00653B99">
        <w:rPr>
          <w:rFonts w:ascii="宋体" w:hAnsi="宋体"/>
          <w:bCs/>
          <w:iCs/>
          <w:sz w:val="24"/>
        </w:rPr>
        <w:t>1</w:t>
      </w:r>
      <w:bookmarkStart w:id="0" w:name="_GoBack"/>
      <w:bookmarkEnd w:id="0"/>
      <w:r w:rsidRPr="00A41997">
        <w:rPr>
          <w:rFonts w:ascii="宋体" w:hAnsi="宋体" w:hint="eastAsia"/>
          <w:bCs/>
          <w:iCs/>
          <w:sz w:val="24"/>
        </w:rPr>
        <w:t>日</w:t>
      </w:r>
    </w:p>
    <w:p w:rsidR="00FB0EF5" w:rsidRDefault="00FB0EF5" w:rsidP="006B0C8C">
      <w:pPr>
        <w:spacing w:line="360" w:lineRule="auto"/>
        <w:ind w:right="240"/>
        <w:jc w:val="right"/>
      </w:pPr>
    </w:p>
    <w:sectPr w:rsidR="00FB0E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BE" w:rsidRDefault="00B242BE" w:rsidP="00470602">
      <w:r>
        <w:separator/>
      </w:r>
    </w:p>
  </w:endnote>
  <w:endnote w:type="continuationSeparator" w:id="0">
    <w:p w:rsidR="00B242BE" w:rsidRDefault="00B242BE" w:rsidP="0047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691664"/>
      <w:docPartObj>
        <w:docPartGallery w:val="Page Numbers (Bottom of Page)"/>
        <w:docPartUnique/>
      </w:docPartObj>
    </w:sdtPr>
    <w:sdtEndPr/>
    <w:sdtContent>
      <w:p w:rsidR="00470602" w:rsidRDefault="00470602">
        <w:pPr>
          <w:pStyle w:val="a5"/>
          <w:jc w:val="center"/>
        </w:pPr>
        <w:r>
          <w:fldChar w:fldCharType="begin"/>
        </w:r>
        <w:r>
          <w:instrText>PAGE   \* MERGEFORMAT</w:instrText>
        </w:r>
        <w:r>
          <w:fldChar w:fldCharType="separate"/>
        </w:r>
        <w:r w:rsidR="00653B99" w:rsidRPr="00653B99">
          <w:rPr>
            <w:noProof/>
            <w:lang w:val="zh-CN"/>
          </w:rPr>
          <w:t>2</w:t>
        </w:r>
        <w:r>
          <w:fldChar w:fldCharType="end"/>
        </w:r>
      </w:p>
    </w:sdtContent>
  </w:sdt>
  <w:p w:rsidR="00470602" w:rsidRDefault="004706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BE" w:rsidRDefault="00B242BE" w:rsidP="00470602">
      <w:r>
        <w:separator/>
      </w:r>
    </w:p>
  </w:footnote>
  <w:footnote w:type="continuationSeparator" w:id="0">
    <w:p w:rsidR="00B242BE" w:rsidRDefault="00B242BE" w:rsidP="0047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8C"/>
    <w:rsid w:val="003246E9"/>
    <w:rsid w:val="00470602"/>
    <w:rsid w:val="00653B99"/>
    <w:rsid w:val="006B0C8C"/>
    <w:rsid w:val="00A4468D"/>
    <w:rsid w:val="00B242BE"/>
    <w:rsid w:val="00FB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D48B"/>
  <w15:chartTrackingRefBased/>
  <w15:docId w15:val="{1DA9694F-AC75-4384-AC7D-EFEFB507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6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0602"/>
    <w:rPr>
      <w:rFonts w:ascii="Times New Roman" w:eastAsia="宋体" w:hAnsi="Times New Roman" w:cs="Times New Roman"/>
      <w:sz w:val="18"/>
      <w:szCs w:val="18"/>
    </w:rPr>
  </w:style>
  <w:style w:type="paragraph" w:styleId="a5">
    <w:name w:val="footer"/>
    <w:basedOn w:val="a"/>
    <w:link w:val="a6"/>
    <w:uiPriority w:val="99"/>
    <w:unhideWhenUsed/>
    <w:rsid w:val="00470602"/>
    <w:pPr>
      <w:tabs>
        <w:tab w:val="center" w:pos="4153"/>
        <w:tab w:val="right" w:pos="8306"/>
      </w:tabs>
      <w:snapToGrid w:val="0"/>
      <w:jc w:val="left"/>
    </w:pPr>
    <w:rPr>
      <w:sz w:val="18"/>
      <w:szCs w:val="18"/>
    </w:rPr>
  </w:style>
  <w:style w:type="character" w:customStyle="1" w:styleId="a6">
    <w:name w:val="页脚 字符"/>
    <w:basedOn w:val="a0"/>
    <w:link w:val="a5"/>
    <w:uiPriority w:val="99"/>
    <w:rsid w:val="004706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htlh</dc:creator>
  <cp:keywords/>
  <dc:description/>
  <cp:lastModifiedBy>htlh</cp:lastModifiedBy>
  <cp:revision>4</cp:revision>
  <dcterms:created xsi:type="dcterms:W3CDTF">2021-05-18T05:40:00Z</dcterms:created>
  <dcterms:modified xsi:type="dcterms:W3CDTF">2021-05-20T02:30:00Z</dcterms:modified>
</cp:coreProperties>
</file>