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C3" w:rsidRDefault="00F413C3" w:rsidP="001B79D4">
      <w:pPr>
        <w:jc w:val="center"/>
        <w:rPr>
          <w:b/>
          <w:sz w:val="30"/>
          <w:szCs w:val="30"/>
        </w:rPr>
      </w:pPr>
    </w:p>
    <w:p w:rsidR="001B79D4" w:rsidRPr="00F413C3" w:rsidRDefault="001B79D4" w:rsidP="00F413C3">
      <w:pPr>
        <w:widowControl/>
        <w:spacing w:before="50" w:after="50" w:line="360" w:lineRule="auto"/>
        <w:jc w:val="center"/>
        <w:rPr>
          <w:rFonts w:ascii="黑体" w:eastAsia="黑体" w:hAnsi="黑体"/>
          <w:bCs/>
          <w:iCs/>
          <w:color w:val="FF0000"/>
          <w:kern w:val="20"/>
          <w:sz w:val="32"/>
          <w:szCs w:val="32"/>
        </w:rPr>
      </w:pPr>
      <w:r w:rsidRPr="00F413C3">
        <w:rPr>
          <w:rFonts w:ascii="黑体" w:eastAsia="黑体" w:hAnsi="黑体"/>
          <w:bCs/>
          <w:iCs/>
          <w:color w:val="FF0000"/>
          <w:kern w:val="20"/>
          <w:sz w:val="32"/>
          <w:szCs w:val="32"/>
        </w:rPr>
        <w:t>兴业银行股份有限公司独立董事</w:t>
      </w:r>
    </w:p>
    <w:p w:rsidR="001B79D4" w:rsidRPr="00F413C3" w:rsidRDefault="001B79D4" w:rsidP="00F413C3">
      <w:pPr>
        <w:widowControl/>
        <w:spacing w:before="50" w:after="50" w:line="360" w:lineRule="auto"/>
        <w:jc w:val="center"/>
        <w:rPr>
          <w:rFonts w:ascii="黑体" w:eastAsia="黑体" w:hAnsi="黑体"/>
          <w:bCs/>
          <w:iCs/>
          <w:color w:val="FF0000"/>
          <w:kern w:val="20"/>
          <w:sz w:val="32"/>
          <w:szCs w:val="32"/>
        </w:rPr>
      </w:pPr>
      <w:r w:rsidRPr="00F413C3">
        <w:rPr>
          <w:rFonts w:ascii="黑体" w:eastAsia="黑体" w:hAnsi="黑体"/>
          <w:bCs/>
          <w:iCs/>
          <w:color w:val="FF0000"/>
          <w:kern w:val="20"/>
          <w:sz w:val="32"/>
          <w:szCs w:val="32"/>
        </w:rPr>
        <w:t>关于中期股东回报规划</w:t>
      </w:r>
      <w:r w:rsidRPr="00F413C3">
        <w:rPr>
          <w:rFonts w:ascii="黑体" w:eastAsia="黑体" w:hAnsi="黑体" w:hint="eastAsia"/>
          <w:bCs/>
          <w:iCs/>
          <w:color w:val="FF0000"/>
          <w:kern w:val="20"/>
          <w:sz w:val="32"/>
          <w:szCs w:val="32"/>
        </w:rPr>
        <w:t>（20</w:t>
      </w:r>
      <w:r w:rsidRPr="00F413C3">
        <w:rPr>
          <w:rFonts w:ascii="黑体" w:eastAsia="黑体" w:hAnsi="黑体"/>
          <w:bCs/>
          <w:iCs/>
          <w:color w:val="FF0000"/>
          <w:kern w:val="20"/>
          <w:sz w:val="32"/>
          <w:szCs w:val="32"/>
        </w:rPr>
        <w:t>21</w:t>
      </w:r>
      <w:r w:rsidRPr="00F413C3">
        <w:rPr>
          <w:rFonts w:ascii="黑体" w:eastAsia="黑体" w:hAnsi="黑体" w:hint="eastAsia"/>
          <w:bCs/>
          <w:iCs/>
          <w:color w:val="FF0000"/>
          <w:kern w:val="20"/>
          <w:sz w:val="32"/>
          <w:szCs w:val="32"/>
        </w:rPr>
        <w:t>-</w:t>
      </w:r>
      <w:r w:rsidRPr="00F413C3">
        <w:rPr>
          <w:rFonts w:ascii="黑体" w:eastAsia="黑体" w:hAnsi="黑体"/>
          <w:bCs/>
          <w:iCs/>
          <w:color w:val="FF0000"/>
          <w:kern w:val="20"/>
          <w:sz w:val="32"/>
          <w:szCs w:val="32"/>
        </w:rPr>
        <w:t>20</w:t>
      </w:r>
      <w:r w:rsidRPr="00F413C3">
        <w:rPr>
          <w:rFonts w:ascii="黑体" w:eastAsia="黑体" w:hAnsi="黑体" w:hint="eastAsia"/>
          <w:bCs/>
          <w:iCs/>
          <w:color w:val="FF0000"/>
          <w:kern w:val="20"/>
          <w:sz w:val="32"/>
          <w:szCs w:val="32"/>
        </w:rPr>
        <w:t>2</w:t>
      </w:r>
      <w:r w:rsidRPr="00F413C3">
        <w:rPr>
          <w:rFonts w:ascii="黑体" w:eastAsia="黑体" w:hAnsi="黑体"/>
          <w:bCs/>
          <w:iCs/>
          <w:color w:val="FF0000"/>
          <w:kern w:val="20"/>
          <w:sz w:val="32"/>
          <w:szCs w:val="32"/>
        </w:rPr>
        <w:t>3年</w:t>
      </w:r>
      <w:r w:rsidRPr="00F413C3">
        <w:rPr>
          <w:rFonts w:ascii="黑体" w:eastAsia="黑体" w:hAnsi="黑体" w:hint="eastAsia"/>
          <w:bCs/>
          <w:iCs/>
          <w:color w:val="FF0000"/>
          <w:kern w:val="20"/>
          <w:sz w:val="32"/>
          <w:szCs w:val="32"/>
        </w:rPr>
        <w:t>）</w:t>
      </w:r>
      <w:r w:rsidRPr="00F413C3">
        <w:rPr>
          <w:rFonts w:ascii="黑体" w:eastAsia="黑体" w:hAnsi="黑体"/>
          <w:bCs/>
          <w:iCs/>
          <w:color w:val="FF0000"/>
          <w:kern w:val="20"/>
          <w:sz w:val="32"/>
          <w:szCs w:val="32"/>
        </w:rPr>
        <w:t>的独立意见</w:t>
      </w:r>
    </w:p>
    <w:p w:rsidR="001B79D4" w:rsidRDefault="001B79D4" w:rsidP="001B79D4">
      <w:pPr>
        <w:spacing w:after="105" w:line="259" w:lineRule="auto"/>
        <w:ind w:right="45"/>
        <w:jc w:val="center"/>
      </w:pPr>
    </w:p>
    <w:p w:rsidR="001B79D4" w:rsidRPr="00F413C3" w:rsidRDefault="001B79D4" w:rsidP="00F413C3">
      <w:pPr>
        <w:spacing w:line="360" w:lineRule="auto"/>
        <w:ind w:firstLineChars="200" w:firstLine="480"/>
        <w:rPr>
          <w:rFonts w:ascii="宋体" w:hAnsi="宋体"/>
          <w:sz w:val="24"/>
        </w:rPr>
      </w:pPr>
      <w:r w:rsidRPr="00F413C3">
        <w:rPr>
          <w:rFonts w:ascii="宋体" w:hAnsi="宋体" w:hint="eastAsia"/>
          <w:sz w:val="24"/>
        </w:rPr>
        <w:t>根据中国证监会《关于在上市公司建立独立董事制度的指导意见》《上市公司监管指引第3号——上市公司现金分红》《关于进一步落实上市公司现金分红有关事项的通知》等有关规范性文件的要求以及《兴业银行股份有限公司章程》（以下简称“《公司章程》”）等相关规章制度的规定，兴业银行股份有限公司（以下简称“公司”）全体独立董事就公司第九届董事会第二十九次会议审议的《兴业银行股份有限公司中期股东回报规划（20</w:t>
      </w:r>
      <w:r w:rsidRPr="00F413C3">
        <w:rPr>
          <w:rFonts w:ascii="宋体" w:hAnsi="宋体"/>
          <w:sz w:val="24"/>
        </w:rPr>
        <w:t>21</w:t>
      </w:r>
      <w:r w:rsidRPr="00F413C3">
        <w:rPr>
          <w:rFonts w:ascii="宋体" w:hAnsi="宋体" w:hint="eastAsia"/>
          <w:sz w:val="24"/>
        </w:rPr>
        <w:t>-202</w:t>
      </w:r>
      <w:r w:rsidRPr="00F413C3">
        <w:rPr>
          <w:rFonts w:ascii="宋体" w:hAnsi="宋体"/>
          <w:sz w:val="24"/>
        </w:rPr>
        <w:t>3</w:t>
      </w:r>
      <w:r w:rsidRPr="00F413C3">
        <w:rPr>
          <w:rFonts w:ascii="宋体" w:hAnsi="宋体" w:hint="eastAsia"/>
          <w:sz w:val="24"/>
        </w:rPr>
        <w:t>年）》（以下简称“《股东回报规划》”）进行了仔细研究和讨论，并发表独立意见如下：</w:t>
      </w:r>
    </w:p>
    <w:p w:rsidR="001B79D4" w:rsidRPr="00F413C3" w:rsidRDefault="001B79D4" w:rsidP="00F413C3">
      <w:pPr>
        <w:spacing w:line="360" w:lineRule="auto"/>
        <w:ind w:firstLineChars="200" w:firstLine="480"/>
        <w:rPr>
          <w:rFonts w:ascii="宋体" w:hAnsi="宋体"/>
          <w:sz w:val="24"/>
        </w:rPr>
      </w:pPr>
      <w:r w:rsidRPr="00F413C3">
        <w:rPr>
          <w:rFonts w:ascii="宋体" w:hAnsi="宋体" w:hint="eastAsia"/>
          <w:sz w:val="24"/>
        </w:rPr>
        <w:t>一、《股东回报规划》是在综合考虑公司所处行业特征、公司现状、业务发展需要、主管机关的监管要求及股东回报等因素的基础上制定的。</w:t>
      </w:r>
    </w:p>
    <w:p w:rsidR="001B79D4" w:rsidRPr="00F413C3" w:rsidRDefault="001B79D4" w:rsidP="00F413C3">
      <w:pPr>
        <w:spacing w:line="360" w:lineRule="auto"/>
        <w:ind w:firstLineChars="200" w:firstLine="480"/>
        <w:rPr>
          <w:rFonts w:ascii="宋体" w:hAnsi="宋体"/>
          <w:sz w:val="24"/>
        </w:rPr>
      </w:pPr>
      <w:r w:rsidRPr="00F413C3">
        <w:rPr>
          <w:rFonts w:ascii="宋体" w:hAnsi="宋体" w:hint="eastAsia"/>
          <w:sz w:val="24"/>
        </w:rPr>
        <w:t>二、在制定《股东回报规划》的过程中，公司充分听取了独立董事和中小股东的意见，重视股东合理投资回报、兼顾公司合理资金需求，在保证公司资本充足</w:t>
      </w:r>
      <w:proofErr w:type="gramStart"/>
      <w:r w:rsidRPr="00F413C3">
        <w:rPr>
          <w:rFonts w:ascii="宋体" w:hAnsi="宋体" w:hint="eastAsia"/>
          <w:sz w:val="24"/>
        </w:rPr>
        <w:t>率满足</w:t>
      </w:r>
      <w:proofErr w:type="gramEnd"/>
      <w:r w:rsidRPr="00F413C3">
        <w:rPr>
          <w:rFonts w:ascii="宋体" w:hAnsi="宋体" w:hint="eastAsia"/>
          <w:sz w:val="24"/>
        </w:rPr>
        <w:t>中国银行保险监督管理委员会对商业银行资本充足水平监管要求的前提下，建立了持续、稳定、科学的分红政策，有利于实现对投资者的合理回报。</w:t>
      </w:r>
    </w:p>
    <w:p w:rsidR="001B79D4" w:rsidRPr="00F413C3" w:rsidRDefault="001B79D4" w:rsidP="00F413C3">
      <w:pPr>
        <w:spacing w:line="360" w:lineRule="auto"/>
        <w:ind w:firstLineChars="200" w:firstLine="480"/>
        <w:rPr>
          <w:rFonts w:ascii="宋体" w:hAnsi="宋体"/>
          <w:sz w:val="24"/>
        </w:rPr>
      </w:pPr>
      <w:r w:rsidRPr="00F413C3">
        <w:rPr>
          <w:rFonts w:ascii="宋体" w:hAnsi="宋体" w:hint="eastAsia"/>
          <w:sz w:val="24"/>
        </w:rPr>
        <w:t>三、公司董事会制定的股东回报规划及决策机制符合相关法律、法规及《公司章程》的规定，制定或修改的利润分配政策能够更好地保护投资者的利益。</w:t>
      </w:r>
    </w:p>
    <w:p w:rsidR="001B79D4" w:rsidRPr="00F413C3" w:rsidRDefault="001B79D4" w:rsidP="00F413C3">
      <w:pPr>
        <w:spacing w:line="360" w:lineRule="auto"/>
        <w:ind w:firstLineChars="200" w:firstLine="480"/>
        <w:rPr>
          <w:rFonts w:ascii="宋体" w:hAnsi="宋体"/>
          <w:sz w:val="24"/>
        </w:rPr>
      </w:pPr>
      <w:r w:rsidRPr="00F413C3">
        <w:rPr>
          <w:rFonts w:ascii="宋体" w:hAnsi="宋体" w:hint="eastAsia"/>
          <w:sz w:val="24"/>
        </w:rPr>
        <w:t>经认真考虑，我们同意《股东回报规划》中的各项内容，并同意将《股东回报规划》提交股东大会审议。</w:t>
      </w:r>
    </w:p>
    <w:p w:rsidR="00F413C3" w:rsidRPr="00AB1584" w:rsidRDefault="00F413C3" w:rsidP="00F413C3">
      <w:pPr>
        <w:spacing w:line="360" w:lineRule="auto"/>
        <w:ind w:firstLineChars="200" w:firstLine="480"/>
        <w:rPr>
          <w:rFonts w:ascii="宋体" w:hAnsi="宋体"/>
          <w:bCs/>
          <w:iCs/>
          <w:sz w:val="24"/>
        </w:rPr>
      </w:pPr>
    </w:p>
    <w:p w:rsidR="00F413C3" w:rsidRPr="00A41997" w:rsidRDefault="00F413C3" w:rsidP="00F413C3">
      <w:pPr>
        <w:spacing w:line="360" w:lineRule="auto"/>
        <w:ind w:firstLineChars="200" w:firstLine="480"/>
        <w:jc w:val="right"/>
        <w:rPr>
          <w:rFonts w:ascii="宋体" w:hAnsi="宋体"/>
          <w:bCs/>
          <w:iCs/>
          <w:sz w:val="24"/>
        </w:rPr>
      </w:pPr>
      <w:r w:rsidRPr="00A41997">
        <w:rPr>
          <w:rFonts w:ascii="宋体" w:hAnsi="宋体" w:hint="eastAsia"/>
          <w:bCs/>
          <w:iCs/>
          <w:sz w:val="24"/>
        </w:rPr>
        <w:t>独立董事：Paul M. Theil、朱 青、刘世平、苏锡嘉、林 华</w:t>
      </w:r>
    </w:p>
    <w:p w:rsidR="00F413C3" w:rsidRDefault="00F413C3" w:rsidP="00F413C3">
      <w:pPr>
        <w:spacing w:line="360" w:lineRule="auto"/>
        <w:ind w:firstLineChars="200" w:firstLine="480"/>
        <w:jc w:val="right"/>
        <w:rPr>
          <w:rFonts w:ascii="宋体" w:hAnsi="宋体"/>
          <w:bCs/>
          <w:iCs/>
          <w:sz w:val="24"/>
        </w:rPr>
      </w:pPr>
      <w:r>
        <w:rPr>
          <w:rFonts w:ascii="宋体" w:hAnsi="宋体" w:hint="eastAsia"/>
          <w:bCs/>
          <w:iCs/>
          <w:sz w:val="24"/>
        </w:rPr>
        <w:t>20</w:t>
      </w:r>
      <w:r>
        <w:rPr>
          <w:rFonts w:ascii="宋体" w:hAnsi="宋体"/>
          <w:bCs/>
          <w:iCs/>
          <w:sz w:val="24"/>
        </w:rPr>
        <w:t>21</w:t>
      </w:r>
      <w:r w:rsidRPr="00A41997">
        <w:rPr>
          <w:rFonts w:ascii="宋体" w:hAnsi="宋体" w:hint="eastAsia"/>
          <w:bCs/>
          <w:iCs/>
          <w:sz w:val="24"/>
        </w:rPr>
        <w:t>年</w:t>
      </w:r>
      <w:r>
        <w:rPr>
          <w:rFonts w:ascii="宋体" w:hAnsi="宋体"/>
          <w:bCs/>
          <w:iCs/>
          <w:sz w:val="24"/>
        </w:rPr>
        <w:t>5</w:t>
      </w:r>
      <w:r w:rsidRPr="00A41997">
        <w:rPr>
          <w:rFonts w:ascii="宋体" w:hAnsi="宋体" w:hint="eastAsia"/>
          <w:bCs/>
          <w:iCs/>
          <w:sz w:val="24"/>
        </w:rPr>
        <w:t>月</w:t>
      </w:r>
      <w:r w:rsidR="007A722B">
        <w:rPr>
          <w:rFonts w:ascii="宋体" w:hAnsi="宋体" w:hint="eastAsia"/>
          <w:bCs/>
          <w:iCs/>
          <w:sz w:val="24"/>
        </w:rPr>
        <w:t>2</w:t>
      </w:r>
      <w:r w:rsidR="007A722B">
        <w:rPr>
          <w:rFonts w:ascii="宋体" w:hAnsi="宋体"/>
          <w:bCs/>
          <w:iCs/>
          <w:sz w:val="24"/>
        </w:rPr>
        <w:t>1</w:t>
      </w:r>
      <w:bookmarkStart w:id="0" w:name="_GoBack"/>
      <w:bookmarkEnd w:id="0"/>
      <w:r w:rsidRPr="00A41997">
        <w:rPr>
          <w:rFonts w:ascii="宋体" w:hAnsi="宋体" w:hint="eastAsia"/>
          <w:bCs/>
          <w:iCs/>
          <w:sz w:val="24"/>
        </w:rPr>
        <w:t>日</w:t>
      </w:r>
    </w:p>
    <w:p w:rsidR="00FB0EF5" w:rsidRDefault="00FB0EF5"/>
    <w:sectPr w:rsidR="00FB0EF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674" w:rsidRDefault="00923674" w:rsidP="00F413C3">
      <w:r>
        <w:separator/>
      </w:r>
    </w:p>
  </w:endnote>
  <w:endnote w:type="continuationSeparator" w:id="0">
    <w:p w:rsidR="00923674" w:rsidRDefault="00923674" w:rsidP="00F4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86145"/>
      <w:docPartObj>
        <w:docPartGallery w:val="Page Numbers (Bottom of Page)"/>
        <w:docPartUnique/>
      </w:docPartObj>
    </w:sdtPr>
    <w:sdtEndPr/>
    <w:sdtContent>
      <w:p w:rsidR="009E749D" w:rsidRDefault="009E749D">
        <w:pPr>
          <w:pStyle w:val="a5"/>
          <w:jc w:val="center"/>
        </w:pPr>
        <w:r>
          <w:fldChar w:fldCharType="begin"/>
        </w:r>
        <w:r>
          <w:instrText>PAGE   \* MERGEFORMAT</w:instrText>
        </w:r>
        <w:r>
          <w:fldChar w:fldCharType="separate"/>
        </w:r>
        <w:r w:rsidR="007A722B" w:rsidRPr="007A722B">
          <w:rPr>
            <w:noProof/>
            <w:lang w:val="zh-CN"/>
          </w:rPr>
          <w:t>1</w:t>
        </w:r>
        <w:r>
          <w:fldChar w:fldCharType="end"/>
        </w:r>
      </w:p>
    </w:sdtContent>
  </w:sdt>
  <w:p w:rsidR="009E749D" w:rsidRDefault="009E749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674" w:rsidRDefault="00923674" w:rsidP="00F413C3">
      <w:r>
        <w:separator/>
      </w:r>
    </w:p>
  </w:footnote>
  <w:footnote w:type="continuationSeparator" w:id="0">
    <w:p w:rsidR="00923674" w:rsidRDefault="00923674" w:rsidP="00F41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D4"/>
    <w:rsid w:val="001B79D4"/>
    <w:rsid w:val="007A722B"/>
    <w:rsid w:val="00923674"/>
    <w:rsid w:val="009E749D"/>
    <w:rsid w:val="00BF51AA"/>
    <w:rsid w:val="00F413C3"/>
    <w:rsid w:val="00FB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61FE7"/>
  <w15:chartTrackingRefBased/>
  <w15:docId w15:val="{B7711C38-3148-4420-AE8A-6469840C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9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3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13C3"/>
    <w:rPr>
      <w:rFonts w:ascii="Times New Roman" w:eastAsia="宋体" w:hAnsi="Times New Roman" w:cs="Times New Roman"/>
      <w:sz w:val="18"/>
      <w:szCs w:val="18"/>
    </w:rPr>
  </w:style>
  <w:style w:type="paragraph" w:styleId="a5">
    <w:name w:val="footer"/>
    <w:basedOn w:val="a"/>
    <w:link w:val="a6"/>
    <w:uiPriority w:val="99"/>
    <w:unhideWhenUsed/>
    <w:rsid w:val="00F413C3"/>
    <w:pPr>
      <w:tabs>
        <w:tab w:val="center" w:pos="4153"/>
        <w:tab w:val="right" w:pos="8306"/>
      </w:tabs>
      <w:snapToGrid w:val="0"/>
      <w:jc w:val="left"/>
    </w:pPr>
    <w:rPr>
      <w:sz w:val="18"/>
      <w:szCs w:val="18"/>
    </w:rPr>
  </w:style>
  <w:style w:type="character" w:customStyle="1" w:styleId="a6">
    <w:name w:val="页脚 字符"/>
    <w:basedOn w:val="a0"/>
    <w:link w:val="a5"/>
    <w:uiPriority w:val="99"/>
    <w:rsid w:val="00F413C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htlh</dc:creator>
  <cp:keywords/>
  <dc:description/>
  <cp:lastModifiedBy>htlh</cp:lastModifiedBy>
  <cp:revision>4</cp:revision>
  <dcterms:created xsi:type="dcterms:W3CDTF">2021-05-18T05:41:00Z</dcterms:created>
  <dcterms:modified xsi:type="dcterms:W3CDTF">2021-05-20T02:31:00Z</dcterms:modified>
</cp:coreProperties>
</file>