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652" w:rsidRDefault="0039522B">
      <w:bookmarkStart w:id="0" w:name="_GoBack"/>
      <w:bookmarkEnd w:id="0"/>
      <w:r>
        <w:rPr>
          <w:noProof/>
        </w:rPr>
        <w:drawing>
          <wp:inline distT="0" distB="0" distL="114300" distR="114300" wp14:anchorId="228B3DDD" wp14:editId="52D10939">
            <wp:extent cx="2533650" cy="619125"/>
            <wp:effectExtent l="0" t="0" r="0" b="9525"/>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1"/>
                    </pic:cNvPicPr>
                  </pic:nvPicPr>
                  <pic:blipFill>
                    <a:blip r:embed="rId10" cstate="print"/>
                    <a:stretch>
                      <a:fillRect/>
                    </a:stretch>
                  </pic:blipFill>
                  <pic:spPr>
                    <a:xfrm>
                      <a:off x="0" y="0"/>
                      <a:ext cx="2533650" cy="619125"/>
                    </a:xfrm>
                    <a:prstGeom prst="rect">
                      <a:avLst/>
                    </a:prstGeom>
                    <a:noFill/>
                    <a:ln w="9525">
                      <a:noFill/>
                    </a:ln>
                  </pic:spPr>
                </pic:pic>
              </a:graphicData>
            </a:graphic>
          </wp:inline>
        </w:drawing>
      </w:r>
    </w:p>
    <w:p w:rsidR="00092652" w:rsidRDefault="00092652">
      <w:pPr>
        <w:jc w:val="left"/>
      </w:pPr>
    </w:p>
    <w:p w:rsidR="00092652" w:rsidRDefault="00092652"/>
    <w:p w:rsidR="00092652" w:rsidRDefault="00092652">
      <w:pPr>
        <w:jc w:val="center"/>
        <w:rPr>
          <w:sz w:val="32"/>
          <w:szCs w:val="32"/>
        </w:rPr>
      </w:pPr>
    </w:p>
    <w:p w:rsidR="00092652" w:rsidRDefault="00C4392E">
      <w:pPr>
        <w:jc w:val="center"/>
        <w:rPr>
          <w:sz w:val="32"/>
          <w:szCs w:val="32"/>
        </w:rPr>
      </w:pPr>
      <w:r>
        <w:rPr>
          <w:noProof/>
          <w:szCs w:val="24"/>
        </w:rPr>
        <mc:AlternateContent>
          <mc:Choice Requires="wps">
            <w:drawing>
              <wp:anchor distT="0" distB="0" distL="114300" distR="114300" simplePos="0" relativeHeight="251659264" behindDoc="1" locked="0" layoutInCell="1" allowOverlap="1" wp14:anchorId="385BA38D" wp14:editId="2E9E3BE1">
                <wp:simplePos x="0" y="0"/>
                <wp:positionH relativeFrom="column">
                  <wp:posOffset>657225</wp:posOffset>
                </wp:positionH>
                <wp:positionV relativeFrom="paragraph">
                  <wp:posOffset>137160</wp:posOffset>
                </wp:positionV>
                <wp:extent cx="4000500" cy="428625"/>
                <wp:effectExtent l="19050" t="15240" r="9525" b="13335"/>
                <wp:wrapTight wrapText="bothSides">
                  <wp:wrapPolygon edited="0">
                    <wp:start x="3651" y="0"/>
                    <wp:lineTo x="51" y="2400"/>
                    <wp:lineTo x="-103" y="7200"/>
                    <wp:lineTo x="411" y="7680"/>
                    <wp:lineTo x="0" y="15360"/>
                    <wp:lineTo x="-51" y="18720"/>
                    <wp:lineTo x="1543" y="20640"/>
                    <wp:lineTo x="4011" y="21120"/>
                    <wp:lineTo x="18617" y="21120"/>
                    <wp:lineTo x="21034" y="21120"/>
                    <wp:lineTo x="21343" y="20640"/>
                    <wp:lineTo x="21240" y="15360"/>
                    <wp:lineTo x="21600" y="13440"/>
                    <wp:lineTo x="21600" y="11520"/>
                    <wp:lineTo x="21240" y="7680"/>
                    <wp:lineTo x="21549" y="7200"/>
                    <wp:lineTo x="21343" y="0"/>
                    <wp:lineTo x="20520" y="0"/>
                    <wp:lineTo x="3651" y="0"/>
                  </wp:wrapPolygon>
                </wp:wrapTight>
                <wp:docPr id="25" name="WordArt: Plain Tex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00500" cy="428625"/>
                        </a:xfrm>
                        <a:prstGeom prst="rect">
                          <a:avLst/>
                        </a:prstGeom>
                      </wps:spPr>
                      <wps:txbx>
                        <w:txbxContent>
                          <w:p w:rsidR="00C4392E" w:rsidRDefault="00C4392E" w:rsidP="00C4392E">
                            <w:pPr>
                              <w:pStyle w:val="af5"/>
                              <w:spacing w:before="0" w:beforeAutospacing="0" w:after="0" w:afterAutospacing="0"/>
                              <w:jc w:val="center"/>
                            </w:pPr>
                            <w:r>
                              <w:rPr>
                                <w:rFonts w:ascii="黑体" w:eastAsia="黑体" w:hAnsi="黑体" w:hint="eastAsia"/>
                                <w:color w:val="5F5F5F"/>
                                <w:sz w:val="72"/>
                                <w:szCs w:val="72"/>
                                <w14:textOutline w14:w="9525" w14:cap="flat" w14:cmpd="sng" w14:algn="ctr">
                                  <w14:solidFill>
                                    <w14:srgbClr w14:val="5F5F5F"/>
                                  </w14:solidFill>
                                  <w14:prstDash w14:val="solid"/>
                                  <w14:round/>
                                </w14:textOutline>
                              </w:rPr>
                              <w:t>2020年年度股东大会会议文件</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WordArt: Plain Text 10" o:spid="_x0000_s1026" type="#_x0000_t202" style="position:absolute;left:0;text-align:left;margin-left:51.75pt;margin-top:10.8pt;width:31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" filled="f" stroked="f">
                <o:lock v:ext="edit" shapetype="t"/>
                <v:textbox style="mso-fit-shape-to-text:t">
                  <w:txbxContent>
                    <w:p w:rsidR="00C4392E" w:rsidRDefault="00C4392E" w:rsidP="00C4392E">
                      <w:pPr>
                        <w:pStyle w:val="aff2"/>
                        <w:spacing w:before="0" w:beforeAutospacing="0" w:after="0" w:afterAutospacing="0"/>
                        <w:jc w:val="center"/>
                      </w:pPr>
                      <w:r>
                        <w:rPr>
                          <w:rFonts w:ascii="黑体" w:eastAsia="黑体" w:hAnsi="黑体" w:hint="eastAsia"/>
                          <w:color w:val="5F5F5F"/>
                          <w:sz w:val="72"/>
                          <w:szCs w:val="72"/>
                          <w14:textOutline w14:w="9525" w14:cap="flat" w14:cmpd="sng" w14:algn="ctr">
                            <w14:solidFill>
                              <w14:srgbClr w14:val="5F5F5F"/>
                            </w14:solidFill>
                            <w14:prstDash w14:val="solid"/>
                            <w14:round/>
                          </w14:textOutline>
                        </w:rPr>
                        <w:t>2020年年度股东大会会议文件</w:t>
                      </w:r>
                    </w:p>
                  </w:txbxContent>
                </v:textbox>
                <w10:wrap type="tight"/>
              </v:shape>
            </w:pict>
          </mc:Fallback>
        </mc:AlternateContent>
      </w:r>
    </w:p>
    <w:p w:rsidR="00092652" w:rsidRDefault="00092652">
      <w:pPr>
        <w:jc w:val="center"/>
        <w:rPr>
          <w:sz w:val="32"/>
          <w:szCs w:val="32"/>
        </w:rPr>
      </w:pPr>
    </w:p>
    <w:p w:rsidR="00092652" w:rsidRDefault="00092652">
      <w:pPr>
        <w:jc w:val="center"/>
        <w:rPr>
          <w:rFonts w:ascii="仿宋_GB2312" w:eastAsia="仿宋_GB2312"/>
          <w:sz w:val="32"/>
          <w:szCs w:val="32"/>
        </w:rPr>
      </w:pPr>
    </w:p>
    <w:p w:rsidR="00092652" w:rsidRDefault="00092652">
      <w:pPr>
        <w:jc w:val="center"/>
        <w:rPr>
          <w:rFonts w:ascii="仿宋_GB2312" w:eastAsia="仿宋_GB2312"/>
          <w:sz w:val="32"/>
          <w:szCs w:val="32"/>
        </w:rPr>
      </w:pPr>
    </w:p>
    <w:p w:rsidR="00092652" w:rsidRDefault="00092652">
      <w:pPr>
        <w:jc w:val="center"/>
        <w:rPr>
          <w:rFonts w:ascii="仿宋_GB2312" w:eastAsia="仿宋_GB2312"/>
          <w:sz w:val="32"/>
          <w:szCs w:val="32"/>
        </w:rPr>
      </w:pPr>
    </w:p>
    <w:p w:rsidR="00092652" w:rsidRDefault="00092652">
      <w:pPr>
        <w:jc w:val="center"/>
        <w:rPr>
          <w:rFonts w:ascii="仿宋_GB2312" w:eastAsia="仿宋_GB2312"/>
          <w:sz w:val="32"/>
          <w:szCs w:val="32"/>
        </w:rPr>
      </w:pPr>
    </w:p>
    <w:p w:rsidR="00092652" w:rsidRDefault="00092652">
      <w:pPr>
        <w:jc w:val="center"/>
        <w:rPr>
          <w:rFonts w:ascii="仿宋_GB2312" w:eastAsia="仿宋_GB2312"/>
          <w:sz w:val="32"/>
          <w:szCs w:val="32"/>
        </w:rPr>
      </w:pPr>
    </w:p>
    <w:p w:rsidR="00092652" w:rsidRDefault="00092652">
      <w:pPr>
        <w:jc w:val="center"/>
        <w:rPr>
          <w:rFonts w:ascii="仿宋_GB2312" w:eastAsia="仿宋_GB2312"/>
          <w:sz w:val="32"/>
          <w:szCs w:val="32"/>
        </w:rPr>
      </w:pPr>
    </w:p>
    <w:p w:rsidR="00092652" w:rsidRDefault="00092652">
      <w:pPr>
        <w:jc w:val="center"/>
        <w:rPr>
          <w:rFonts w:ascii="仿宋_GB2312" w:eastAsia="仿宋_GB2312"/>
          <w:sz w:val="32"/>
          <w:szCs w:val="32"/>
        </w:rPr>
      </w:pPr>
    </w:p>
    <w:p w:rsidR="00092652" w:rsidRDefault="00092652">
      <w:pPr>
        <w:jc w:val="center"/>
        <w:rPr>
          <w:rFonts w:ascii="仿宋_GB2312" w:eastAsia="仿宋_GB2312"/>
          <w:sz w:val="32"/>
          <w:szCs w:val="32"/>
        </w:rPr>
      </w:pPr>
    </w:p>
    <w:p w:rsidR="00092652" w:rsidRDefault="00092652">
      <w:pPr>
        <w:jc w:val="center"/>
        <w:rPr>
          <w:rFonts w:ascii="仿宋_GB2312" w:eastAsia="仿宋_GB2312"/>
          <w:sz w:val="32"/>
          <w:szCs w:val="32"/>
        </w:rPr>
      </w:pPr>
    </w:p>
    <w:p w:rsidR="00092652" w:rsidRDefault="00092652">
      <w:pPr>
        <w:jc w:val="center"/>
        <w:rPr>
          <w:rFonts w:ascii="仿宋_GB2312" w:eastAsia="仿宋_GB2312"/>
          <w:sz w:val="32"/>
          <w:szCs w:val="32"/>
        </w:rPr>
      </w:pPr>
    </w:p>
    <w:p w:rsidR="00092652" w:rsidRDefault="00092652">
      <w:pPr>
        <w:jc w:val="center"/>
        <w:rPr>
          <w:rFonts w:ascii="仿宋_GB2312" w:eastAsia="仿宋_GB2312"/>
          <w:sz w:val="32"/>
          <w:szCs w:val="32"/>
        </w:rPr>
      </w:pPr>
    </w:p>
    <w:p w:rsidR="00092652" w:rsidRDefault="00092652">
      <w:pPr>
        <w:jc w:val="center"/>
        <w:rPr>
          <w:rFonts w:ascii="仿宋_GB2312" w:eastAsia="仿宋_GB2312"/>
          <w:sz w:val="32"/>
          <w:szCs w:val="32"/>
        </w:rPr>
      </w:pPr>
    </w:p>
    <w:p w:rsidR="00092652" w:rsidRDefault="00092652">
      <w:pPr>
        <w:jc w:val="center"/>
        <w:rPr>
          <w:rFonts w:ascii="仿宋_GB2312" w:eastAsia="仿宋_GB2312"/>
          <w:sz w:val="32"/>
          <w:szCs w:val="32"/>
        </w:rPr>
      </w:pPr>
    </w:p>
    <w:p w:rsidR="00092652" w:rsidRDefault="0039522B">
      <w:pPr>
        <w:jc w:val="center"/>
        <w:rPr>
          <w:rFonts w:ascii="仿宋_GB2312"/>
          <w:sz w:val="32"/>
          <w:szCs w:val="32"/>
        </w:rPr>
      </w:pPr>
      <w:r>
        <w:rPr>
          <w:rFonts w:ascii="仿宋_GB2312" w:eastAsia="仿宋_GB2312" w:hint="eastAsia"/>
          <w:sz w:val="32"/>
          <w:szCs w:val="32"/>
        </w:rPr>
        <w:t>2021年6月11日</w:t>
      </w:r>
    </w:p>
    <w:p w:rsidR="00092652" w:rsidRDefault="00092652">
      <w:pPr>
        <w:jc w:val="center"/>
        <w:rPr>
          <w:rFonts w:ascii="黑体" w:eastAsia="黑体"/>
          <w:sz w:val="36"/>
          <w:szCs w:val="36"/>
        </w:rPr>
      </w:pPr>
    </w:p>
    <w:p w:rsidR="00092652" w:rsidRDefault="00092652">
      <w:pPr>
        <w:spacing w:line="540" w:lineRule="exact"/>
        <w:jc w:val="center"/>
        <w:rPr>
          <w:rFonts w:ascii="黑体" w:eastAsia="黑体"/>
          <w:sz w:val="36"/>
          <w:szCs w:val="36"/>
        </w:rPr>
        <w:sectPr w:rsidR="00092652">
          <w:footerReference w:type="even" r:id="rId11"/>
          <w:footerReference w:type="default" r:id="rId12"/>
          <w:pgSz w:w="11906" w:h="16838"/>
          <w:pgMar w:top="1440" w:right="1610" w:bottom="1440" w:left="1800" w:header="851" w:footer="992" w:gutter="0"/>
          <w:cols w:space="720"/>
          <w:docGrid w:type="lines" w:linePitch="312"/>
        </w:sectPr>
      </w:pPr>
    </w:p>
    <w:p w:rsidR="00092652" w:rsidRDefault="0039522B">
      <w:pPr>
        <w:spacing w:line="540" w:lineRule="exact"/>
        <w:jc w:val="center"/>
        <w:rPr>
          <w:rFonts w:ascii="黑体" w:eastAsia="黑体"/>
          <w:sz w:val="36"/>
          <w:szCs w:val="36"/>
        </w:rPr>
      </w:pPr>
      <w:r>
        <w:rPr>
          <w:rFonts w:ascii="黑体" w:eastAsia="黑体" w:hint="eastAsia"/>
          <w:sz w:val="36"/>
          <w:szCs w:val="36"/>
        </w:rPr>
        <w:lastRenderedPageBreak/>
        <w:t>兴业银行股份有限公司</w:t>
      </w:r>
    </w:p>
    <w:p w:rsidR="00092652" w:rsidRDefault="0039522B">
      <w:pPr>
        <w:spacing w:line="540" w:lineRule="exact"/>
        <w:jc w:val="center"/>
        <w:rPr>
          <w:rFonts w:ascii="黑体" w:eastAsia="黑体"/>
          <w:sz w:val="36"/>
          <w:szCs w:val="36"/>
        </w:rPr>
      </w:pPr>
      <w:r>
        <w:rPr>
          <w:rFonts w:ascii="黑体" w:eastAsia="黑体" w:hint="eastAsia"/>
          <w:sz w:val="36"/>
          <w:szCs w:val="36"/>
        </w:rPr>
        <w:t>2020年年度股东大会议程</w:t>
      </w:r>
    </w:p>
    <w:p w:rsidR="00092652" w:rsidRDefault="0039522B">
      <w:pPr>
        <w:tabs>
          <w:tab w:val="left" w:pos="416"/>
          <w:tab w:val="left" w:pos="1086"/>
          <w:tab w:val="center" w:pos="4156"/>
        </w:tabs>
        <w:spacing w:line="500" w:lineRule="exact"/>
        <w:ind w:right="318"/>
        <w:rPr>
          <w:rFonts w:ascii="仿宋_GB2312" w:eastAsia="仿宋_GB2312"/>
          <w:sz w:val="28"/>
          <w:szCs w:val="28"/>
        </w:rPr>
      </w:pPr>
      <w:r>
        <w:rPr>
          <w:rFonts w:ascii="仿宋_GB2312" w:eastAsia="仿宋_GB2312" w:hint="eastAsia"/>
          <w:sz w:val="28"/>
          <w:szCs w:val="28"/>
        </w:rPr>
        <w:t>现场会议时间：2021年6月11日（上午9:00会议开始）</w:t>
      </w:r>
    </w:p>
    <w:p w:rsidR="00092652" w:rsidRDefault="0039522B">
      <w:pPr>
        <w:tabs>
          <w:tab w:val="left" w:pos="416"/>
          <w:tab w:val="left" w:pos="1086"/>
          <w:tab w:val="center" w:pos="4156"/>
        </w:tabs>
        <w:spacing w:line="500" w:lineRule="exact"/>
        <w:ind w:left="1960" w:right="318" w:hangingChars="700" w:hanging="1960"/>
        <w:rPr>
          <w:rFonts w:ascii="仿宋_GB2312" w:eastAsia="仿宋_GB2312"/>
          <w:sz w:val="28"/>
          <w:szCs w:val="28"/>
        </w:rPr>
      </w:pPr>
      <w:r>
        <w:rPr>
          <w:rFonts w:ascii="仿宋_GB2312" w:eastAsia="仿宋_GB2312" w:hint="eastAsia"/>
          <w:sz w:val="28"/>
          <w:szCs w:val="28"/>
        </w:rPr>
        <w:t>网络投票时间：采用上海证券交易所网络投票系统。通过交易系统投票平台的投票时间为6月11日</w:t>
      </w:r>
      <w:r>
        <w:rPr>
          <w:rFonts w:ascii="仿宋_GB2312" w:eastAsia="仿宋_GB2312"/>
          <w:sz w:val="28"/>
          <w:szCs w:val="28"/>
        </w:rPr>
        <w:t>9:15-9:25</w:t>
      </w:r>
      <w:r>
        <w:rPr>
          <w:rFonts w:ascii="仿宋_GB2312" w:eastAsia="仿宋_GB2312" w:hint="eastAsia"/>
          <w:sz w:val="28"/>
          <w:szCs w:val="28"/>
        </w:rPr>
        <w:t>，</w:t>
      </w:r>
      <w:r>
        <w:rPr>
          <w:rFonts w:ascii="仿宋_GB2312" w:eastAsia="仿宋_GB2312"/>
          <w:sz w:val="28"/>
          <w:szCs w:val="28"/>
        </w:rPr>
        <w:t>9:30-11:30</w:t>
      </w:r>
      <w:r>
        <w:rPr>
          <w:rFonts w:ascii="仿宋_GB2312" w:eastAsia="仿宋_GB2312" w:hint="eastAsia"/>
          <w:sz w:val="28"/>
          <w:szCs w:val="28"/>
        </w:rPr>
        <w:t>，</w:t>
      </w:r>
      <w:r>
        <w:rPr>
          <w:rFonts w:ascii="仿宋_GB2312" w:eastAsia="仿宋_GB2312"/>
          <w:sz w:val="28"/>
          <w:szCs w:val="28"/>
        </w:rPr>
        <w:t>13:00-15:00</w:t>
      </w:r>
      <w:r>
        <w:rPr>
          <w:rFonts w:ascii="仿宋_GB2312" w:eastAsia="仿宋_GB2312" w:hint="eastAsia"/>
          <w:sz w:val="28"/>
          <w:szCs w:val="28"/>
        </w:rPr>
        <w:t>；通过互联网投票平台的投票时间为6月11日</w:t>
      </w:r>
      <w:r>
        <w:rPr>
          <w:rFonts w:ascii="仿宋_GB2312" w:eastAsia="仿宋_GB2312"/>
          <w:sz w:val="28"/>
          <w:szCs w:val="28"/>
        </w:rPr>
        <w:t>9:15-15:00</w:t>
      </w:r>
      <w:r>
        <w:rPr>
          <w:rFonts w:ascii="仿宋_GB2312" w:eastAsia="仿宋_GB2312" w:hint="eastAsia"/>
          <w:sz w:val="28"/>
          <w:szCs w:val="28"/>
        </w:rPr>
        <w:t>。</w:t>
      </w:r>
    </w:p>
    <w:p w:rsidR="00092652" w:rsidRDefault="0039522B" w:rsidP="008C186B">
      <w:pPr>
        <w:tabs>
          <w:tab w:val="left" w:pos="416"/>
          <w:tab w:val="left" w:pos="1086"/>
          <w:tab w:val="center" w:pos="4156"/>
        </w:tabs>
        <w:spacing w:line="500" w:lineRule="exact"/>
        <w:ind w:left="1417" w:right="274" w:hangingChars="506" w:hanging="1417"/>
        <w:rPr>
          <w:rFonts w:asciiTheme="minorHAnsi" w:eastAsia="仿宋_GB2312" w:hAnsiTheme="minorHAnsi"/>
          <w:sz w:val="28"/>
          <w:szCs w:val="28"/>
        </w:rPr>
      </w:pPr>
      <w:r>
        <w:rPr>
          <w:rFonts w:ascii="仿宋_GB2312" w:eastAsia="仿宋_GB2312" w:hint="eastAsia"/>
          <w:sz w:val="28"/>
          <w:szCs w:val="28"/>
        </w:rPr>
        <w:t>会议地点：福州市湖东路154号中山大厦A座兴业银行总行三层会议室</w:t>
      </w:r>
    </w:p>
    <w:p w:rsidR="00092652" w:rsidRDefault="0039522B">
      <w:pPr>
        <w:tabs>
          <w:tab w:val="left" w:pos="416"/>
          <w:tab w:val="left" w:pos="1086"/>
          <w:tab w:val="center" w:pos="4156"/>
        </w:tabs>
        <w:spacing w:line="500" w:lineRule="exact"/>
        <w:ind w:right="318"/>
        <w:rPr>
          <w:rFonts w:ascii="仿宋_GB2312" w:eastAsia="仿宋_GB2312"/>
          <w:sz w:val="28"/>
          <w:szCs w:val="28"/>
        </w:rPr>
      </w:pPr>
      <w:r>
        <w:rPr>
          <w:rFonts w:ascii="仿宋_GB2312" w:eastAsia="仿宋_GB2312" w:hint="eastAsia"/>
          <w:sz w:val="28"/>
          <w:szCs w:val="28"/>
        </w:rPr>
        <w:t>主持人：陶以平</w:t>
      </w:r>
    </w:p>
    <w:p w:rsidR="00092652" w:rsidRDefault="0039522B">
      <w:pPr>
        <w:tabs>
          <w:tab w:val="left" w:pos="416"/>
          <w:tab w:val="left" w:pos="1086"/>
          <w:tab w:val="center" w:pos="4156"/>
        </w:tabs>
        <w:spacing w:line="500" w:lineRule="exact"/>
        <w:ind w:right="318"/>
        <w:rPr>
          <w:rFonts w:ascii="仿宋_GB2312" w:eastAsia="仿宋_GB2312"/>
          <w:sz w:val="28"/>
          <w:szCs w:val="28"/>
        </w:rPr>
      </w:pPr>
      <w:r>
        <w:rPr>
          <w:rFonts w:ascii="仿宋_GB2312" w:eastAsia="仿宋_GB2312" w:hint="eastAsia"/>
          <w:sz w:val="28"/>
          <w:szCs w:val="28"/>
        </w:rPr>
        <w:t>一、宣读股东大会注意事项</w:t>
      </w:r>
    </w:p>
    <w:p w:rsidR="00092652" w:rsidRDefault="0039522B">
      <w:pPr>
        <w:tabs>
          <w:tab w:val="left" w:pos="416"/>
          <w:tab w:val="left" w:pos="1086"/>
          <w:tab w:val="center" w:pos="4156"/>
        </w:tabs>
        <w:spacing w:line="500" w:lineRule="exact"/>
        <w:ind w:right="318"/>
        <w:rPr>
          <w:rFonts w:ascii="仿宋_GB2312" w:eastAsia="仿宋_GB2312"/>
          <w:sz w:val="28"/>
          <w:szCs w:val="28"/>
        </w:rPr>
      </w:pPr>
      <w:r>
        <w:rPr>
          <w:rFonts w:ascii="仿宋_GB2312" w:eastAsia="仿宋_GB2312" w:hint="eastAsia"/>
          <w:sz w:val="28"/>
          <w:szCs w:val="28"/>
        </w:rPr>
        <w:t>二、宣布会议开始</w:t>
      </w:r>
    </w:p>
    <w:p w:rsidR="00092652" w:rsidRDefault="0039522B">
      <w:pPr>
        <w:tabs>
          <w:tab w:val="left" w:pos="416"/>
          <w:tab w:val="left" w:pos="1086"/>
          <w:tab w:val="center" w:pos="4156"/>
        </w:tabs>
        <w:spacing w:line="500" w:lineRule="exact"/>
        <w:ind w:right="318"/>
        <w:rPr>
          <w:rFonts w:ascii="仿宋_GB2312" w:eastAsia="仿宋_GB2312"/>
          <w:sz w:val="28"/>
          <w:szCs w:val="28"/>
        </w:rPr>
      </w:pPr>
      <w:r>
        <w:rPr>
          <w:rFonts w:ascii="仿宋_GB2312" w:eastAsia="仿宋_GB2312" w:hint="eastAsia"/>
          <w:sz w:val="28"/>
          <w:szCs w:val="28"/>
        </w:rPr>
        <w:t>三、报告并审议议案</w:t>
      </w:r>
    </w:p>
    <w:p w:rsidR="00092652" w:rsidRDefault="0039522B">
      <w:pPr>
        <w:tabs>
          <w:tab w:val="left" w:pos="416"/>
          <w:tab w:val="left" w:pos="1086"/>
          <w:tab w:val="center" w:pos="4156"/>
        </w:tabs>
        <w:spacing w:line="520" w:lineRule="exact"/>
        <w:ind w:right="318"/>
        <w:rPr>
          <w:noProof/>
        </w:rPr>
      </w:pPr>
      <w:r>
        <w:rPr>
          <w:rFonts w:ascii="仿宋_GB2312" w:eastAsia="仿宋_GB2312" w:hint="eastAsia"/>
          <w:sz w:val="28"/>
          <w:szCs w:val="28"/>
        </w:rPr>
        <w:t>（一）审议事项</w:t>
      </w:r>
      <w:r w:rsidR="00FD2F9F">
        <w:rPr>
          <w:rFonts w:ascii="楷体_GB2312" w:eastAsia="楷体_GB2312" w:hint="eastAsia"/>
          <w:b/>
          <w:bCs/>
          <w:caps/>
          <w:color w:val="000000" w:themeColor="text1"/>
          <w:sz w:val="28"/>
          <w:szCs w:val="28"/>
          <w:highlight w:val="yellow"/>
        </w:rPr>
        <w:fldChar w:fldCharType="begin"/>
      </w:r>
      <w:r>
        <w:rPr>
          <w:rFonts w:ascii="楷体_GB2312" w:eastAsia="楷体_GB2312" w:hint="eastAsia"/>
          <w:color w:val="000000" w:themeColor="text1"/>
          <w:sz w:val="28"/>
          <w:szCs w:val="28"/>
          <w:highlight w:val="yellow"/>
        </w:rPr>
        <w:instrText xml:space="preserve"> TOC \o "1-3" \h \z \u </w:instrText>
      </w:r>
      <w:r w:rsidR="00FD2F9F">
        <w:rPr>
          <w:rFonts w:ascii="楷体_GB2312" w:eastAsia="楷体_GB2312" w:hint="eastAsia"/>
          <w:b/>
          <w:bCs/>
          <w:caps/>
          <w:color w:val="000000" w:themeColor="text1"/>
          <w:sz w:val="28"/>
          <w:szCs w:val="28"/>
          <w:highlight w:val="yellow"/>
        </w:rPr>
        <w:fldChar w:fldCharType="separate"/>
      </w:r>
    </w:p>
    <w:p w:rsidR="00092652" w:rsidRDefault="0039522B">
      <w:pPr>
        <w:pStyle w:val="10"/>
        <w:rPr>
          <w:rFonts w:hAnsiTheme="minorHAnsi" w:cstheme="minorBidi"/>
          <w:noProof/>
          <w:color w:val="000000" w:themeColor="text1"/>
          <w:sz w:val="21"/>
          <w:szCs w:val="22"/>
        </w:rPr>
      </w:pPr>
      <w:r>
        <w:rPr>
          <w:rStyle w:val="afe"/>
          <w:rFonts w:hint="eastAsia"/>
          <w:noProof/>
          <w:color w:val="000000" w:themeColor="text1"/>
          <w:u w:val="none"/>
        </w:rPr>
        <w:t>1、</w:t>
      </w:r>
      <w:hyperlink w:anchor="_Toc72437647" w:history="1">
        <w:r>
          <w:rPr>
            <w:rStyle w:val="afe"/>
            <w:rFonts w:hint="eastAsia"/>
            <w:noProof/>
            <w:color w:val="000000" w:themeColor="text1"/>
            <w:u w:val="none"/>
          </w:rPr>
          <w:t>2020年度董事会工作报告</w:t>
        </w:r>
        <w:r>
          <w:rPr>
            <w:rFonts w:hint="eastAsia"/>
            <w:noProof/>
            <w:color w:val="000000" w:themeColor="text1"/>
          </w:rPr>
          <w:tab/>
        </w:r>
        <w:r w:rsidR="00FD2F9F">
          <w:rPr>
            <w:rFonts w:hint="eastAsia"/>
            <w:noProof/>
            <w:color w:val="000000" w:themeColor="text1"/>
          </w:rPr>
          <w:fldChar w:fldCharType="begin"/>
        </w:r>
        <w:r>
          <w:rPr>
            <w:rFonts w:hint="eastAsia"/>
            <w:noProof/>
            <w:color w:val="000000" w:themeColor="text1"/>
          </w:rPr>
          <w:instrText xml:space="preserve"> PAGEREF _Toc72437647 \h </w:instrText>
        </w:r>
        <w:r w:rsidR="00FD2F9F">
          <w:rPr>
            <w:rFonts w:hint="eastAsia"/>
            <w:noProof/>
            <w:color w:val="000000" w:themeColor="text1"/>
          </w:rPr>
        </w:r>
        <w:r w:rsidR="00FD2F9F">
          <w:rPr>
            <w:rFonts w:hint="eastAsia"/>
            <w:noProof/>
            <w:color w:val="000000" w:themeColor="text1"/>
          </w:rPr>
          <w:fldChar w:fldCharType="separate"/>
        </w:r>
        <w:r w:rsidR="00D353E6">
          <w:rPr>
            <w:noProof/>
            <w:color w:val="000000" w:themeColor="text1"/>
          </w:rPr>
          <w:t>3</w:t>
        </w:r>
        <w:r w:rsidR="00FD2F9F">
          <w:rPr>
            <w:rFonts w:hint="eastAsia"/>
            <w:noProof/>
            <w:color w:val="000000" w:themeColor="text1"/>
          </w:rPr>
          <w:fldChar w:fldCharType="end"/>
        </w:r>
      </w:hyperlink>
    </w:p>
    <w:p w:rsidR="00092652" w:rsidRDefault="0039522B">
      <w:pPr>
        <w:pStyle w:val="10"/>
        <w:rPr>
          <w:rFonts w:hAnsiTheme="minorHAnsi" w:cstheme="minorBidi"/>
          <w:noProof/>
          <w:color w:val="000000" w:themeColor="text1"/>
          <w:sz w:val="21"/>
          <w:szCs w:val="22"/>
        </w:rPr>
      </w:pPr>
      <w:r>
        <w:rPr>
          <w:rStyle w:val="afe"/>
          <w:rFonts w:hint="eastAsia"/>
          <w:noProof/>
          <w:color w:val="000000" w:themeColor="text1"/>
          <w:u w:val="none"/>
        </w:rPr>
        <w:t>2、</w:t>
      </w:r>
      <w:hyperlink w:anchor="_Toc72437648" w:history="1">
        <w:r>
          <w:rPr>
            <w:rStyle w:val="afe"/>
            <w:rFonts w:hint="eastAsia"/>
            <w:noProof/>
            <w:color w:val="000000" w:themeColor="text1"/>
            <w:u w:val="none"/>
          </w:rPr>
          <w:t>2020年度监事会工作报告</w:t>
        </w:r>
        <w:r>
          <w:rPr>
            <w:rFonts w:hint="eastAsia"/>
            <w:noProof/>
            <w:color w:val="000000" w:themeColor="text1"/>
          </w:rPr>
          <w:tab/>
        </w:r>
        <w:r w:rsidR="00FD2F9F">
          <w:rPr>
            <w:rFonts w:hint="eastAsia"/>
            <w:noProof/>
            <w:color w:val="000000" w:themeColor="text1"/>
          </w:rPr>
          <w:fldChar w:fldCharType="begin"/>
        </w:r>
        <w:r>
          <w:rPr>
            <w:rFonts w:hint="eastAsia"/>
            <w:noProof/>
            <w:color w:val="000000" w:themeColor="text1"/>
          </w:rPr>
          <w:instrText xml:space="preserve"> PAGEREF _Toc72437648 \h </w:instrText>
        </w:r>
        <w:r w:rsidR="00FD2F9F">
          <w:rPr>
            <w:rFonts w:hint="eastAsia"/>
            <w:noProof/>
            <w:color w:val="000000" w:themeColor="text1"/>
          </w:rPr>
        </w:r>
        <w:r w:rsidR="00FD2F9F">
          <w:rPr>
            <w:rFonts w:hint="eastAsia"/>
            <w:noProof/>
            <w:color w:val="000000" w:themeColor="text1"/>
          </w:rPr>
          <w:fldChar w:fldCharType="separate"/>
        </w:r>
        <w:r w:rsidR="00D353E6">
          <w:rPr>
            <w:noProof/>
            <w:color w:val="000000" w:themeColor="text1"/>
          </w:rPr>
          <w:t>14</w:t>
        </w:r>
        <w:r w:rsidR="00FD2F9F">
          <w:rPr>
            <w:rFonts w:hint="eastAsia"/>
            <w:noProof/>
            <w:color w:val="000000" w:themeColor="text1"/>
          </w:rPr>
          <w:fldChar w:fldCharType="end"/>
        </w:r>
      </w:hyperlink>
    </w:p>
    <w:p w:rsidR="00092652" w:rsidRDefault="0039522B">
      <w:pPr>
        <w:pStyle w:val="10"/>
        <w:rPr>
          <w:rFonts w:hAnsiTheme="minorHAnsi" w:cstheme="minorBidi"/>
          <w:noProof/>
          <w:color w:val="000000" w:themeColor="text1"/>
          <w:sz w:val="21"/>
          <w:szCs w:val="22"/>
        </w:rPr>
      </w:pPr>
      <w:r>
        <w:rPr>
          <w:rStyle w:val="afe"/>
          <w:rFonts w:hint="eastAsia"/>
          <w:noProof/>
          <w:color w:val="000000" w:themeColor="text1"/>
          <w:u w:val="none"/>
        </w:rPr>
        <w:t>3、</w:t>
      </w:r>
      <w:hyperlink w:anchor="_Toc72437649" w:history="1">
        <w:r>
          <w:rPr>
            <w:rStyle w:val="afe"/>
            <w:rFonts w:hint="eastAsia"/>
            <w:noProof/>
            <w:color w:val="000000" w:themeColor="text1"/>
            <w:u w:val="none"/>
          </w:rPr>
          <w:t>2020年年度报告及摘要</w:t>
        </w:r>
        <w:r>
          <w:rPr>
            <w:rFonts w:hint="eastAsia"/>
            <w:noProof/>
            <w:color w:val="000000" w:themeColor="text1"/>
          </w:rPr>
          <w:tab/>
        </w:r>
        <w:r w:rsidR="00FD2F9F">
          <w:rPr>
            <w:rFonts w:hint="eastAsia"/>
            <w:noProof/>
            <w:color w:val="000000" w:themeColor="text1"/>
          </w:rPr>
          <w:fldChar w:fldCharType="begin"/>
        </w:r>
        <w:r>
          <w:rPr>
            <w:rFonts w:hint="eastAsia"/>
            <w:noProof/>
            <w:color w:val="000000" w:themeColor="text1"/>
          </w:rPr>
          <w:instrText xml:space="preserve"> PAGEREF _Toc72437649 \h </w:instrText>
        </w:r>
        <w:r w:rsidR="00FD2F9F">
          <w:rPr>
            <w:rFonts w:hint="eastAsia"/>
            <w:noProof/>
            <w:color w:val="000000" w:themeColor="text1"/>
          </w:rPr>
        </w:r>
        <w:r w:rsidR="00FD2F9F">
          <w:rPr>
            <w:rFonts w:hint="eastAsia"/>
            <w:noProof/>
            <w:color w:val="000000" w:themeColor="text1"/>
          </w:rPr>
          <w:fldChar w:fldCharType="separate"/>
        </w:r>
        <w:r w:rsidR="00D353E6">
          <w:rPr>
            <w:noProof/>
            <w:color w:val="000000" w:themeColor="text1"/>
          </w:rPr>
          <w:t>22</w:t>
        </w:r>
        <w:r w:rsidR="00FD2F9F">
          <w:rPr>
            <w:rFonts w:hint="eastAsia"/>
            <w:noProof/>
            <w:color w:val="000000" w:themeColor="text1"/>
          </w:rPr>
          <w:fldChar w:fldCharType="end"/>
        </w:r>
      </w:hyperlink>
    </w:p>
    <w:p w:rsidR="00092652" w:rsidRDefault="0039522B">
      <w:pPr>
        <w:pStyle w:val="10"/>
        <w:rPr>
          <w:rFonts w:hAnsiTheme="minorHAnsi" w:cstheme="minorBidi"/>
          <w:noProof/>
          <w:color w:val="000000" w:themeColor="text1"/>
          <w:sz w:val="21"/>
          <w:szCs w:val="22"/>
        </w:rPr>
      </w:pPr>
      <w:r>
        <w:rPr>
          <w:rStyle w:val="afe"/>
          <w:rFonts w:hint="eastAsia"/>
          <w:noProof/>
          <w:color w:val="000000" w:themeColor="text1"/>
          <w:u w:val="none"/>
        </w:rPr>
        <w:t>4、</w:t>
      </w:r>
      <w:hyperlink w:anchor="_Toc72437650" w:history="1">
        <w:r>
          <w:rPr>
            <w:rStyle w:val="afe"/>
            <w:rFonts w:hint="eastAsia"/>
            <w:noProof/>
            <w:color w:val="000000" w:themeColor="text1"/>
            <w:u w:val="none"/>
          </w:rPr>
          <w:t>2020年度财务决算报告及2021年度财务预算方案</w:t>
        </w:r>
        <w:r>
          <w:rPr>
            <w:rFonts w:hint="eastAsia"/>
            <w:noProof/>
            <w:color w:val="000000" w:themeColor="text1"/>
          </w:rPr>
          <w:tab/>
        </w:r>
        <w:r w:rsidR="00FD2F9F">
          <w:rPr>
            <w:rFonts w:hint="eastAsia"/>
            <w:noProof/>
            <w:color w:val="000000" w:themeColor="text1"/>
          </w:rPr>
          <w:fldChar w:fldCharType="begin"/>
        </w:r>
        <w:r>
          <w:rPr>
            <w:rFonts w:hint="eastAsia"/>
            <w:noProof/>
            <w:color w:val="000000" w:themeColor="text1"/>
          </w:rPr>
          <w:instrText xml:space="preserve"> PAGEREF _Toc72437650 \h </w:instrText>
        </w:r>
        <w:r w:rsidR="00FD2F9F">
          <w:rPr>
            <w:rFonts w:hint="eastAsia"/>
            <w:noProof/>
            <w:color w:val="000000" w:themeColor="text1"/>
          </w:rPr>
        </w:r>
        <w:r w:rsidR="00FD2F9F">
          <w:rPr>
            <w:rFonts w:hint="eastAsia"/>
            <w:noProof/>
            <w:color w:val="000000" w:themeColor="text1"/>
          </w:rPr>
          <w:fldChar w:fldCharType="separate"/>
        </w:r>
        <w:r w:rsidR="00D353E6">
          <w:rPr>
            <w:noProof/>
            <w:color w:val="000000" w:themeColor="text1"/>
          </w:rPr>
          <w:t>23</w:t>
        </w:r>
        <w:r w:rsidR="00FD2F9F">
          <w:rPr>
            <w:rFonts w:hint="eastAsia"/>
            <w:noProof/>
            <w:color w:val="000000" w:themeColor="text1"/>
          </w:rPr>
          <w:fldChar w:fldCharType="end"/>
        </w:r>
      </w:hyperlink>
    </w:p>
    <w:p w:rsidR="00092652" w:rsidRDefault="0039522B">
      <w:pPr>
        <w:pStyle w:val="10"/>
        <w:rPr>
          <w:rFonts w:hAnsiTheme="minorHAnsi" w:cstheme="minorBidi"/>
          <w:noProof/>
          <w:color w:val="000000" w:themeColor="text1"/>
          <w:sz w:val="21"/>
          <w:szCs w:val="22"/>
        </w:rPr>
      </w:pPr>
      <w:r>
        <w:rPr>
          <w:rStyle w:val="afe"/>
          <w:rFonts w:hint="eastAsia"/>
          <w:noProof/>
          <w:color w:val="000000" w:themeColor="text1"/>
          <w:u w:val="none"/>
        </w:rPr>
        <w:t>5、</w:t>
      </w:r>
      <w:hyperlink w:anchor="_Toc72437651" w:history="1">
        <w:r>
          <w:rPr>
            <w:rStyle w:val="afe"/>
            <w:rFonts w:hint="eastAsia"/>
            <w:noProof/>
            <w:color w:val="000000" w:themeColor="text1"/>
            <w:u w:val="none"/>
          </w:rPr>
          <w:t>2020年度利润分配预案</w:t>
        </w:r>
        <w:r>
          <w:rPr>
            <w:rFonts w:hint="eastAsia"/>
            <w:noProof/>
            <w:color w:val="000000" w:themeColor="text1"/>
          </w:rPr>
          <w:tab/>
        </w:r>
        <w:r w:rsidR="00FD2F9F">
          <w:rPr>
            <w:rFonts w:hint="eastAsia"/>
            <w:noProof/>
            <w:color w:val="000000" w:themeColor="text1"/>
          </w:rPr>
          <w:fldChar w:fldCharType="begin"/>
        </w:r>
        <w:r>
          <w:rPr>
            <w:rFonts w:hint="eastAsia"/>
            <w:noProof/>
            <w:color w:val="000000" w:themeColor="text1"/>
          </w:rPr>
          <w:instrText xml:space="preserve"> PAGEREF _Toc72437651 \h </w:instrText>
        </w:r>
        <w:r w:rsidR="00FD2F9F">
          <w:rPr>
            <w:rFonts w:hint="eastAsia"/>
            <w:noProof/>
            <w:color w:val="000000" w:themeColor="text1"/>
          </w:rPr>
        </w:r>
        <w:r w:rsidR="00FD2F9F">
          <w:rPr>
            <w:rFonts w:hint="eastAsia"/>
            <w:noProof/>
            <w:color w:val="000000" w:themeColor="text1"/>
          </w:rPr>
          <w:fldChar w:fldCharType="separate"/>
        </w:r>
        <w:r w:rsidR="00D353E6">
          <w:rPr>
            <w:noProof/>
            <w:color w:val="000000" w:themeColor="text1"/>
          </w:rPr>
          <w:t>26</w:t>
        </w:r>
        <w:r w:rsidR="00FD2F9F">
          <w:rPr>
            <w:rFonts w:hint="eastAsia"/>
            <w:noProof/>
            <w:color w:val="000000" w:themeColor="text1"/>
          </w:rPr>
          <w:fldChar w:fldCharType="end"/>
        </w:r>
      </w:hyperlink>
    </w:p>
    <w:p w:rsidR="00092652" w:rsidRDefault="0039522B">
      <w:pPr>
        <w:pStyle w:val="10"/>
        <w:rPr>
          <w:rFonts w:hAnsiTheme="minorHAnsi" w:cstheme="minorBidi"/>
          <w:noProof/>
          <w:color w:val="000000" w:themeColor="text1"/>
          <w:sz w:val="21"/>
          <w:szCs w:val="22"/>
        </w:rPr>
      </w:pPr>
      <w:r>
        <w:rPr>
          <w:rStyle w:val="afe"/>
          <w:rFonts w:hint="eastAsia"/>
          <w:noProof/>
          <w:color w:val="000000" w:themeColor="text1"/>
          <w:u w:val="none"/>
        </w:rPr>
        <w:t>6、</w:t>
      </w:r>
      <w:hyperlink w:anchor="_Toc72437652" w:history="1">
        <w:r>
          <w:rPr>
            <w:rStyle w:val="afe"/>
            <w:rFonts w:cs="黑体" w:hint="eastAsia"/>
            <w:noProof/>
            <w:color w:val="000000" w:themeColor="text1"/>
            <w:u w:val="none"/>
          </w:rPr>
          <w:t>关于发行减记型二级资本债券的议案</w:t>
        </w:r>
        <w:r>
          <w:rPr>
            <w:rFonts w:hint="eastAsia"/>
            <w:noProof/>
            <w:color w:val="000000" w:themeColor="text1"/>
          </w:rPr>
          <w:tab/>
        </w:r>
        <w:r w:rsidR="00FD2F9F">
          <w:rPr>
            <w:rFonts w:hint="eastAsia"/>
            <w:noProof/>
            <w:color w:val="000000" w:themeColor="text1"/>
          </w:rPr>
          <w:fldChar w:fldCharType="begin"/>
        </w:r>
        <w:r>
          <w:rPr>
            <w:rFonts w:hint="eastAsia"/>
            <w:noProof/>
            <w:color w:val="000000" w:themeColor="text1"/>
          </w:rPr>
          <w:instrText xml:space="preserve"> PAGEREF _Toc72437652 \h </w:instrText>
        </w:r>
        <w:r w:rsidR="00FD2F9F">
          <w:rPr>
            <w:rFonts w:hint="eastAsia"/>
            <w:noProof/>
            <w:color w:val="000000" w:themeColor="text1"/>
          </w:rPr>
        </w:r>
        <w:r w:rsidR="00FD2F9F">
          <w:rPr>
            <w:rFonts w:hint="eastAsia"/>
            <w:noProof/>
            <w:color w:val="000000" w:themeColor="text1"/>
          </w:rPr>
          <w:fldChar w:fldCharType="separate"/>
        </w:r>
        <w:r w:rsidR="00D353E6">
          <w:rPr>
            <w:noProof/>
            <w:color w:val="000000" w:themeColor="text1"/>
          </w:rPr>
          <w:t>28</w:t>
        </w:r>
        <w:r w:rsidR="00FD2F9F">
          <w:rPr>
            <w:rFonts w:hint="eastAsia"/>
            <w:noProof/>
            <w:color w:val="000000" w:themeColor="text1"/>
          </w:rPr>
          <w:fldChar w:fldCharType="end"/>
        </w:r>
      </w:hyperlink>
    </w:p>
    <w:p w:rsidR="00092652" w:rsidRDefault="0039522B">
      <w:pPr>
        <w:pStyle w:val="10"/>
        <w:rPr>
          <w:rFonts w:hAnsiTheme="minorHAnsi" w:cstheme="minorBidi"/>
          <w:noProof/>
          <w:color w:val="000000" w:themeColor="text1"/>
          <w:sz w:val="21"/>
          <w:szCs w:val="22"/>
        </w:rPr>
      </w:pPr>
      <w:r>
        <w:rPr>
          <w:rStyle w:val="afe"/>
          <w:rFonts w:hint="eastAsia"/>
          <w:noProof/>
          <w:color w:val="000000" w:themeColor="text1"/>
          <w:u w:val="none"/>
        </w:rPr>
        <w:t>7、</w:t>
      </w:r>
      <w:hyperlink w:anchor="_Toc72437653" w:history="1">
        <w:r>
          <w:rPr>
            <w:rStyle w:val="afe"/>
            <w:rFonts w:cs="黑体" w:hint="eastAsia"/>
            <w:noProof/>
            <w:color w:val="000000" w:themeColor="text1"/>
            <w:u w:val="none"/>
          </w:rPr>
          <w:t>关于发行金融债券的议案</w:t>
        </w:r>
        <w:r>
          <w:rPr>
            <w:rFonts w:hint="eastAsia"/>
            <w:noProof/>
            <w:color w:val="000000" w:themeColor="text1"/>
          </w:rPr>
          <w:tab/>
        </w:r>
        <w:r w:rsidR="00FD2F9F">
          <w:rPr>
            <w:rFonts w:hint="eastAsia"/>
            <w:noProof/>
            <w:color w:val="000000" w:themeColor="text1"/>
          </w:rPr>
          <w:fldChar w:fldCharType="begin"/>
        </w:r>
        <w:r>
          <w:rPr>
            <w:rFonts w:hint="eastAsia"/>
            <w:noProof/>
            <w:color w:val="000000" w:themeColor="text1"/>
          </w:rPr>
          <w:instrText xml:space="preserve"> PAGEREF _Toc72437653 \h </w:instrText>
        </w:r>
        <w:r w:rsidR="00FD2F9F">
          <w:rPr>
            <w:rFonts w:hint="eastAsia"/>
            <w:noProof/>
            <w:color w:val="000000" w:themeColor="text1"/>
          </w:rPr>
        </w:r>
        <w:r w:rsidR="00FD2F9F">
          <w:rPr>
            <w:rFonts w:hint="eastAsia"/>
            <w:noProof/>
            <w:color w:val="000000" w:themeColor="text1"/>
          </w:rPr>
          <w:fldChar w:fldCharType="separate"/>
        </w:r>
        <w:r w:rsidR="00D353E6">
          <w:rPr>
            <w:noProof/>
            <w:color w:val="000000" w:themeColor="text1"/>
          </w:rPr>
          <w:t>31</w:t>
        </w:r>
        <w:r w:rsidR="00FD2F9F">
          <w:rPr>
            <w:rFonts w:hint="eastAsia"/>
            <w:noProof/>
            <w:color w:val="000000" w:themeColor="text1"/>
          </w:rPr>
          <w:fldChar w:fldCharType="end"/>
        </w:r>
      </w:hyperlink>
    </w:p>
    <w:p w:rsidR="00092652" w:rsidRDefault="0039522B">
      <w:pPr>
        <w:pStyle w:val="10"/>
        <w:rPr>
          <w:rFonts w:hAnsiTheme="minorHAnsi" w:cstheme="minorBidi"/>
          <w:noProof/>
          <w:color w:val="000000" w:themeColor="text1"/>
          <w:sz w:val="21"/>
          <w:szCs w:val="22"/>
        </w:rPr>
      </w:pPr>
      <w:r>
        <w:rPr>
          <w:rStyle w:val="afe"/>
          <w:rFonts w:hint="eastAsia"/>
          <w:noProof/>
          <w:color w:val="000000" w:themeColor="text1"/>
          <w:u w:val="none"/>
        </w:rPr>
        <w:t>8、</w:t>
      </w:r>
      <w:hyperlink w:anchor="_Toc72437654" w:history="1">
        <w:r>
          <w:rPr>
            <w:rStyle w:val="afe"/>
            <w:rFonts w:hint="eastAsia"/>
            <w:noProof/>
            <w:color w:val="000000" w:themeColor="text1"/>
            <w:u w:val="none"/>
          </w:rPr>
          <w:t>关于聘请2021年度会计师事务所的议案</w:t>
        </w:r>
        <w:r>
          <w:rPr>
            <w:rFonts w:hint="eastAsia"/>
            <w:noProof/>
            <w:color w:val="000000" w:themeColor="text1"/>
          </w:rPr>
          <w:tab/>
        </w:r>
        <w:r w:rsidR="00FD2F9F">
          <w:rPr>
            <w:rFonts w:hint="eastAsia"/>
            <w:noProof/>
            <w:color w:val="000000" w:themeColor="text1"/>
          </w:rPr>
          <w:fldChar w:fldCharType="begin"/>
        </w:r>
        <w:r>
          <w:rPr>
            <w:rFonts w:hint="eastAsia"/>
            <w:noProof/>
            <w:color w:val="000000" w:themeColor="text1"/>
          </w:rPr>
          <w:instrText xml:space="preserve"> PAGEREF _Toc72437654 \h </w:instrText>
        </w:r>
        <w:r w:rsidR="00FD2F9F">
          <w:rPr>
            <w:rFonts w:hint="eastAsia"/>
            <w:noProof/>
            <w:color w:val="000000" w:themeColor="text1"/>
          </w:rPr>
        </w:r>
        <w:r w:rsidR="00FD2F9F">
          <w:rPr>
            <w:rFonts w:hint="eastAsia"/>
            <w:noProof/>
            <w:color w:val="000000" w:themeColor="text1"/>
          </w:rPr>
          <w:fldChar w:fldCharType="separate"/>
        </w:r>
        <w:r w:rsidR="00D353E6">
          <w:rPr>
            <w:noProof/>
            <w:color w:val="000000" w:themeColor="text1"/>
          </w:rPr>
          <w:t>34</w:t>
        </w:r>
        <w:r w:rsidR="00FD2F9F">
          <w:rPr>
            <w:rFonts w:hint="eastAsia"/>
            <w:noProof/>
            <w:color w:val="000000" w:themeColor="text1"/>
          </w:rPr>
          <w:fldChar w:fldCharType="end"/>
        </w:r>
      </w:hyperlink>
    </w:p>
    <w:p w:rsidR="00092652" w:rsidRDefault="0039522B">
      <w:pPr>
        <w:pStyle w:val="10"/>
        <w:rPr>
          <w:rFonts w:hAnsiTheme="minorHAnsi" w:cstheme="minorBidi"/>
          <w:noProof/>
          <w:color w:val="000000" w:themeColor="text1"/>
          <w:sz w:val="21"/>
          <w:szCs w:val="22"/>
        </w:rPr>
      </w:pPr>
      <w:r>
        <w:rPr>
          <w:rStyle w:val="afe"/>
          <w:rFonts w:hint="eastAsia"/>
          <w:noProof/>
          <w:color w:val="000000" w:themeColor="text1"/>
          <w:u w:val="none"/>
        </w:rPr>
        <w:t>9、</w:t>
      </w:r>
      <w:hyperlink w:anchor="_Toc72437655" w:history="1">
        <w:r>
          <w:rPr>
            <w:rStyle w:val="afe"/>
            <w:rFonts w:cs="黑体" w:hint="eastAsia"/>
            <w:noProof/>
            <w:color w:val="000000" w:themeColor="text1"/>
            <w:u w:val="none"/>
          </w:rPr>
          <w:t>关于中期资本管理规划（2021-2023年）的议案</w:t>
        </w:r>
        <w:r>
          <w:rPr>
            <w:rFonts w:hint="eastAsia"/>
            <w:noProof/>
            <w:color w:val="000000" w:themeColor="text1"/>
          </w:rPr>
          <w:tab/>
        </w:r>
        <w:r w:rsidR="00FD2F9F">
          <w:rPr>
            <w:rFonts w:hint="eastAsia"/>
            <w:noProof/>
            <w:color w:val="000000" w:themeColor="text1"/>
          </w:rPr>
          <w:fldChar w:fldCharType="begin"/>
        </w:r>
        <w:r>
          <w:rPr>
            <w:rFonts w:hint="eastAsia"/>
            <w:noProof/>
            <w:color w:val="000000" w:themeColor="text1"/>
          </w:rPr>
          <w:instrText xml:space="preserve"> PAGEREF _Toc72437655 \h </w:instrText>
        </w:r>
        <w:r w:rsidR="00FD2F9F">
          <w:rPr>
            <w:rFonts w:hint="eastAsia"/>
            <w:noProof/>
            <w:color w:val="000000" w:themeColor="text1"/>
          </w:rPr>
        </w:r>
        <w:r w:rsidR="00FD2F9F">
          <w:rPr>
            <w:rFonts w:hint="eastAsia"/>
            <w:noProof/>
            <w:color w:val="000000" w:themeColor="text1"/>
          </w:rPr>
          <w:fldChar w:fldCharType="separate"/>
        </w:r>
        <w:r w:rsidR="00D353E6">
          <w:rPr>
            <w:noProof/>
            <w:color w:val="000000" w:themeColor="text1"/>
          </w:rPr>
          <w:t>36</w:t>
        </w:r>
        <w:r w:rsidR="00FD2F9F">
          <w:rPr>
            <w:rFonts w:hint="eastAsia"/>
            <w:noProof/>
            <w:color w:val="000000" w:themeColor="text1"/>
          </w:rPr>
          <w:fldChar w:fldCharType="end"/>
        </w:r>
      </w:hyperlink>
    </w:p>
    <w:p w:rsidR="00092652" w:rsidRDefault="0039522B">
      <w:pPr>
        <w:pStyle w:val="10"/>
        <w:rPr>
          <w:rFonts w:hAnsiTheme="minorHAnsi" w:cstheme="minorBidi"/>
          <w:noProof/>
          <w:color w:val="000000" w:themeColor="text1"/>
          <w:sz w:val="21"/>
          <w:szCs w:val="22"/>
        </w:rPr>
      </w:pPr>
      <w:r>
        <w:rPr>
          <w:rStyle w:val="afe"/>
          <w:rFonts w:hint="eastAsia"/>
          <w:noProof/>
          <w:color w:val="000000" w:themeColor="text1"/>
          <w:u w:val="none"/>
        </w:rPr>
        <w:t>10、</w:t>
      </w:r>
      <w:hyperlink w:anchor="_Toc72437656" w:history="1">
        <w:r>
          <w:rPr>
            <w:rStyle w:val="afe"/>
            <w:rFonts w:cs="黑体" w:hint="eastAsia"/>
            <w:noProof/>
            <w:color w:val="000000" w:themeColor="text1"/>
            <w:u w:val="none"/>
          </w:rPr>
          <w:t>关于给予部分关联方关联交易额度的议案</w:t>
        </w:r>
        <w:r>
          <w:rPr>
            <w:rFonts w:hint="eastAsia"/>
            <w:noProof/>
            <w:color w:val="000000" w:themeColor="text1"/>
          </w:rPr>
          <w:tab/>
        </w:r>
        <w:r w:rsidR="00FD2F9F">
          <w:rPr>
            <w:rFonts w:hint="eastAsia"/>
            <w:noProof/>
            <w:color w:val="000000" w:themeColor="text1"/>
          </w:rPr>
          <w:fldChar w:fldCharType="begin"/>
        </w:r>
        <w:r>
          <w:rPr>
            <w:rFonts w:hint="eastAsia"/>
            <w:noProof/>
            <w:color w:val="000000" w:themeColor="text1"/>
          </w:rPr>
          <w:instrText xml:space="preserve"> PAGEREF _Toc72437656 \h </w:instrText>
        </w:r>
        <w:r w:rsidR="00FD2F9F">
          <w:rPr>
            <w:rFonts w:hint="eastAsia"/>
            <w:noProof/>
            <w:color w:val="000000" w:themeColor="text1"/>
          </w:rPr>
        </w:r>
        <w:r w:rsidR="00FD2F9F">
          <w:rPr>
            <w:rFonts w:hint="eastAsia"/>
            <w:noProof/>
            <w:color w:val="000000" w:themeColor="text1"/>
          </w:rPr>
          <w:fldChar w:fldCharType="separate"/>
        </w:r>
        <w:r w:rsidR="00D353E6">
          <w:rPr>
            <w:noProof/>
            <w:color w:val="000000" w:themeColor="text1"/>
          </w:rPr>
          <w:t>42</w:t>
        </w:r>
        <w:r w:rsidR="00FD2F9F">
          <w:rPr>
            <w:rFonts w:hint="eastAsia"/>
            <w:noProof/>
            <w:color w:val="000000" w:themeColor="text1"/>
          </w:rPr>
          <w:fldChar w:fldCharType="end"/>
        </w:r>
      </w:hyperlink>
    </w:p>
    <w:p w:rsidR="00092652" w:rsidRDefault="0039522B">
      <w:pPr>
        <w:pStyle w:val="10"/>
        <w:rPr>
          <w:rFonts w:hAnsiTheme="minorHAnsi" w:cstheme="minorBidi"/>
          <w:noProof/>
          <w:color w:val="000000" w:themeColor="text1"/>
          <w:sz w:val="21"/>
          <w:szCs w:val="22"/>
        </w:rPr>
      </w:pPr>
      <w:r>
        <w:rPr>
          <w:rStyle w:val="afe"/>
          <w:rFonts w:hint="eastAsia"/>
          <w:noProof/>
          <w:color w:val="000000" w:themeColor="text1"/>
          <w:u w:val="none"/>
        </w:rPr>
        <w:t>11、</w:t>
      </w:r>
      <w:hyperlink w:anchor="_Toc72437657" w:history="1">
        <w:r>
          <w:rPr>
            <w:rStyle w:val="afe"/>
            <w:rFonts w:cs="黑体" w:hint="eastAsia"/>
            <w:noProof/>
            <w:color w:val="000000" w:themeColor="text1"/>
            <w:kern w:val="44"/>
            <w:u w:val="none"/>
          </w:rPr>
          <w:t>关于选举第十届董事会董事的议案</w:t>
        </w:r>
        <w:r>
          <w:rPr>
            <w:rFonts w:hint="eastAsia"/>
            <w:noProof/>
            <w:color w:val="000000" w:themeColor="text1"/>
          </w:rPr>
          <w:tab/>
        </w:r>
        <w:r w:rsidR="00FD2F9F">
          <w:rPr>
            <w:rFonts w:hint="eastAsia"/>
            <w:noProof/>
            <w:color w:val="000000" w:themeColor="text1"/>
          </w:rPr>
          <w:fldChar w:fldCharType="begin"/>
        </w:r>
        <w:r>
          <w:rPr>
            <w:rFonts w:hint="eastAsia"/>
            <w:noProof/>
            <w:color w:val="000000" w:themeColor="text1"/>
          </w:rPr>
          <w:instrText xml:space="preserve"> PAGEREF _Toc72437657 \h </w:instrText>
        </w:r>
        <w:r w:rsidR="00FD2F9F">
          <w:rPr>
            <w:rFonts w:hint="eastAsia"/>
            <w:noProof/>
            <w:color w:val="000000" w:themeColor="text1"/>
          </w:rPr>
        </w:r>
        <w:r w:rsidR="00FD2F9F">
          <w:rPr>
            <w:rFonts w:hint="eastAsia"/>
            <w:noProof/>
            <w:color w:val="000000" w:themeColor="text1"/>
          </w:rPr>
          <w:fldChar w:fldCharType="separate"/>
        </w:r>
        <w:r w:rsidR="00D353E6">
          <w:rPr>
            <w:noProof/>
            <w:color w:val="000000" w:themeColor="text1"/>
          </w:rPr>
          <w:t>47</w:t>
        </w:r>
        <w:r w:rsidR="00FD2F9F">
          <w:rPr>
            <w:rFonts w:hint="eastAsia"/>
            <w:noProof/>
            <w:color w:val="000000" w:themeColor="text1"/>
          </w:rPr>
          <w:fldChar w:fldCharType="end"/>
        </w:r>
      </w:hyperlink>
    </w:p>
    <w:p w:rsidR="00092652" w:rsidRDefault="0039522B">
      <w:pPr>
        <w:pStyle w:val="10"/>
        <w:rPr>
          <w:rFonts w:hAnsiTheme="minorHAnsi" w:cstheme="minorBidi"/>
          <w:noProof/>
          <w:color w:val="000000" w:themeColor="text1"/>
          <w:sz w:val="21"/>
          <w:szCs w:val="22"/>
        </w:rPr>
      </w:pPr>
      <w:r>
        <w:rPr>
          <w:rStyle w:val="afe"/>
          <w:rFonts w:hint="eastAsia"/>
          <w:noProof/>
          <w:color w:val="000000" w:themeColor="text1"/>
          <w:u w:val="none"/>
        </w:rPr>
        <w:t>12、</w:t>
      </w:r>
      <w:hyperlink w:anchor="_Toc72437658" w:history="1">
        <w:r>
          <w:rPr>
            <w:rStyle w:val="afe"/>
            <w:rFonts w:hint="eastAsia"/>
            <w:noProof/>
            <w:color w:val="000000" w:themeColor="text1"/>
            <w:u w:val="none"/>
          </w:rPr>
          <w:t>关于选举第八届监事会股东监事和外部监事的议案</w:t>
        </w:r>
        <w:r>
          <w:rPr>
            <w:rFonts w:hint="eastAsia"/>
            <w:noProof/>
            <w:color w:val="000000" w:themeColor="text1"/>
          </w:rPr>
          <w:tab/>
        </w:r>
        <w:r w:rsidR="00FD2F9F">
          <w:rPr>
            <w:rFonts w:hint="eastAsia"/>
            <w:noProof/>
            <w:color w:val="000000" w:themeColor="text1"/>
          </w:rPr>
          <w:fldChar w:fldCharType="begin"/>
        </w:r>
        <w:r>
          <w:rPr>
            <w:rFonts w:hint="eastAsia"/>
            <w:noProof/>
            <w:color w:val="000000" w:themeColor="text1"/>
          </w:rPr>
          <w:instrText xml:space="preserve"> PAGEREF _Toc72437658 \h </w:instrText>
        </w:r>
        <w:r w:rsidR="00FD2F9F">
          <w:rPr>
            <w:rFonts w:hint="eastAsia"/>
            <w:noProof/>
            <w:color w:val="000000" w:themeColor="text1"/>
          </w:rPr>
        </w:r>
        <w:r w:rsidR="00FD2F9F">
          <w:rPr>
            <w:rFonts w:hint="eastAsia"/>
            <w:noProof/>
            <w:color w:val="000000" w:themeColor="text1"/>
          </w:rPr>
          <w:fldChar w:fldCharType="separate"/>
        </w:r>
        <w:r w:rsidR="00D353E6">
          <w:rPr>
            <w:noProof/>
            <w:color w:val="000000" w:themeColor="text1"/>
          </w:rPr>
          <w:t>52</w:t>
        </w:r>
        <w:r w:rsidR="00FD2F9F">
          <w:rPr>
            <w:rFonts w:hint="eastAsia"/>
            <w:noProof/>
            <w:color w:val="000000" w:themeColor="text1"/>
          </w:rPr>
          <w:fldChar w:fldCharType="end"/>
        </w:r>
      </w:hyperlink>
    </w:p>
    <w:p w:rsidR="00092652" w:rsidRDefault="0039522B">
      <w:pPr>
        <w:pStyle w:val="10"/>
        <w:rPr>
          <w:rFonts w:hAnsiTheme="minorHAnsi" w:cstheme="minorBidi"/>
          <w:noProof/>
          <w:color w:val="000000" w:themeColor="text1"/>
          <w:sz w:val="21"/>
          <w:szCs w:val="22"/>
        </w:rPr>
      </w:pPr>
      <w:r>
        <w:rPr>
          <w:rStyle w:val="afe"/>
          <w:rFonts w:hint="eastAsia"/>
          <w:noProof/>
          <w:color w:val="000000" w:themeColor="text1"/>
          <w:u w:val="none"/>
        </w:rPr>
        <w:t>13、</w:t>
      </w:r>
      <w:hyperlink w:anchor="_Toc72437659" w:history="1">
        <w:r>
          <w:rPr>
            <w:rStyle w:val="afe"/>
            <w:rFonts w:cs="黑体" w:hint="eastAsia"/>
            <w:noProof/>
            <w:color w:val="000000" w:themeColor="text1"/>
            <w:u w:val="none"/>
          </w:rPr>
          <w:t>关于公司符合公开发行A股可转换公司债券条件的议案</w:t>
        </w:r>
        <w:r>
          <w:rPr>
            <w:rFonts w:hint="eastAsia"/>
            <w:noProof/>
            <w:color w:val="000000" w:themeColor="text1"/>
          </w:rPr>
          <w:tab/>
        </w:r>
        <w:r w:rsidR="00FD2F9F">
          <w:rPr>
            <w:rFonts w:hint="eastAsia"/>
            <w:noProof/>
            <w:color w:val="000000" w:themeColor="text1"/>
          </w:rPr>
          <w:fldChar w:fldCharType="begin"/>
        </w:r>
        <w:r>
          <w:rPr>
            <w:rFonts w:hint="eastAsia"/>
            <w:noProof/>
            <w:color w:val="000000" w:themeColor="text1"/>
          </w:rPr>
          <w:instrText xml:space="preserve"> PAGEREF _Toc72437659 \h </w:instrText>
        </w:r>
        <w:r w:rsidR="00FD2F9F">
          <w:rPr>
            <w:rFonts w:hint="eastAsia"/>
            <w:noProof/>
            <w:color w:val="000000" w:themeColor="text1"/>
          </w:rPr>
        </w:r>
        <w:r w:rsidR="00FD2F9F">
          <w:rPr>
            <w:rFonts w:hint="eastAsia"/>
            <w:noProof/>
            <w:color w:val="000000" w:themeColor="text1"/>
          </w:rPr>
          <w:fldChar w:fldCharType="separate"/>
        </w:r>
        <w:r w:rsidR="00D353E6">
          <w:rPr>
            <w:noProof/>
            <w:color w:val="000000" w:themeColor="text1"/>
          </w:rPr>
          <w:t>55</w:t>
        </w:r>
        <w:r w:rsidR="00FD2F9F">
          <w:rPr>
            <w:rFonts w:hint="eastAsia"/>
            <w:noProof/>
            <w:color w:val="000000" w:themeColor="text1"/>
          </w:rPr>
          <w:fldChar w:fldCharType="end"/>
        </w:r>
      </w:hyperlink>
    </w:p>
    <w:p w:rsidR="00092652" w:rsidRDefault="0039522B">
      <w:pPr>
        <w:pStyle w:val="10"/>
        <w:rPr>
          <w:rFonts w:hAnsiTheme="minorHAnsi" w:cstheme="minorBidi"/>
          <w:noProof/>
          <w:color w:val="000000" w:themeColor="text1"/>
          <w:sz w:val="21"/>
          <w:szCs w:val="22"/>
        </w:rPr>
      </w:pPr>
      <w:r>
        <w:rPr>
          <w:rStyle w:val="afe"/>
          <w:rFonts w:hint="eastAsia"/>
          <w:noProof/>
          <w:color w:val="000000" w:themeColor="text1"/>
          <w:u w:val="none"/>
        </w:rPr>
        <w:lastRenderedPageBreak/>
        <w:t>14、</w:t>
      </w:r>
      <w:hyperlink w:anchor="_Toc72437660" w:history="1">
        <w:r>
          <w:rPr>
            <w:rStyle w:val="afe"/>
            <w:rFonts w:cs="黑体" w:hint="eastAsia"/>
            <w:noProof/>
            <w:color w:val="000000" w:themeColor="text1"/>
            <w:u w:val="none"/>
          </w:rPr>
          <w:t>关于公开发行A股可转换公司债券并上市方案的议案</w:t>
        </w:r>
        <w:r>
          <w:rPr>
            <w:rFonts w:hint="eastAsia"/>
            <w:noProof/>
            <w:color w:val="000000" w:themeColor="text1"/>
          </w:rPr>
          <w:tab/>
        </w:r>
        <w:r w:rsidR="00FD2F9F">
          <w:rPr>
            <w:rFonts w:hint="eastAsia"/>
            <w:noProof/>
            <w:color w:val="000000" w:themeColor="text1"/>
          </w:rPr>
          <w:fldChar w:fldCharType="begin"/>
        </w:r>
        <w:r>
          <w:rPr>
            <w:rFonts w:hint="eastAsia"/>
            <w:noProof/>
            <w:color w:val="000000" w:themeColor="text1"/>
          </w:rPr>
          <w:instrText xml:space="preserve"> PAGEREF _Toc72437660 \h </w:instrText>
        </w:r>
        <w:r w:rsidR="00FD2F9F">
          <w:rPr>
            <w:rFonts w:hint="eastAsia"/>
            <w:noProof/>
            <w:color w:val="000000" w:themeColor="text1"/>
          </w:rPr>
        </w:r>
        <w:r w:rsidR="00FD2F9F">
          <w:rPr>
            <w:rFonts w:hint="eastAsia"/>
            <w:noProof/>
            <w:color w:val="000000" w:themeColor="text1"/>
          </w:rPr>
          <w:fldChar w:fldCharType="separate"/>
        </w:r>
        <w:r w:rsidR="00D353E6">
          <w:rPr>
            <w:noProof/>
            <w:color w:val="000000" w:themeColor="text1"/>
          </w:rPr>
          <w:t>65</w:t>
        </w:r>
        <w:r w:rsidR="00FD2F9F">
          <w:rPr>
            <w:rFonts w:hint="eastAsia"/>
            <w:noProof/>
            <w:color w:val="000000" w:themeColor="text1"/>
          </w:rPr>
          <w:fldChar w:fldCharType="end"/>
        </w:r>
      </w:hyperlink>
    </w:p>
    <w:p w:rsidR="00092652" w:rsidRDefault="0039522B">
      <w:pPr>
        <w:pStyle w:val="10"/>
        <w:rPr>
          <w:rFonts w:hAnsiTheme="minorHAnsi" w:cstheme="minorBidi"/>
          <w:noProof/>
          <w:color w:val="000000" w:themeColor="text1"/>
          <w:sz w:val="21"/>
          <w:szCs w:val="22"/>
        </w:rPr>
      </w:pPr>
      <w:r>
        <w:rPr>
          <w:rStyle w:val="afe"/>
          <w:rFonts w:hint="eastAsia"/>
          <w:noProof/>
          <w:color w:val="000000" w:themeColor="text1"/>
          <w:u w:val="none"/>
        </w:rPr>
        <w:t>15、</w:t>
      </w:r>
      <w:hyperlink w:anchor="_Toc72437662" w:history="1">
        <w:r>
          <w:rPr>
            <w:rStyle w:val="afe"/>
            <w:rFonts w:cs="黑体" w:hint="eastAsia"/>
            <w:noProof/>
            <w:color w:val="000000" w:themeColor="text1"/>
            <w:u w:val="none"/>
          </w:rPr>
          <w:t>关于本次公开发行A股可转换公司债券募集资金使用可行性报告的议案</w:t>
        </w:r>
        <w:r>
          <w:rPr>
            <w:rFonts w:hint="eastAsia"/>
            <w:noProof/>
            <w:color w:val="000000" w:themeColor="text1"/>
          </w:rPr>
          <w:tab/>
        </w:r>
        <w:r w:rsidR="00FD2F9F">
          <w:rPr>
            <w:rFonts w:hint="eastAsia"/>
            <w:noProof/>
            <w:color w:val="000000" w:themeColor="text1"/>
          </w:rPr>
          <w:fldChar w:fldCharType="begin"/>
        </w:r>
        <w:r>
          <w:rPr>
            <w:rFonts w:hint="eastAsia"/>
            <w:noProof/>
            <w:color w:val="000000" w:themeColor="text1"/>
          </w:rPr>
          <w:instrText xml:space="preserve"> PAGEREF _Toc72437662 \h </w:instrText>
        </w:r>
        <w:r w:rsidR="00FD2F9F">
          <w:rPr>
            <w:rFonts w:hint="eastAsia"/>
            <w:noProof/>
            <w:color w:val="000000" w:themeColor="text1"/>
          </w:rPr>
        </w:r>
        <w:r w:rsidR="00FD2F9F">
          <w:rPr>
            <w:rFonts w:hint="eastAsia"/>
            <w:noProof/>
            <w:color w:val="000000" w:themeColor="text1"/>
          </w:rPr>
          <w:fldChar w:fldCharType="separate"/>
        </w:r>
        <w:r w:rsidR="00D353E6">
          <w:rPr>
            <w:noProof/>
            <w:color w:val="000000" w:themeColor="text1"/>
          </w:rPr>
          <w:t>78</w:t>
        </w:r>
        <w:r w:rsidR="00FD2F9F">
          <w:rPr>
            <w:rFonts w:hint="eastAsia"/>
            <w:noProof/>
            <w:color w:val="000000" w:themeColor="text1"/>
          </w:rPr>
          <w:fldChar w:fldCharType="end"/>
        </w:r>
      </w:hyperlink>
    </w:p>
    <w:p w:rsidR="00092652" w:rsidRDefault="0039522B">
      <w:pPr>
        <w:pStyle w:val="10"/>
        <w:rPr>
          <w:rFonts w:hAnsiTheme="minorHAnsi" w:cstheme="minorBidi"/>
          <w:noProof/>
          <w:color w:val="000000" w:themeColor="text1"/>
          <w:sz w:val="21"/>
          <w:szCs w:val="22"/>
        </w:rPr>
      </w:pPr>
      <w:r>
        <w:rPr>
          <w:rStyle w:val="afe"/>
          <w:rFonts w:hint="eastAsia"/>
          <w:noProof/>
          <w:color w:val="000000" w:themeColor="text1"/>
          <w:u w:val="none"/>
        </w:rPr>
        <w:t>16、</w:t>
      </w:r>
      <w:hyperlink w:anchor="_Toc72437663" w:history="1">
        <w:r>
          <w:rPr>
            <w:rStyle w:val="afe"/>
            <w:rFonts w:cs="黑体" w:hint="eastAsia"/>
            <w:noProof/>
            <w:color w:val="000000" w:themeColor="text1"/>
            <w:u w:val="none"/>
          </w:rPr>
          <w:t>关于前次募集资金使用情况报告的议案</w:t>
        </w:r>
        <w:r>
          <w:rPr>
            <w:rFonts w:hint="eastAsia"/>
            <w:noProof/>
            <w:color w:val="000000" w:themeColor="text1"/>
          </w:rPr>
          <w:tab/>
        </w:r>
        <w:r w:rsidR="00FD2F9F">
          <w:rPr>
            <w:rFonts w:hint="eastAsia"/>
            <w:noProof/>
            <w:color w:val="000000" w:themeColor="text1"/>
          </w:rPr>
          <w:fldChar w:fldCharType="begin"/>
        </w:r>
        <w:r>
          <w:rPr>
            <w:rFonts w:hint="eastAsia"/>
            <w:noProof/>
            <w:color w:val="000000" w:themeColor="text1"/>
          </w:rPr>
          <w:instrText xml:space="preserve"> PAGEREF _Toc72437663 \h </w:instrText>
        </w:r>
        <w:r w:rsidR="00FD2F9F">
          <w:rPr>
            <w:rFonts w:hint="eastAsia"/>
            <w:noProof/>
            <w:color w:val="000000" w:themeColor="text1"/>
          </w:rPr>
        </w:r>
        <w:r w:rsidR="00FD2F9F">
          <w:rPr>
            <w:rFonts w:hint="eastAsia"/>
            <w:noProof/>
            <w:color w:val="000000" w:themeColor="text1"/>
          </w:rPr>
          <w:fldChar w:fldCharType="separate"/>
        </w:r>
        <w:r w:rsidR="00D353E6">
          <w:rPr>
            <w:noProof/>
            <w:color w:val="000000" w:themeColor="text1"/>
          </w:rPr>
          <w:t>83</w:t>
        </w:r>
        <w:r w:rsidR="00FD2F9F">
          <w:rPr>
            <w:rFonts w:hint="eastAsia"/>
            <w:noProof/>
            <w:color w:val="000000" w:themeColor="text1"/>
          </w:rPr>
          <w:fldChar w:fldCharType="end"/>
        </w:r>
      </w:hyperlink>
    </w:p>
    <w:p w:rsidR="00092652" w:rsidRDefault="0039522B">
      <w:pPr>
        <w:pStyle w:val="10"/>
        <w:rPr>
          <w:rFonts w:hAnsiTheme="minorHAnsi" w:cstheme="minorBidi"/>
          <w:noProof/>
          <w:color w:val="000000" w:themeColor="text1"/>
          <w:sz w:val="21"/>
          <w:szCs w:val="22"/>
        </w:rPr>
      </w:pPr>
      <w:r>
        <w:rPr>
          <w:rStyle w:val="afe"/>
          <w:rFonts w:hint="eastAsia"/>
          <w:noProof/>
          <w:color w:val="000000" w:themeColor="text1"/>
          <w:u w:val="none"/>
        </w:rPr>
        <w:t>17、</w:t>
      </w:r>
      <w:hyperlink w:anchor="_Toc72437664" w:history="1">
        <w:r>
          <w:rPr>
            <w:rStyle w:val="afe"/>
            <w:rFonts w:cs="黑体" w:hint="eastAsia"/>
            <w:noProof/>
            <w:color w:val="000000" w:themeColor="text1"/>
            <w:u w:val="none"/>
          </w:rPr>
          <w:t>关于中期股东回报规划（2021-2023年）的议案</w:t>
        </w:r>
        <w:r>
          <w:rPr>
            <w:rFonts w:hint="eastAsia"/>
            <w:noProof/>
            <w:color w:val="000000" w:themeColor="text1"/>
          </w:rPr>
          <w:tab/>
        </w:r>
        <w:r w:rsidR="00FD2F9F">
          <w:rPr>
            <w:rFonts w:hint="eastAsia"/>
            <w:noProof/>
            <w:color w:val="000000" w:themeColor="text1"/>
          </w:rPr>
          <w:fldChar w:fldCharType="begin"/>
        </w:r>
        <w:r>
          <w:rPr>
            <w:rFonts w:hint="eastAsia"/>
            <w:noProof/>
            <w:color w:val="000000" w:themeColor="text1"/>
          </w:rPr>
          <w:instrText xml:space="preserve"> PAGEREF _Toc72437664 \h </w:instrText>
        </w:r>
        <w:r w:rsidR="00FD2F9F">
          <w:rPr>
            <w:rFonts w:hint="eastAsia"/>
            <w:noProof/>
            <w:color w:val="000000" w:themeColor="text1"/>
          </w:rPr>
        </w:r>
        <w:r w:rsidR="00FD2F9F">
          <w:rPr>
            <w:rFonts w:hint="eastAsia"/>
            <w:noProof/>
            <w:color w:val="000000" w:themeColor="text1"/>
          </w:rPr>
          <w:fldChar w:fldCharType="separate"/>
        </w:r>
        <w:r w:rsidR="00D353E6">
          <w:rPr>
            <w:noProof/>
            <w:color w:val="000000" w:themeColor="text1"/>
          </w:rPr>
          <w:t>94</w:t>
        </w:r>
        <w:r w:rsidR="00FD2F9F">
          <w:rPr>
            <w:rFonts w:hint="eastAsia"/>
            <w:noProof/>
            <w:color w:val="000000" w:themeColor="text1"/>
          </w:rPr>
          <w:fldChar w:fldCharType="end"/>
        </w:r>
      </w:hyperlink>
    </w:p>
    <w:p w:rsidR="00092652" w:rsidRDefault="0039522B">
      <w:pPr>
        <w:pStyle w:val="10"/>
        <w:rPr>
          <w:rFonts w:hAnsiTheme="minorHAnsi" w:cstheme="minorBidi"/>
          <w:noProof/>
          <w:color w:val="000000" w:themeColor="text1"/>
          <w:sz w:val="21"/>
          <w:szCs w:val="22"/>
        </w:rPr>
      </w:pPr>
      <w:r>
        <w:rPr>
          <w:rStyle w:val="afe"/>
          <w:rFonts w:hint="eastAsia"/>
          <w:noProof/>
          <w:color w:val="000000" w:themeColor="text1"/>
          <w:u w:val="none"/>
        </w:rPr>
        <w:t>18、</w:t>
      </w:r>
      <w:hyperlink w:anchor="_Toc72437665" w:history="1">
        <w:r>
          <w:rPr>
            <w:rStyle w:val="afe"/>
            <w:rFonts w:cs="黑体" w:hint="eastAsia"/>
            <w:noProof/>
            <w:color w:val="000000" w:themeColor="text1"/>
            <w:u w:val="none"/>
          </w:rPr>
          <w:t>关于公开发行A股可转换公司债券摊薄即期回报及填补措施的议案</w:t>
        </w:r>
        <w:r>
          <w:rPr>
            <w:rFonts w:hint="eastAsia"/>
            <w:noProof/>
            <w:color w:val="000000" w:themeColor="text1"/>
          </w:rPr>
          <w:tab/>
        </w:r>
        <w:r w:rsidR="00FD2F9F">
          <w:rPr>
            <w:rFonts w:hint="eastAsia"/>
            <w:noProof/>
            <w:color w:val="000000" w:themeColor="text1"/>
          </w:rPr>
          <w:fldChar w:fldCharType="begin"/>
        </w:r>
        <w:r>
          <w:rPr>
            <w:rFonts w:hint="eastAsia"/>
            <w:noProof/>
            <w:color w:val="000000" w:themeColor="text1"/>
          </w:rPr>
          <w:instrText xml:space="preserve"> PAGEREF _Toc72437665 \h </w:instrText>
        </w:r>
        <w:r w:rsidR="00FD2F9F">
          <w:rPr>
            <w:rFonts w:hint="eastAsia"/>
            <w:noProof/>
            <w:color w:val="000000" w:themeColor="text1"/>
          </w:rPr>
        </w:r>
        <w:r w:rsidR="00FD2F9F">
          <w:rPr>
            <w:rFonts w:hint="eastAsia"/>
            <w:noProof/>
            <w:color w:val="000000" w:themeColor="text1"/>
          </w:rPr>
          <w:fldChar w:fldCharType="separate"/>
        </w:r>
        <w:r w:rsidR="00D353E6">
          <w:rPr>
            <w:noProof/>
            <w:color w:val="000000" w:themeColor="text1"/>
          </w:rPr>
          <w:t>101</w:t>
        </w:r>
        <w:r w:rsidR="00FD2F9F">
          <w:rPr>
            <w:rFonts w:hint="eastAsia"/>
            <w:noProof/>
            <w:color w:val="000000" w:themeColor="text1"/>
          </w:rPr>
          <w:fldChar w:fldCharType="end"/>
        </w:r>
      </w:hyperlink>
    </w:p>
    <w:p w:rsidR="00092652" w:rsidRDefault="0039522B">
      <w:pPr>
        <w:pStyle w:val="10"/>
        <w:rPr>
          <w:rFonts w:hAnsiTheme="minorHAnsi" w:cstheme="minorBidi"/>
          <w:noProof/>
          <w:color w:val="000000" w:themeColor="text1"/>
          <w:sz w:val="21"/>
          <w:szCs w:val="22"/>
        </w:rPr>
      </w:pPr>
      <w:r>
        <w:rPr>
          <w:rStyle w:val="afe"/>
          <w:rFonts w:hint="eastAsia"/>
          <w:noProof/>
          <w:color w:val="000000" w:themeColor="text1"/>
          <w:u w:val="none"/>
        </w:rPr>
        <w:t>19、</w:t>
      </w:r>
      <w:hyperlink w:anchor="_Toc72437666" w:history="1">
        <w:r>
          <w:rPr>
            <w:rStyle w:val="afe"/>
            <w:rFonts w:cs="黑体" w:hint="eastAsia"/>
            <w:noProof/>
            <w:color w:val="000000" w:themeColor="text1"/>
            <w:u w:val="none"/>
          </w:rPr>
          <w:t>关于提请股东大会授权董事会及董事会授权人士处理本次公开发行A股可转换公司债券有关事宜的议案</w:t>
        </w:r>
        <w:r>
          <w:rPr>
            <w:rFonts w:hint="eastAsia"/>
            <w:noProof/>
            <w:color w:val="000000" w:themeColor="text1"/>
          </w:rPr>
          <w:tab/>
        </w:r>
        <w:r w:rsidR="00FD2F9F">
          <w:rPr>
            <w:rFonts w:hint="eastAsia"/>
            <w:noProof/>
            <w:color w:val="000000" w:themeColor="text1"/>
          </w:rPr>
          <w:fldChar w:fldCharType="begin"/>
        </w:r>
        <w:r>
          <w:rPr>
            <w:rFonts w:hint="eastAsia"/>
            <w:noProof/>
            <w:color w:val="000000" w:themeColor="text1"/>
          </w:rPr>
          <w:instrText xml:space="preserve"> PAGEREF _Toc72437666 \h </w:instrText>
        </w:r>
        <w:r w:rsidR="00FD2F9F">
          <w:rPr>
            <w:rFonts w:hint="eastAsia"/>
            <w:noProof/>
            <w:color w:val="000000" w:themeColor="text1"/>
          </w:rPr>
        </w:r>
        <w:r w:rsidR="00FD2F9F">
          <w:rPr>
            <w:rFonts w:hint="eastAsia"/>
            <w:noProof/>
            <w:color w:val="000000" w:themeColor="text1"/>
          </w:rPr>
          <w:fldChar w:fldCharType="separate"/>
        </w:r>
        <w:r w:rsidR="00D353E6">
          <w:rPr>
            <w:noProof/>
            <w:color w:val="000000" w:themeColor="text1"/>
          </w:rPr>
          <w:t>116</w:t>
        </w:r>
        <w:r w:rsidR="00FD2F9F">
          <w:rPr>
            <w:rFonts w:hint="eastAsia"/>
            <w:noProof/>
            <w:color w:val="000000" w:themeColor="text1"/>
          </w:rPr>
          <w:fldChar w:fldCharType="end"/>
        </w:r>
      </w:hyperlink>
    </w:p>
    <w:p w:rsidR="00092652" w:rsidRDefault="0039522B">
      <w:pPr>
        <w:pStyle w:val="10"/>
        <w:rPr>
          <w:rStyle w:val="afe"/>
          <w:noProof/>
          <w:color w:val="000000" w:themeColor="text1"/>
          <w:u w:val="none"/>
        </w:rPr>
      </w:pPr>
      <w:r>
        <w:rPr>
          <w:rStyle w:val="afe"/>
          <w:rFonts w:hint="eastAsia"/>
          <w:noProof/>
          <w:color w:val="000000" w:themeColor="text1"/>
          <w:u w:val="none"/>
        </w:rPr>
        <w:t>（二）听取事项</w:t>
      </w:r>
    </w:p>
    <w:p w:rsidR="00092652" w:rsidRDefault="0039522B">
      <w:pPr>
        <w:pStyle w:val="10"/>
        <w:rPr>
          <w:rFonts w:hAnsiTheme="minorHAnsi" w:cstheme="minorBidi"/>
          <w:noProof/>
          <w:color w:val="000000" w:themeColor="text1"/>
          <w:sz w:val="21"/>
          <w:szCs w:val="22"/>
        </w:rPr>
      </w:pPr>
      <w:r>
        <w:rPr>
          <w:rStyle w:val="afe"/>
          <w:rFonts w:hint="eastAsia"/>
          <w:noProof/>
          <w:color w:val="000000" w:themeColor="text1"/>
          <w:u w:val="none"/>
        </w:rPr>
        <w:t>20、</w:t>
      </w:r>
      <w:hyperlink w:anchor="_Toc72437667" w:history="1">
        <w:r>
          <w:rPr>
            <w:rStyle w:val="afe"/>
            <w:rFonts w:hint="eastAsia"/>
            <w:noProof/>
            <w:color w:val="000000" w:themeColor="text1"/>
            <w:u w:val="none"/>
          </w:rPr>
          <w:t>2020年度独立董事述职报告</w:t>
        </w:r>
        <w:r>
          <w:rPr>
            <w:rFonts w:hint="eastAsia"/>
            <w:noProof/>
            <w:color w:val="000000" w:themeColor="text1"/>
          </w:rPr>
          <w:tab/>
        </w:r>
        <w:r w:rsidR="00FD2F9F">
          <w:rPr>
            <w:rFonts w:hint="eastAsia"/>
            <w:noProof/>
            <w:color w:val="000000" w:themeColor="text1"/>
          </w:rPr>
          <w:fldChar w:fldCharType="begin"/>
        </w:r>
        <w:r>
          <w:rPr>
            <w:rFonts w:hint="eastAsia"/>
            <w:noProof/>
            <w:color w:val="000000" w:themeColor="text1"/>
          </w:rPr>
          <w:instrText xml:space="preserve"> PAGEREF _Toc72437667 \h </w:instrText>
        </w:r>
        <w:r w:rsidR="00FD2F9F">
          <w:rPr>
            <w:rFonts w:hint="eastAsia"/>
            <w:noProof/>
            <w:color w:val="000000" w:themeColor="text1"/>
          </w:rPr>
        </w:r>
        <w:r w:rsidR="00FD2F9F">
          <w:rPr>
            <w:rFonts w:hint="eastAsia"/>
            <w:noProof/>
            <w:color w:val="000000" w:themeColor="text1"/>
          </w:rPr>
          <w:fldChar w:fldCharType="separate"/>
        </w:r>
        <w:r w:rsidR="00D353E6">
          <w:rPr>
            <w:noProof/>
            <w:color w:val="000000" w:themeColor="text1"/>
          </w:rPr>
          <w:t>120</w:t>
        </w:r>
        <w:r w:rsidR="00FD2F9F">
          <w:rPr>
            <w:rFonts w:hint="eastAsia"/>
            <w:noProof/>
            <w:color w:val="000000" w:themeColor="text1"/>
          </w:rPr>
          <w:fldChar w:fldCharType="end"/>
        </w:r>
      </w:hyperlink>
    </w:p>
    <w:p w:rsidR="00092652" w:rsidRDefault="0039522B">
      <w:pPr>
        <w:pStyle w:val="10"/>
        <w:rPr>
          <w:rFonts w:hAnsiTheme="minorHAnsi" w:cstheme="minorBidi"/>
          <w:noProof/>
          <w:color w:val="000000" w:themeColor="text1"/>
          <w:sz w:val="21"/>
          <w:szCs w:val="22"/>
        </w:rPr>
      </w:pPr>
      <w:r>
        <w:rPr>
          <w:rStyle w:val="afe"/>
          <w:rFonts w:hint="eastAsia"/>
          <w:noProof/>
          <w:color w:val="000000" w:themeColor="text1"/>
          <w:u w:val="none"/>
        </w:rPr>
        <w:t>21、</w:t>
      </w:r>
      <w:hyperlink w:anchor="_Toc72437668" w:history="1">
        <w:r>
          <w:rPr>
            <w:rStyle w:val="afe"/>
            <w:rFonts w:hint="eastAsia"/>
            <w:noProof/>
            <w:color w:val="000000" w:themeColor="text1"/>
            <w:u w:val="none"/>
          </w:rPr>
          <w:t>2020年度监事履行职责情况的评价报告</w:t>
        </w:r>
        <w:r>
          <w:rPr>
            <w:rFonts w:hint="eastAsia"/>
            <w:noProof/>
            <w:color w:val="000000" w:themeColor="text1"/>
          </w:rPr>
          <w:tab/>
        </w:r>
        <w:r w:rsidR="00FD2F9F">
          <w:rPr>
            <w:rFonts w:hint="eastAsia"/>
            <w:noProof/>
            <w:color w:val="000000" w:themeColor="text1"/>
          </w:rPr>
          <w:fldChar w:fldCharType="begin"/>
        </w:r>
        <w:r>
          <w:rPr>
            <w:rFonts w:hint="eastAsia"/>
            <w:noProof/>
            <w:color w:val="000000" w:themeColor="text1"/>
          </w:rPr>
          <w:instrText xml:space="preserve"> PAGEREF _Toc72437668 \h </w:instrText>
        </w:r>
        <w:r w:rsidR="00FD2F9F">
          <w:rPr>
            <w:rFonts w:hint="eastAsia"/>
            <w:noProof/>
            <w:color w:val="000000" w:themeColor="text1"/>
          </w:rPr>
        </w:r>
        <w:r w:rsidR="00FD2F9F">
          <w:rPr>
            <w:rFonts w:hint="eastAsia"/>
            <w:noProof/>
            <w:color w:val="000000" w:themeColor="text1"/>
          </w:rPr>
          <w:fldChar w:fldCharType="separate"/>
        </w:r>
        <w:r w:rsidR="00D353E6">
          <w:rPr>
            <w:noProof/>
            <w:color w:val="000000" w:themeColor="text1"/>
          </w:rPr>
          <w:t>121</w:t>
        </w:r>
        <w:r w:rsidR="00FD2F9F">
          <w:rPr>
            <w:rFonts w:hint="eastAsia"/>
            <w:noProof/>
            <w:color w:val="000000" w:themeColor="text1"/>
          </w:rPr>
          <w:fldChar w:fldCharType="end"/>
        </w:r>
      </w:hyperlink>
    </w:p>
    <w:p w:rsidR="00092652" w:rsidRDefault="0039522B">
      <w:pPr>
        <w:pStyle w:val="10"/>
        <w:rPr>
          <w:rFonts w:hAnsiTheme="minorHAnsi" w:cstheme="minorBidi"/>
          <w:noProof/>
          <w:color w:val="000000" w:themeColor="text1"/>
          <w:sz w:val="21"/>
          <w:szCs w:val="22"/>
        </w:rPr>
      </w:pPr>
      <w:r>
        <w:rPr>
          <w:rStyle w:val="afe"/>
          <w:rFonts w:hint="eastAsia"/>
          <w:noProof/>
          <w:color w:val="000000" w:themeColor="text1"/>
          <w:u w:val="none"/>
        </w:rPr>
        <w:t>22、</w:t>
      </w:r>
      <w:hyperlink w:anchor="_Toc72437669" w:history="1">
        <w:r>
          <w:rPr>
            <w:rStyle w:val="afe"/>
            <w:rFonts w:hint="eastAsia"/>
            <w:noProof/>
            <w:color w:val="000000" w:themeColor="text1"/>
            <w:u w:val="none"/>
          </w:rPr>
          <w:t>2020年度监事会对董事和高级管理人员的履职评价报告</w:t>
        </w:r>
        <w:r>
          <w:rPr>
            <w:rFonts w:hint="eastAsia"/>
            <w:noProof/>
            <w:color w:val="000000" w:themeColor="text1"/>
          </w:rPr>
          <w:tab/>
        </w:r>
        <w:r w:rsidR="00FD2F9F">
          <w:rPr>
            <w:rFonts w:hint="eastAsia"/>
            <w:noProof/>
            <w:color w:val="000000" w:themeColor="text1"/>
          </w:rPr>
          <w:fldChar w:fldCharType="begin"/>
        </w:r>
        <w:r>
          <w:rPr>
            <w:rFonts w:hint="eastAsia"/>
            <w:noProof/>
            <w:color w:val="000000" w:themeColor="text1"/>
          </w:rPr>
          <w:instrText xml:space="preserve"> PAGEREF _Toc72437669 \h </w:instrText>
        </w:r>
        <w:r w:rsidR="00FD2F9F">
          <w:rPr>
            <w:rFonts w:hint="eastAsia"/>
            <w:noProof/>
            <w:color w:val="000000" w:themeColor="text1"/>
          </w:rPr>
        </w:r>
        <w:r w:rsidR="00FD2F9F">
          <w:rPr>
            <w:rFonts w:hint="eastAsia"/>
            <w:noProof/>
            <w:color w:val="000000" w:themeColor="text1"/>
          </w:rPr>
          <w:fldChar w:fldCharType="separate"/>
        </w:r>
        <w:r w:rsidR="00D353E6">
          <w:rPr>
            <w:noProof/>
            <w:color w:val="000000" w:themeColor="text1"/>
          </w:rPr>
          <w:t>127</w:t>
        </w:r>
        <w:r w:rsidR="00FD2F9F">
          <w:rPr>
            <w:rFonts w:hint="eastAsia"/>
            <w:noProof/>
            <w:color w:val="000000" w:themeColor="text1"/>
          </w:rPr>
          <w:fldChar w:fldCharType="end"/>
        </w:r>
      </w:hyperlink>
    </w:p>
    <w:p w:rsidR="00092652" w:rsidRDefault="0039522B">
      <w:pPr>
        <w:pStyle w:val="10"/>
        <w:rPr>
          <w:rFonts w:hAnsiTheme="minorHAnsi" w:cstheme="minorBidi"/>
          <w:noProof/>
          <w:color w:val="000000" w:themeColor="text1"/>
          <w:sz w:val="21"/>
          <w:szCs w:val="22"/>
        </w:rPr>
      </w:pPr>
      <w:r>
        <w:rPr>
          <w:rStyle w:val="afe"/>
          <w:rFonts w:hint="eastAsia"/>
          <w:noProof/>
          <w:color w:val="000000" w:themeColor="text1"/>
          <w:u w:val="none"/>
        </w:rPr>
        <w:t>23、</w:t>
      </w:r>
      <w:hyperlink w:anchor="_Toc72437670" w:history="1">
        <w:r>
          <w:rPr>
            <w:rStyle w:val="afe"/>
            <w:rFonts w:hint="eastAsia"/>
            <w:noProof/>
            <w:color w:val="000000" w:themeColor="text1"/>
            <w:u w:val="none"/>
          </w:rPr>
          <w:t>2020年度关联交易情况报告</w:t>
        </w:r>
        <w:r>
          <w:rPr>
            <w:rFonts w:hint="eastAsia"/>
            <w:noProof/>
            <w:color w:val="000000" w:themeColor="text1"/>
          </w:rPr>
          <w:tab/>
        </w:r>
        <w:r w:rsidR="00FD2F9F">
          <w:rPr>
            <w:rFonts w:hint="eastAsia"/>
            <w:noProof/>
            <w:color w:val="000000" w:themeColor="text1"/>
          </w:rPr>
          <w:fldChar w:fldCharType="begin"/>
        </w:r>
        <w:r>
          <w:rPr>
            <w:rFonts w:hint="eastAsia"/>
            <w:noProof/>
            <w:color w:val="000000" w:themeColor="text1"/>
          </w:rPr>
          <w:instrText xml:space="preserve"> PAGEREF _Toc72437670 \h </w:instrText>
        </w:r>
        <w:r w:rsidR="00FD2F9F">
          <w:rPr>
            <w:rFonts w:hint="eastAsia"/>
            <w:noProof/>
            <w:color w:val="000000" w:themeColor="text1"/>
          </w:rPr>
        </w:r>
        <w:r w:rsidR="00FD2F9F">
          <w:rPr>
            <w:rFonts w:hint="eastAsia"/>
            <w:noProof/>
            <w:color w:val="000000" w:themeColor="text1"/>
          </w:rPr>
          <w:fldChar w:fldCharType="separate"/>
        </w:r>
        <w:r w:rsidR="00D353E6">
          <w:rPr>
            <w:noProof/>
            <w:color w:val="000000" w:themeColor="text1"/>
          </w:rPr>
          <w:t>134</w:t>
        </w:r>
        <w:r w:rsidR="00FD2F9F">
          <w:rPr>
            <w:rFonts w:hint="eastAsia"/>
            <w:noProof/>
            <w:color w:val="000000" w:themeColor="text1"/>
          </w:rPr>
          <w:fldChar w:fldCharType="end"/>
        </w:r>
      </w:hyperlink>
    </w:p>
    <w:p w:rsidR="00092652" w:rsidRDefault="00FD2F9F">
      <w:pPr>
        <w:pStyle w:val="10"/>
        <w:ind w:right="318"/>
        <w:rPr>
          <w:rFonts w:ascii="仿宋_GB2312" w:eastAsia="仿宋_GB2312"/>
        </w:rPr>
      </w:pPr>
      <w:r>
        <w:rPr>
          <w:rFonts w:hint="eastAsia"/>
          <w:color w:val="000000" w:themeColor="text1"/>
          <w:highlight w:val="yellow"/>
        </w:rPr>
        <w:fldChar w:fldCharType="end"/>
      </w:r>
      <w:r w:rsidR="0039522B">
        <w:rPr>
          <w:rFonts w:ascii="仿宋_GB2312" w:eastAsia="仿宋_GB2312" w:hint="eastAsia"/>
        </w:rPr>
        <w:t>四、集中回答股东提问</w:t>
      </w:r>
    </w:p>
    <w:p w:rsidR="00092652" w:rsidRDefault="0039522B">
      <w:pPr>
        <w:tabs>
          <w:tab w:val="left" w:pos="416"/>
          <w:tab w:val="left" w:pos="1086"/>
          <w:tab w:val="center" w:pos="4156"/>
        </w:tabs>
        <w:spacing w:line="500" w:lineRule="exact"/>
        <w:ind w:right="318"/>
        <w:rPr>
          <w:rFonts w:ascii="仿宋_GB2312" w:eastAsia="仿宋_GB2312"/>
          <w:sz w:val="28"/>
          <w:szCs w:val="28"/>
        </w:rPr>
      </w:pPr>
      <w:r>
        <w:rPr>
          <w:rFonts w:ascii="仿宋_GB2312" w:eastAsia="仿宋_GB2312" w:hint="eastAsia"/>
          <w:sz w:val="28"/>
          <w:szCs w:val="28"/>
        </w:rPr>
        <w:t>五、议案表决</w:t>
      </w:r>
    </w:p>
    <w:p w:rsidR="00092652" w:rsidRDefault="00092652">
      <w:pPr>
        <w:widowControl/>
        <w:spacing w:line="520" w:lineRule="exact"/>
        <w:jc w:val="left"/>
        <w:rPr>
          <w:rFonts w:ascii="黑体" w:eastAsia="黑体"/>
          <w:sz w:val="32"/>
          <w:szCs w:val="32"/>
        </w:rPr>
        <w:sectPr w:rsidR="00092652">
          <w:pgSz w:w="11906" w:h="16838"/>
          <w:pgMar w:top="1440" w:right="1610" w:bottom="1440" w:left="1800" w:header="851" w:footer="992" w:gutter="0"/>
          <w:cols w:space="720"/>
          <w:docGrid w:type="lines" w:linePitch="312"/>
        </w:sectPr>
      </w:pPr>
    </w:p>
    <w:p w:rsidR="00092652" w:rsidRDefault="0039522B">
      <w:pPr>
        <w:tabs>
          <w:tab w:val="left" w:pos="416"/>
          <w:tab w:val="left" w:pos="1086"/>
          <w:tab w:val="center" w:pos="4156"/>
        </w:tabs>
        <w:spacing w:line="500" w:lineRule="exact"/>
        <w:ind w:right="318"/>
        <w:jc w:val="center"/>
        <w:rPr>
          <w:rFonts w:ascii="黑体" w:eastAsia="黑体"/>
          <w:sz w:val="32"/>
          <w:szCs w:val="32"/>
        </w:rPr>
      </w:pPr>
      <w:r>
        <w:rPr>
          <w:rFonts w:ascii="黑体" w:eastAsia="黑体" w:hint="eastAsia"/>
          <w:sz w:val="32"/>
          <w:szCs w:val="32"/>
        </w:rPr>
        <w:lastRenderedPageBreak/>
        <w:t>兴业银行股份有限公司</w:t>
      </w:r>
    </w:p>
    <w:p w:rsidR="00092652" w:rsidRDefault="0039522B">
      <w:pPr>
        <w:tabs>
          <w:tab w:val="left" w:pos="416"/>
          <w:tab w:val="left" w:pos="1086"/>
          <w:tab w:val="center" w:pos="4156"/>
        </w:tabs>
        <w:spacing w:line="500" w:lineRule="exact"/>
        <w:ind w:right="318"/>
        <w:jc w:val="center"/>
        <w:rPr>
          <w:rFonts w:ascii="黑体" w:eastAsia="黑体"/>
          <w:sz w:val="32"/>
          <w:szCs w:val="32"/>
        </w:rPr>
      </w:pPr>
      <w:r>
        <w:rPr>
          <w:rFonts w:ascii="黑体" w:eastAsia="黑体" w:hint="eastAsia"/>
          <w:sz w:val="32"/>
          <w:szCs w:val="32"/>
        </w:rPr>
        <w:t>2020年年度股东大会会议须知</w:t>
      </w:r>
    </w:p>
    <w:p w:rsidR="00092652" w:rsidRDefault="00092652">
      <w:pPr>
        <w:tabs>
          <w:tab w:val="left" w:pos="416"/>
          <w:tab w:val="left" w:pos="1086"/>
          <w:tab w:val="center" w:pos="4156"/>
        </w:tabs>
        <w:spacing w:line="500" w:lineRule="exact"/>
        <w:ind w:right="318"/>
        <w:jc w:val="center"/>
        <w:rPr>
          <w:rFonts w:ascii="黑体" w:eastAsia="黑体"/>
          <w:sz w:val="32"/>
          <w:szCs w:val="32"/>
        </w:rPr>
      </w:pPr>
    </w:p>
    <w:p w:rsidR="00092652" w:rsidRDefault="0039522B">
      <w:pPr>
        <w:tabs>
          <w:tab w:val="left" w:pos="416"/>
          <w:tab w:val="left" w:pos="1086"/>
          <w:tab w:val="center" w:pos="4156"/>
        </w:tabs>
        <w:spacing w:line="500" w:lineRule="exact"/>
        <w:rPr>
          <w:rFonts w:ascii="仿宋_GB2312" w:eastAsia="仿宋_GB2312"/>
          <w:sz w:val="30"/>
          <w:szCs w:val="28"/>
        </w:rPr>
      </w:pPr>
      <w:r>
        <w:rPr>
          <w:rFonts w:ascii="仿宋_GB2312" w:eastAsia="仿宋_GB2312" w:hint="eastAsia"/>
          <w:sz w:val="30"/>
          <w:szCs w:val="32"/>
        </w:rPr>
        <w:t xml:space="preserve">　　</w:t>
      </w:r>
      <w:r>
        <w:rPr>
          <w:rFonts w:ascii="仿宋_GB2312" w:eastAsia="仿宋_GB2312" w:hint="eastAsia"/>
          <w:sz w:val="30"/>
          <w:szCs w:val="28"/>
        </w:rPr>
        <w:t>为维护全体股东的合法权益，确保股东大会的正常秩序和议事效率，保证大会的顺利召开，根据中国证监会《上市公司股东大会规则》、公司章程和公司股东大会议事规则等规定，特制定本须知。</w:t>
      </w:r>
    </w:p>
    <w:p w:rsidR="00092652" w:rsidRDefault="0039522B">
      <w:pPr>
        <w:tabs>
          <w:tab w:val="left" w:pos="416"/>
          <w:tab w:val="left" w:pos="1086"/>
          <w:tab w:val="center" w:pos="4156"/>
        </w:tabs>
        <w:spacing w:line="500" w:lineRule="exact"/>
        <w:ind w:firstLineChars="200" w:firstLine="600"/>
        <w:rPr>
          <w:rFonts w:ascii="仿宋_GB2312" w:eastAsia="仿宋_GB2312"/>
          <w:sz w:val="30"/>
          <w:szCs w:val="28"/>
        </w:rPr>
      </w:pPr>
      <w:r>
        <w:rPr>
          <w:rFonts w:ascii="仿宋_GB2312" w:eastAsia="仿宋_GB2312" w:hint="eastAsia"/>
          <w:sz w:val="30"/>
          <w:szCs w:val="28"/>
        </w:rPr>
        <w:t>一、本公司根据《公司法》《证券法》《上市公司股东大会规则》和公司章程的规定，认真做好召开股东大会的各项工作。</w:t>
      </w:r>
    </w:p>
    <w:p w:rsidR="00092652" w:rsidRDefault="0039522B">
      <w:pPr>
        <w:tabs>
          <w:tab w:val="left" w:pos="416"/>
          <w:tab w:val="left" w:pos="1086"/>
          <w:tab w:val="center" w:pos="4156"/>
        </w:tabs>
        <w:spacing w:line="500" w:lineRule="exact"/>
        <w:ind w:firstLineChars="200" w:firstLine="600"/>
        <w:rPr>
          <w:rFonts w:ascii="仿宋_GB2312" w:eastAsia="仿宋_GB2312"/>
          <w:sz w:val="30"/>
          <w:szCs w:val="28"/>
        </w:rPr>
      </w:pPr>
      <w:r>
        <w:rPr>
          <w:rFonts w:ascii="仿宋_GB2312" w:eastAsia="仿宋_GB2312" w:hint="eastAsia"/>
          <w:sz w:val="30"/>
          <w:szCs w:val="28"/>
        </w:rPr>
        <w:t>二、本公司设大会秘书处，具体负责大会有关程序方面的事宜。</w:t>
      </w:r>
    </w:p>
    <w:p w:rsidR="00092652" w:rsidRDefault="0039522B">
      <w:pPr>
        <w:tabs>
          <w:tab w:val="left" w:pos="416"/>
          <w:tab w:val="left" w:pos="1086"/>
          <w:tab w:val="center" w:pos="4156"/>
        </w:tabs>
        <w:spacing w:line="500" w:lineRule="exact"/>
        <w:ind w:firstLineChars="200" w:firstLine="600"/>
        <w:rPr>
          <w:rFonts w:ascii="仿宋_GB2312" w:eastAsia="仿宋_GB2312"/>
          <w:sz w:val="30"/>
          <w:szCs w:val="28"/>
        </w:rPr>
      </w:pPr>
      <w:r>
        <w:rPr>
          <w:rFonts w:ascii="仿宋_GB2312" w:eastAsia="仿宋_GB2312" w:hint="eastAsia"/>
          <w:sz w:val="30"/>
          <w:szCs w:val="28"/>
        </w:rPr>
        <w:t>三、股东参加股东大会依法享有发言权、质询权、表决权等权利。</w:t>
      </w:r>
    </w:p>
    <w:p w:rsidR="00092652" w:rsidRDefault="0039522B">
      <w:pPr>
        <w:tabs>
          <w:tab w:val="left" w:pos="416"/>
          <w:tab w:val="left" w:pos="1086"/>
          <w:tab w:val="center" w:pos="4156"/>
        </w:tabs>
        <w:spacing w:line="500" w:lineRule="exact"/>
        <w:ind w:firstLineChars="200" w:firstLine="600"/>
        <w:rPr>
          <w:rFonts w:ascii="仿宋_GB2312" w:eastAsia="仿宋_GB2312"/>
          <w:sz w:val="30"/>
          <w:szCs w:val="28"/>
        </w:rPr>
      </w:pPr>
      <w:r>
        <w:rPr>
          <w:rFonts w:ascii="仿宋_GB2312" w:eastAsia="仿宋_GB2312" w:hint="eastAsia"/>
          <w:sz w:val="30"/>
          <w:szCs w:val="28"/>
        </w:rPr>
        <w:t>四、股东要求发言或质询的，应当自股权登记日（</w:t>
      </w:r>
      <w:r>
        <w:rPr>
          <w:rFonts w:ascii="仿宋_GB2312" w:eastAsia="仿宋_GB2312"/>
          <w:sz w:val="30"/>
          <w:szCs w:val="28"/>
        </w:rPr>
        <w:t>202</w:t>
      </w:r>
      <w:r>
        <w:rPr>
          <w:rFonts w:ascii="仿宋_GB2312" w:eastAsia="仿宋_GB2312" w:hint="eastAsia"/>
          <w:sz w:val="30"/>
          <w:szCs w:val="28"/>
        </w:rPr>
        <w:t>1年6月4日）起先向董事会办公室登记报名，并通过书面方式提交发言或质询的问题，发言顺序按照登记时间先后安排。</w:t>
      </w:r>
    </w:p>
    <w:p w:rsidR="00092652" w:rsidRDefault="0039522B">
      <w:pPr>
        <w:tabs>
          <w:tab w:val="left" w:pos="416"/>
          <w:tab w:val="left" w:pos="1086"/>
          <w:tab w:val="center" w:pos="4156"/>
        </w:tabs>
        <w:spacing w:line="500" w:lineRule="exact"/>
        <w:ind w:firstLineChars="200" w:firstLine="600"/>
        <w:rPr>
          <w:rFonts w:ascii="仿宋_GB2312" w:eastAsia="仿宋_GB2312"/>
          <w:sz w:val="30"/>
          <w:szCs w:val="28"/>
        </w:rPr>
      </w:pPr>
      <w:r>
        <w:rPr>
          <w:rFonts w:ascii="仿宋_GB2312" w:eastAsia="仿宋_GB2312" w:hint="eastAsia"/>
          <w:sz w:val="30"/>
          <w:szCs w:val="28"/>
        </w:rPr>
        <w:t>股东提交的发言应包括股东姓名或代表的股东和所持有的股份数，发言主题应与会议议题相关。</w:t>
      </w:r>
    </w:p>
    <w:p w:rsidR="00092652" w:rsidRDefault="0039522B">
      <w:pPr>
        <w:tabs>
          <w:tab w:val="left" w:pos="416"/>
          <w:tab w:val="left" w:pos="1086"/>
          <w:tab w:val="center" w:pos="4156"/>
        </w:tabs>
        <w:spacing w:line="500" w:lineRule="exact"/>
        <w:ind w:firstLineChars="200" w:firstLine="600"/>
        <w:rPr>
          <w:rFonts w:ascii="仿宋_GB2312" w:eastAsia="仿宋_GB2312"/>
          <w:sz w:val="30"/>
          <w:szCs w:val="28"/>
        </w:rPr>
      </w:pPr>
      <w:r>
        <w:rPr>
          <w:rFonts w:ascii="仿宋_GB2312" w:eastAsia="仿宋_GB2312" w:hint="eastAsia"/>
          <w:sz w:val="30"/>
          <w:szCs w:val="28"/>
        </w:rPr>
        <w:t>五、公司董事和高级管理人员应当认真负责地、有针对性地集中回答股东的问题。</w:t>
      </w:r>
    </w:p>
    <w:p w:rsidR="00092652" w:rsidRDefault="0039522B">
      <w:pPr>
        <w:tabs>
          <w:tab w:val="left" w:pos="416"/>
          <w:tab w:val="left" w:pos="1086"/>
          <w:tab w:val="center" w:pos="4156"/>
        </w:tabs>
        <w:spacing w:line="500" w:lineRule="exact"/>
        <w:ind w:firstLineChars="200" w:firstLine="600"/>
        <w:rPr>
          <w:rFonts w:ascii="仿宋_GB2312" w:eastAsia="仿宋_GB2312"/>
          <w:sz w:val="30"/>
          <w:szCs w:val="28"/>
        </w:rPr>
      </w:pPr>
      <w:r>
        <w:rPr>
          <w:rFonts w:ascii="仿宋_GB2312" w:eastAsia="仿宋_GB2312" w:hint="eastAsia"/>
          <w:sz w:val="30"/>
          <w:szCs w:val="28"/>
        </w:rPr>
        <w:t>六、为提高大会议事效率，在股东就本次会议议案相关的问题回答结束后，即可进行大会表决。</w:t>
      </w:r>
    </w:p>
    <w:p w:rsidR="00092652" w:rsidRDefault="0039522B">
      <w:pPr>
        <w:tabs>
          <w:tab w:val="left" w:pos="416"/>
          <w:tab w:val="left" w:pos="1086"/>
          <w:tab w:val="center" w:pos="4156"/>
        </w:tabs>
        <w:spacing w:line="500" w:lineRule="exact"/>
        <w:ind w:firstLineChars="200" w:firstLine="600"/>
        <w:rPr>
          <w:rFonts w:ascii="仿宋_GB2312" w:eastAsia="仿宋_GB2312"/>
          <w:sz w:val="30"/>
          <w:szCs w:val="28"/>
        </w:rPr>
      </w:pPr>
      <w:r>
        <w:rPr>
          <w:rFonts w:ascii="仿宋_GB2312" w:eastAsia="仿宋_GB2312" w:hint="eastAsia"/>
          <w:sz w:val="30"/>
          <w:szCs w:val="28"/>
        </w:rPr>
        <w:t>七、现场会议表决前，现场会议登记终止，并由会议主持人宣布现场出席会议的股东和代理人数及其所持有股份总数。</w:t>
      </w:r>
    </w:p>
    <w:p w:rsidR="00092652" w:rsidRDefault="0039522B">
      <w:pPr>
        <w:tabs>
          <w:tab w:val="left" w:pos="416"/>
          <w:tab w:val="left" w:pos="1086"/>
          <w:tab w:val="center" w:pos="4156"/>
        </w:tabs>
        <w:spacing w:line="500" w:lineRule="exact"/>
        <w:ind w:firstLineChars="200" w:firstLine="600"/>
        <w:rPr>
          <w:rFonts w:ascii="仿宋_GB2312" w:eastAsia="仿宋_GB2312"/>
          <w:sz w:val="30"/>
          <w:szCs w:val="28"/>
        </w:rPr>
      </w:pPr>
      <w:r>
        <w:rPr>
          <w:rFonts w:ascii="仿宋_GB2312" w:eastAsia="仿宋_GB2312" w:hint="eastAsia"/>
          <w:sz w:val="30"/>
          <w:szCs w:val="28"/>
        </w:rPr>
        <w:t>八、股东大会会议采用现场会议投票和网络投票相结合方式召开，股东可以在网络投票规定的时间段内通过网络投票系统行使表决权（网络投票规则见公司在上海证券交易所网站公告的</w:t>
      </w:r>
      <w:r>
        <w:rPr>
          <w:rFonts w:ascii="仿宋_GB2312" w:eastAsia="仿宋_GB2312" w:hint="eastAsia"/>
          <w:sz w:val="30"/>
          <w:szCs w:val="28"/>
        </w:rPr>
        <w:lastRenderedPageBreak/>
        <w:t>2020年年度股东大会通知）。同一表决权只能选择现场或网络表决方式中的一种，若同一表决权出现现场和网络重复表决的，以第一次表决结果为准。</w:t>
      </w:r>
    </w:p>
    <w:p w:rsidR="00092652" w:rsidRDefault="0039522B">
      <w:pPr>
        <w:tabs>
          <w:tab w:val="left" w:pos="416"/>
          <w:tab w:val="left" w:pos="1086"/>
          <w:tab w:val="center" w:pos="4156"/>
        </w:tabs>
        <w:spacing w:line="500" w:lineRule="exact"/>
        <w:ind w:firstLineChars="200" w:firstLine="600"/>
        <w:rPr>
          <w:rFonts w:ascii="仿宋_GB2312" w:eastAsia="仿宋_GB2312"/>
          <w:sz w:val="30"/>
          <w:szCs w:val="28"/>
        </w:rPr>
      </w:pPr>
      <w:r>
        <w:rPr>
          <w:rFonts w:ascii="仿宋_GB2312" w:eastAsia="仿宋_GB2312" w:hint="eastAsia"/>
          <w:sz w:val="30"/>
          <w:szCs w:val="28"/>
        </w:rPr>
        <w:t>股东在会议现场投票的，以其所持有的股份数额行使表决权，每一股份享有一票表决权。股东在投票表决时，应在表决单中每项议案下设的“同意”、“反对”、“弃权”三项中任选一项，并以打“√”表示，未填、填错、字迹无法辨认的表决票或未投的表决票均视为“弃权”。</w:t>
      </w:r>
    </w:p>
    <w:p w:rsidR="00092652" w:rsidRDefault="0039522B">
      <w:pPr>
        <w:tabs>
          <w:tab w:val="left" w:pos="416"/>
          <w:tab w:val="left" w:pos="1086"/>
          <w:tab w:val="center" w:pos="4156"/>
        </w:tabs>
        <w:spacing w:line="500" w:lineRule="exact"/>
        <w:ind w:firstLineChars="200" w:firstLine="600"/>
        <w:rPr>
          <w:rFonts w:ascii="仿宋_GB2312" w:eastAsia="仿宋_GB2312"/>
          <w:sz w:val="30"/>
          <w:szCs w:val="28"/>
        </w:rPr>
      </w:pPr>
      <w:r>
        <w:rPr>
          <w:rFonts w:ascii="仿宋_GB2312" w:eastAsia="仿宋_GB2312" w:hint="eastAsia"/>
          <w:sz w:val="30"/>
          <w:szCs w:val="28"/>
        </w:rPr>
        <w:t>九、本次股东大会议案六、七、十三、十四、十五、十六、十九为特别决议事项，由出席会议的有表决权股东（包括股东代理人）所持股份总数的三分之二以上通过；其它议案为普通决议事项，由出席会议的有表决权股东（包括股东代理人）所持股份总数的二分之一以上通过。</w:t>
      </w:r>
    </w:p>
    <w:p w:rsidR="00092652" w:rsidRDefault="0039522B">
      <w:pPr>
        <w:tabs>
          <w:tab w:val="left" w:pos="416"/>
          <w:tab w:val="left" w:pos="1086"/>
          <w:tab w:val="center" w:pos="4156"/>
        </w:tabs>
        <w:spacing w:line="500" w:lineRule="exact"/>
        <w:ind w:firstLineChars="200" w:firstLine="600"/>
        <w:rPr>
          <w:rFonts w:ascii="仿宋_GB2312" w:eastAsia="仿宋_GB2312"/>
          <w:sz w:val="30"/>
          <w:szCs w:val="28"/>
        </w:rPr>
      </w:pPr>
      <w:r>
        <w:rPr>
          <w:rFonts w:ascii="仿宋_GB2312" w:eastAsia="仿宋_GB2312" w:hint="eastAsia"/>
          <w:sz w:val="30"/>
          <w:szCs w:val="28"/>
        </w:rPr>
        <w:t>十、议案十《关于给予部分关联方关联交易额度的议案》、议案议案十一《关于选举第十届董事会董事的议案》、议案十二《关于选举第八届监事会股东监事和外部监事的议案》以及议案十四《关于公开发行A股可转换公司债券并上市方案的议案》需分项进行表决。其中议案十涉及的本行相关关联股东需回避表决。</w:t>
      </w:r>
    </w:p>
    <w:p w:rsidR="00092652" w:rsidRDefault="0039522B">
      <w:pPr>
        <w:tabs>
          <w:tab w:val="left" w:pos="416"/>
          <w:tab w:val="left" w:pos="1086"/>
          <w:tab w:val="center" w:pos="4156"/>
        </w:tabs>
        <w:spacing w:line="500" w:lineRule="exact"/>
        <w:ind w:firstLineChars="200" w:firstLine="600"/>
        <w:rPr>
          <w:rFonts w:ascii="仿宋_GB2312" w:eastAsia="仿宋_GB2312"/>
          <w:sz w:val="30"/>
          <w:szCs w:val="28"/>
        </w:rPr>
      </w:pPr>
      <w:r>
        <w:rPr>
          <w:rFonts w:ascii="仿宋_GB2312" w:eastAsia="仿宋_GB2312" w:hint="eastAsia"/>
          <w:sz w:val="30"/>
          <w:szCs w:val="28"/>
        </w:rPr>
        <w:t>十一、股东参加股东大会，应当认真履行其法定义务，会议开始后应将手机铃声置于无声状态，会议进行过程中不得拍照，尊重和维护其他股东合法权益，保障大会的正常秩序。</w:t>
      </w:r>
    </w:p>
    <w:p w:rsidR="00092652" w:rsidRDefault="0039522B">
      <w:pPr>
        <w:tabs>
          <w:tab w:val="left" w:pos="416"/>
          <w:tab w:val="left" w:pos="1086"/>
          <w:tab w:val="center" w:pos="4156"/>
        </w:tabs>
        <w:spacing w:line="500" w:lineRule="exact"/>
        <w:ind w:firstLineChars="200" w:firstLine="600"/>
        <w:rPr>
          <w:rFonts w:ascii="仿宋_GB2312" w:eastAsia="仿宋_GB2312"/>
          <w:sz w:val="30"/>
          <w:szCs w:val="28"/>
        </w:rPr>
      </w:pPr>
      <w:r>
        <w:rPr>
          <w:rFonts w:ascii="仿宋_GB2312" w:eastAsia="仿宋_GB2312" w:hint="eastAsia"/>
          <w:sz w:val="30"/>
          <w:szCs w:val="28"/>
        </w:rPr>
        <w:t>十二、本公司不向参加股东大会的股东发放礼品，不负责安排参加股东大会股东的住宿和接送等事项，以平等对待所有股东。</w:t>
      </w:r>
    </w:p>
    <w:p w:rsidR="00092652" w:rsidRDefault="0039522B">
      <w:pPr>
        <w:tabs>
          <w:tab w:val="left" w:pos="416"/>
          <w:tab w:val="left" w:pos="1086"/>
          <w:tab w:val="center" w:pos="4156"/>
        </w:tabs>
        <w:spacing w:line="500" w:lineRule="exact"/>
        <w:ind w:firstLineChars="200" w:firstLine="600"/>
        <w:rPr>
          <w:rFonts w:ascii="仿宋_GB2312" w:eastAsia="仿宋_GB2312"/>
          <w:sz w:val="30"/>
          <w:szCs w:val="28"/>
        </w:rPr>
      </w:pPr>
      <w:r>
        <w:rPr>
          <w:rFonts w:ascii="仿宋_GB2312" w:eastAsia="仿宋_GB2312" w:hint="eastAsia"/>
          <w:sz w:val="30"/>
          <w:szCs w:val="28"/>
        </w:rPr>
        <w:t>十三、公司董事会聘请律师事务所执业律师参加本次股东大会进行见证，并出具法律意见。</w:t>
      </w:r>
    </w:p>
    <w:p w:rsidR="00092652" w:rsidRDefault="0039522B">
      <w:pPr>
        <w:widowControl/>
        <w:jc w:val="left"/>
        <w:rPr>
          <w:rFonts w:ascii="仿宋_GB2312" w:eastAsia="仿宋_GB2312"/>
          <w:sz w:val="30"/>
          <w:szCs w:val="28"/>
        </w:rPr>
      </w:pPr>
      <w:r>
        <w:rPr>
          <w:rFonts w:ascii="仿宋_GB2312" w:eastAsia="仿宋_GB2312"/>
          <w:sz w:val="30"/>
          <w:szCs w:val="28"/>
        </w:rPr>
        <w:br w:type="page"/>
      </w:r>
    </w:p>
    <w:p w:rsidR="00092652" w:rsidRDefault="00C4392E">
      <w:pPr>
        <w:tabs>
          <w:tab w:val="left" w:pos="416"/>
          <w:tab w:val="left" w:pos="1086"/>
          <w:tab w:val="center" w:pos="4156"/>
        </w:tabs>
        <w:spacing w:line="500" w:lineRule="exact"/>
        <w:ind w:firstLineChars="200" w:firstLine="640"/>
      </w:pPr>
      <w:r>
        <w:rPr>
          <w:rFonts w:ascii="黑体" w:eastAsia="黑体"/>
          <w:noProof/>
          <w:sz w:val="32"/>
          <w:szCs w:val="32"/>
        </w:rPr>
        <w:lastRenderedPageBreak/>
        <mc:AlternateContent>
          <mc:Choice Requires="wps">
            <w:drawing>
              <wp:anchor distT="0" distB="0" distL="114300" distR="114300" simplePos="0" relativeHeight="251660288" behindDoc="0" locked="0" layoutInCell="1" allowOverlap="1" wp14:anchorId="076BF08C" wp14:editId="52F7DB1D">
                <wp:simplePos x="0" y="0"/>
                <wp:positionH relativeFrom="column">
                  <wp:posOffset>-15875</wp:posOffset>
                </wp:positionH>
                <wp:positionV relativeFrom="paragraph">
                  <wp:posOffset>0</wp:posOffset>
                </wp:positionV>
                <wp:extent cx="1426210" cy="594360"/>
                <wp:effectExtent l="0" t="0" r="3175" b="0"/>
                <wp:wrapSquare wrapText="bothSides"/>
                <wp:docPr id="24" name="文本框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621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15BAA" w:rsidRDefault="00115BAA">
                            <w:pPr>
                              <w:spacing w:line="400" w:lineRule="exact"/>
                              <w:jc w:val="center"/>
                              <w:rPr>
                                <w:rFonts w:ascii="宋体"/>
                                <w:color w:val="000000"/>
                                <w:szCs w:val="21"/>
                              </w:rPr>
                            </w:pPr>
                            <w:r>
                              <w:rPr>
                                <w:rFonts w:ascii="宋体" w:hint="eastAsia"/>
                                <w:color w:val="000000"/>
                                <w:szCs w:val="21"/>
                              </w:rPr>
                              <w:t>2020年年度股东大会</w:t>
                            </w:r>
                          </w:p>
                          <w:p w:rsidR="00115BAA" w:rsidRDefault="00115BAA">
                            <w:pPr>
                              <w:spacing w:line="400" w:lineRule="exact"/>
                              <w:jc w:val="center"/>
                              <w:rPr>
                                <w:rFonts w:ascii="宋体"/>
                                <w:color w:val="000000"/>
                                <w:szCs w:val="21"/>
                              </w:rPr>
                            </w:pPr>
                            <w:r>
                              <w:rPr>
                                <w:rFonts w:ascii="宋体" w:hint="eastAsia"/>
                                <w:color w:val="000000"/>
                                <w:szCs w:val="21"/>
                              </w:rPr>
                              <w:t>文件一　审议议案</w:t>
                            </w:r>
                          </w:p>
                          <w:p w:rsidR="00115BAA" w:rsidRDefault="00115BAA">
                            <w:pPr>
                              <w:rPr>
                                <w:szCs w:val="21"/>
                              </w:rPr>
                            </w:pPr>
                          </w:p>
                        </w:txbxContent>
                      </wps:txbx>
                      <wps:bodyPr wrap="none"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文本框 142" o:spid="_x0000_s1027" type="#_x0000_t202" style="position:absolute;left:0;text-align:left;margin-left:-1.25pt;margin-top:0;width:112.3pt;height:46.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">
                <v:path arrowok="t"/>
                <v:textbox>
                  <w:txbxContent>
                    <w:p w:rsidR="00115BAA" w:rsidRDefault="00115BAA">
                      <w:pPr>
                        <w:spacing w:line="400" w:lineRule="exact"/>
                        <w:jc w:val="center"/>
                        <w:rPr>
                          <w:rFonts w:ascii="宋体"/>
                          <w:color w:val="000000"/>
                          <w:szCs w:val="21"/>
                        </w:rPr>
                      </w:pPr>
                      <w:r>
                        <w:rPr>
                          <w:rFonts w:ascii="宋体" w:hint="eastAsia"/>
                          <w:color w:val="000000"/>
                          <w:szCs w:val="21"/>
                        </w:rPr>
                        <w:t>2020年年度股东大会</w:t>
                      </w:r>
                    </w:p>
                    <w:p w:rsidR="00115BAA" w:rsidRDefault="00115BAA">
                      <w:pPr>
                        <w:spacing w:line="400" w:lineRule="exact"/>
                        <w:jc w:val="center"/>
                        <w:rPr>
                          <w:rFonts w:ascii="宋体"/>
                          <w:color w:val="000000"/>
                          <w:szCs w:val="21"/>
                        </w:rPr>
                      </w:pPr>
                      <w:r>
                        <w:rPr>
                          <w:rFonts w:ascii="宋体" w:hint="eastAsia"/>
                          <w:color w:val="000000"/>
                          <w:szCs w:val="21"/>
                        </w:rPr>
                        <w:t>文件一　审议议案</w:t>
                      </w:r>
                    </w:p>
                    <w:p w:rsidR="00115BAA" w:rsidRDefault="00115BAA">
                      <w:pPr>
                        <w:rPr>
                          <w:szCs w:val="21"/>
                        </w:rPr>
                      </w:pPr>
                    </w:p>
                  </w:txbxContent>
                </v:textbox>
                <w10:wrap type="square"/>
              </v:shape>
            </w:pict>
          </mc:Fallback>
        </mc:AlternateContent>
      </w:r>
    </w:p>
    <w:p w:rsidR="00092652" w:rsidRDefault="00092652">
      <w:pPr>
        <w:widowControl/>
        <w:spacing w:line="560" w:lineRule="exact"/>
        <w:jc w:val="center"/>
        <w:rPr>
          <w:rFonts w:ascii="黑体" w:eastAsia="黑体"/>
          <w:sz w:val="32"/>
          <w:szCs w:val="32"/>
        </w:rPr>
      </w:pPr>
    </w:p>
    <w:p w:rsidR="00092652" w:rsidRDefault="0039522B">
      <w:pPr>
        <w:widowControl/>
        <w:spacing w:line="520" w:lineRule="exact"/>
        <w:jc w:val="center"/>
        <w:rPr>
          <w:rFonts w:ascii="黑体" w:eastAsia="黑体"/>
          <w:sz w:val="32"/>
          <w:szCs w:val="32"/>
        </w:rPr>
      </w:pPr>
      <w:r>
        <w:rPr>
          <w:rFonts w:ascii="黑体" w:eastAsia="黑体" w:hint="eastAsia"/>
          <w:sz w:val="32"/>
          <w:szCs w:val="32"/>
        </w:rPr>
        <w:t>兴业银行股份有限公司</w:t>
      </w:r>
    </w:p>
    <w:p w:rsidR="00092652" w:rsidRDefault="0039522B">
      <w:pPr>
        <w:pStyle w:val="1"/>
        <w:spacing w:before="0" w:after="0" w:line="520" w:lineRule="exact"/>
        <w:rPr>
          <w:szCs w:val="32"/>
        </w:rPr>
      </w:pPr>
      <w:bookmarkStart w:id="1" w:name="_Toc511294279"/>
      <w:bookmarkStart w:id="2" w:name="_Toc448419133"/>
      <w:bookmarkStart w:id="3" w:name="_Toc72437647"/>
      <w:r>
        <w:rPr>
          <w:rFonts w:hint="eastAsia"/>
          <w:szCs w:val="32"/>
        </w:rPr>
        <w:t>2020年度董事会工作报告</w:t>
      </w:r>
      <w:bookmarkEnd w:id="1"/>
      <w:bookmarkEnd w:id="2"/>
      <w:bookmarkEnd w:id="3"/>
    </w:p>
    <w:p w:rsidR="00092652" w:rsidRDefault="0039522B">
      <w:pPr>
        <w:overflowPunct w:val="0"/>
        <w:snapToGrid w:val="0"/>
        <w:spacing w:line="520" w:lineRule="exact"/>
        <w:jc w:val="center"/>
        <w:rPr>
          <w:rFonts w:ascii="仿宋_GB2312" w:eastAsia="仿宋_GB2312"/>
          <w:sz w:val="30"/>
          <w:szCs w:val="28"/>
        </w:rPr>
      </w:pPr>
      <w:r>
        <w:rPr>
          <w:rFonts w:ascii="仿宋_GB2312" w:eastAsia="仿宋_GB2312" w:hint="eastAsia"/>
          <w:sz w:val="30"/>
          <w:szCs w:val="28"/>
        </w:rPr>
        <w:t>董事会临时负责人：陶以平</w:t>
      </w:r>
    </w:p>
    <w:p w:rsidR="00092652" w:rsidRDefault="00092652">
      <w:pPr>
        <w:overflowPunct w:val="0"/>
        <w:snapToGrid w:val="0"/>
        <w:spacing w:line="520" w:lineRule="exact"/>
        <w:jc w:val="center"/>
        <w:rPr>
          <w:rFonts w:ascii="仿宋_GB2312" w:eastAsia="仿宋_GB2312"/>
          <w:sz w:val="30"/>
          <w:szCs w:val="28"/>
        </w:rPr>
      </w:pPr>
    </w:p>
    <w:p w:rsidR="00092652" w:rsidRDefault="0039522B">
      <w:pPr>
        <w:overflowPunct w:val="0"/>
        <w:snapToGrid w:val="0"/>
        <w:spacing w:line="500" w:lineRule="exact"/>
        <w:rPr>
          <w:rFonts w:ascii="仿宋_GB2312" w:eastAsia="仿宋_GB2312"/>
          <w:sz w:val="30"/>
          <w:szCs w:val="28"/>
        </w:rPr>
      </w:pPr>
      <w:r>
        <w:rPr>
          <w:rFonts w:ascii="仿宋_GB2312" w:eastAsia="仿宋_GB2312" w:hint="eastAsia"/>
          <w:sz w:val="30"/>
          <w:szCs w:val="28"/>
        </w:rPr>
        <w:t>各位股东：</w:t>
      </w:r>
    </w:p>
    <w:p w:rsidR="00092652" w:rsidRDefault="0039522B">
      <w:pPr>
        <w:overflowPunct w:val="0"/>
        <w:snapToGrid w:val="0"/>
        <w:spacing w:line="520" w:lineRule="exact"/>
        <w:ind w:firstLineChars="200" w:firstLine="600"/>
        <w:rPr>
          <w:rFonts w:ascii="仿宋_GB2312" w:eastAsia="仿宋_GB2312" w:hAnsi="Calibri"/>
          <w:kern w:val="0"/>
          <w:sz w:val="30"/>
          <w:szCs w:val="28"/>
        </w:rPr>
      </w:pPr>
      <w:r>
        <w:rPr>
          <w:rFonts w:ascii="仿宋_GB2312" w:eastAsia="仿宋_GB2312" w:hint="eastAsia"/>
          <w:kern w:val="0"/>
          <w:sz w:val="30"/>
          <w:szCs w:val="28"/>
          <w:lang w:val="zh-CN"/>
        </w:rPr>
        <w:t>2020年</w:t>
      </w:r>
      <w:r>
        <w:rPr>
          <w:rFonts w:ascii="仿宋_GB2312" w:eastAsia="仿宋_GB2312" w:hAnsi="Calibri" w:hint="eastAsia"/>
          <w:kern w:val="0"/>
          <w:sz w:val="30"/>
          <w:szCs w:val="28"/>
        </w:rPr>
        <w:t>，本行董事会积极应对形势变化和疫情挑战，认真贯彻国家宏观调控政策和金融监管要求，坚定推进实施“1234”战略，保安全、稳发展、助防疫，确定战略发展方向，有效推进经营转型和业务结构优化，夯实经营基础，加强风险管控，增强服务实体经济能力，指导和推动全行各项事业稳健发展。现将主要工作情况报告如下：</w:t>
      </w:r>
    </w:p>
    <w:p w:rsidR="00092652" w:rsidRDefault="0039522B">
      <w:pPr>
        <w:overflowPunct w:val="0"/>
        <w:snapToGrid w:val="0"/>
        <w:spacing w:line="520" w:lineRule="exact"/>
        <w:ind w:firstLineChars="200" w:firstLine="602"/>
        <w:rPr>
          <w:rFonts w:ascii="仿宋_GB2312" w:eastAsia="仿宋_GB2312"/>
          <w:b/>
          <w:color w:val="000000" w:themeColor="text1"/>
          <w:kern w:val="0"/>
          <w:sz w:val="30"/>
          <w:szCs w:val="28"/>
          <w:lang w:val="zh-CN"/>
        </w:rPr>
      </w:pPr>
      <w:r>
        <w:rPr>
          <w:rFonts w:ascii="仿宋_GB2312" w:eastAsia="仿宋_GB2312" w:hint="eastAsia"/>
          <w:b/>
          <w:color w:val="000000" w:themeColor="text1"/>
          <w:kern w:val="0"/>
          <w:sz w:val="30"/>
          <w:szCs w:val="28"/>
          <w:lang w:val="zh-CN"/>
        </w:rPr>
        <w:t>一、2020年总体工作情况</w:t>
      </w:r>
    </w:p>
    <w:p w:rsidR="00092652" w:rsidRDefault="0039522B">
      <w:pPr>
        <w:overflowPunct w:val="0"/>
        <w:snapToGrid w:val="0"/>
        <w:spacing w:line="520" w:lineRule="exact"/>
        <w:ind w:firstLineChars="200" w:firstLine="600"/>
        <w:rPr>
          <w:rFonts w:ascii="仿宋_GB2312" w:eastAsia="仿宋_GB2312"/>
          <w:color w:val="FF0000"/>
          <w:sz w:val="30"/>
          <w:szCs w:val="28"/>
        </w:rPr>
      </w:pPr>
      <w:r>
        <w:rPr>
          <w:rFonts w:ascii="仿宋_GB2312" w:eastAsia="仿宋_GB2312" w:hint="eastAsia"/>
          <w:color w:val="000000" w:themeColor="text1"/>
          <w:kern w:val="0"/>
          <w:sz w:val="30"/>
          <w:szCs w:val="28"/>
          <w:lang w:val="zh-CN"/>
        </w:rPr>
        <w:t>过去一年，面对外部环境的深刻变化，董事会加强对</w:t>
      </w:r>
      <w:r>
        <w:rPr>
          <w:rFonts w:ascii="Calibri" w:eastAsia="仿宋_GB2312" w:hAnsi="Calibri" w:hint="eastAsia"/>
          <w:color w:val="000000" w:themeColor="text1"/>
          <w:kern w:val="0"/>
          <w:sz w:val="30"/>
          <w:szCs w:val="28"/>
        </w:rPr>
        <w:t>宏观</w:t>
      </w:r>
      <w:r>
        <w:rPr>
          <w:rFonts w:ascii="仿宋_GB2312" w:eastAsia="仿宋_GB2312" w:hint="eastAsia"/>
          <w:color w:val="000000" w:themeColor="text1"/>
          <w:kern w:val="0"/>
          <w:sz w:val="30"/>
          <w:szCs w:val="28"/>
          <w:lang w:val="zh-CN"/>
        </w:rPr>
        <w:t>经济形势的分析研判，认真贯彻落实国家各项政策和金融监管要求，稳妥应对各种挑战，稳中求进，加快转型，积极防范化解各类风险，</w:t>
      </w:r>
      <w:r>
        <w:rPr>
          <w:rFonts w:ascii="仿宋_GB2312" w:eastAsia="仿宋_GB2312" w:hAnsi="Calibri" w:hint="eastAsia"/>
          <w:color w:val="000000" w:themeColor="text1"/>
          <w:kern w:val="0"/>
          <w:sz w:val="30"/>
          <w:szCs w:val="28"/>
        </w:rPr>
        <w:t>推动</w:t>
      </w:r>
      <w:r>
        <w:rPr>
          <w:rFonts w:ascii="仿宋_GB2312" w:eastAsia="仿宋_GB2312" w:hint="eastAsia"/>
          <w:color w:val="000000" w:themeColor="text1"/>
          <w:kern w:val="0"/>
          <w:sz w:val="30"/>
          <w:szCs w:val="28"/>
          <w:lang w:val="zh-CN"/>
        </w:rPr>
        <w:t>业务结构持续优化，经营成果稳中向好。2020年，</w:t>
      </w:r>
      <w:r>
        <w:rPr>
          <w:rFonts w:ascii="仿宋_GB2312" w:eastAsia="仿宋_GB2312" w:hint="eastAsia"/>
          <w:sz w:val="30"/>
          <w:szCs w:val="28"/>
        </w:rPr>
        <w:t>集团资产规模稳步增长，年末总额7.89万亿元，比年初增长10.47%；</w:t>
      </w:r>
      <w:r>
        <w:rPr>
          <w:rFonts w:ascii="仿宋_GB2312" w:eastAsia="仿宋_GB2312" w:hint="eastAsia"/>
          <w:kern w:val="0"/>
          <w:sz w:val="30"/>
          <w:szCs w:val="28"/>
          <w:lang w:val="zh-CN"/>
        </w:rPr>
        <w:t>营业收入</w:t>
      </w:r>
      <w:r>
        <w:rPr>
          <w:rFonts w:ascii="仿宋_GB2312" w:eastAsia="仿宋_GB2312"/>
          <w:kern w:val="0"/>
          <w:sz w:val="30"/>
          <w:szCs w:val="28"/>
          <w:lang w:val="zh-CN"/>
        </w:rPr>
        <w:t>2031.37</w:t>
      </w:r>
      <w:r>
        <w:rPr>
          <w:rFonts w:ascii="仿宋_GB2312" w:eastAsia="仿宋_GB2312" w:hint="eastAsia"/>
          <w:kern w:val="0"/>
          <w:sz w:val="30"/>
          <w:szCs w:val="28"/>
          <w:lang w:val="zh-CN"/>
        </w:rPr>
        <w:t>亿元，同比增长</w:t>
      </w:r>
      <w:r>
        <w:rPr>
          <w:rFonts w:ascii="仿宋_GB2312" w:eastAsia="仿宋_GB2312"/>
          <w:kern w:val="0"/>
          <w:sz w:val="30"/>
          <w:szCs w:val="28"/>
          <w:lang w:val="zh-CN"/>
        </w:rPr>
        <w:t>12.04%</w:t>
      </w:r>
      <w:r>
        <w:rPr>
          <w:rFonts w:ascii="仿宋_GB2312" w:eastAsia="仿宋_GB2312" w:hint="eastAsia"/>
          <w:kern w:val="0"/>
          <w:sz w:val="30"/>
          <w:szCs w:val="28"/>
          <w:lang w:val="zh-CN"/>
        </w:rPr>
        <w:t>；全年实现归属于母公司股东净利润6</w:t>
      </w:r>
      <w:r>
        <w:rPr>
          <w:rFonts w:ascii="仿宋_GB2312" w:eastAsia="仿宋_GB2312"/>
          <w:kern w:val="0"/>
          <w:sz w:val="30"/>
          <w:szCs w:val="28"/>
          <w:lang w:val="zh-CN"/>
        </w:rPr>
        <w:t>66</w:t>
      </w:r>
      <w:r>
        <w:rPr>
          <w:rFonts w:ascii="仿宋_GB2312" w:eastAsia="仿宋_GB2312" w:hint="eastAsia"/>
          <w:kern w:val="0"/>
          <w:sz w:val="30"/>
          <w:szCs w:val="28"/>
          <w:lang w:val="zh-CN"/>
        </w:rPr>
        <w:t>.</w:t>
      </w:r>
      <w:r>
        <w:rPr>
          <w:rFonts w:ascii="仿宋_GB2312" w:eastAsia="仿宋_GB2312"/>
          <w:kern w:val="0"/>
          <w:sz w:val="30"/>
          <w:szCs w:val="28"/>
          <w:lang w:val="zh-CN"/>
        </w:rPr>
        <w:t>26</w:t>
      </w:r>
      <w:r>
        <w:rPr>
          <w:rFonts w:ascii="仿宋_GB2312" w:eastAsia="仿宋_GB2312" w:hint="eastAsia"/>
          <w:kern w:val="0"/>
          <w:sz w:val="30"/>
          <w:szCs w:val="28"/>
          <w:lang w:val="zh-CN"/>
        </w:rPr>
        <w:t>亿元，同比增长</w:t>
      </w:r>
      <w:r>
        <w:rPr>
          <w:rFonts w:ascii="仿宋_GB2312" w:eastAsia="仿宋_GB2312"/>
          <w:kern w:val="0"/>
          <w:sz w:val="30"/>
          <w:szCs w:val="28"/>
          <w:lang w:val="zh-CN"/>
        </w:rPr>
        <w:t>1.15</w:t>
      </w:r>
      <w:r>
        <w:rPr>
          <w:rFonts w:ascii="仿宋_GB2312" w:eastAsia="仿宋_GB2312" w:hint="eastAsia"/>
          <w:kern w:val="0"/>
          <w:sz w:val="30"/>
          <w:szCs w:val="28"/>
          <w:lang w:val="zh-CN"/>
        </w:rPr>
        <w:t>%，盈利能力保持较好水平；不良贷款余额</w:t>
      </w:r>
      <w:r>
        <w:rPr>
          <w:rFonts w:ascii="仿宋_GB2312" w:eastAsia="仿宋_GB2312"/>
          <w:kern w:val="0"/>
          <w:sz w:val="30"/>
          <w:szCs w:val="28"/>
          <w:lang w:val="zh-CN"/>
        </w:rPr>
        <w:t>496.56</w:t>
      </w:r>
      <w:r>
        <w:rPr>
          <w:rFonts w:ascii="仿宋_GB2312" w:eastAsia="仿宋_GB2312" w:hint="eastAsia"/>
          <w:kern w:val="0"/>
          <w:sz w:val="30"/>
          <w:szCs w:val="28"/>
          <w:lang w:val="zh-CN"/>
        </w:rPr>
        <w:t>亿元，比年初下降</w:t>
      </w:r>
      <w:r>
        <w:rPr>
          <w:rFonts w:ascii="仿宋_GB2312" w:eastAsia="仿宋_GB2312"/>
          <w:kern w:val="0"/>
          <w:sz w:val="30"/>
          <w:szCs w:val="28"/>
          <w:lang w:val="zh-CN"/>
        </w:rPr>
        <w:t>6.35%</w:t>
      </w:r>
      <w:r>
        <w:rPr>
          <w:rFonts w:ascii="仿宋_GB2312" w:eastAsia="仿宋_GB2312" w:hint="eastAsia"/>
          <w:kern w:val="0"/>
          <w:sz w:val="30"/>
          <w:szCs w:val="28"/>
          <w:lang w:val="zh-CN"/>
        </w:rPr>
        <w:t>；不良贷款率</w:t>
      </w:r>
      <w:r>
        <w:rPr>
          <w:rFonts w:ascii="仿宋_GB2312" w:eastAsia="仿宋_GB2312"/>
          <w:kern w:val="0"/>
          <w:sz w:val="30"/>
          <w:szCs w:val="28"/>
          <w:lang w:val="zh-CN"/>
        </w:rPr>
        <w:t>1.25%</w:t>
      </w:r>
      <w:r>
        <w:rPr>
          <w:rFonts w:ascii="仿宋_GB2312" w:eastAsia="仿宋_GB2312" w:hint="eastAsia"/>
          <w:kern w:val="0"/>
          <w:sz w:val="30"/>
          <w:szCs w:val="28"/>
          <w:lang w:val="zh-CN"/>
        </w:rPr>
        <w:t>，较年初降低</w:t>
      </w:r>
      <w:r>
        <w:rPr>
          <w:rFonts w:ascii="仿宋_GB2312" w:eastAsia="仿宋_GB2312"/>
          <w:kern w:val="0"/>
          <w:sz w:val="30"/>
          <w:szCs w:val="28"/>
          <w:lang w:val="zh-CN"/>
        </w:rPr>
        <w:t>0.29</w:t>
      </w:r>
      <w:r>
        <w:rPr>
          <w:rFonts w:ascii="仿宋_GB2312" w:eastAsia="仿宋_GB2312" w:hint="eastAsia"/>
          <w:kern w:val="0"/>
          <w:sz w:val="30"/>
          <w:szCs w:val="28"/>
          <w:lang w:val="zh-CN"/>
        </w:rPr>
        <w:t>个百分点，不良贷款近五年来首次</w:t>
      </w:r>
      <w:r>
        <w:rPr>
          <w:rFonts w:ascii="仿宋_GB2312" w:eastAsia="仿宋_GB2312"/>
          <w:kern w:val="0"/>
          <w:sz w:val="30"/>
          <w:szCs w:val="28"/>
          <w:lang w:val="zh-CN"/>
        </w:rPr>
        <w:t>“</w:t>
      </w:r>
      <w:r>
        <w:rPr>
          <w:rFonts w:ascii="仿宋_GB2312" w:eastAsia="仿宋_GB2312" w:hint="eastAsia"/>
          <w:kern w:val="0"/>
          <w:sz w:val="30"/>
          <w:szCs w:val="28"/>
          <w:lang w:val="zh-CN"/>
        </w:rPr>
        <w:t>双降</w:t>
      </w:r>
      <w:r>
        <w:rPr>
          <w:rFonts w:ascii="仿宋_GB2312" w:eastAsia="仿宋_GB2312"/>
          <w:kern w:val="0"/>
          <w:sz w:val="30"/>
          <w:szCs w:val="28"/>
          <w:lang w:val="zh-CN"/>
        </w:rPr>
        <w:t>”</w:t>
      </w:r>
      <w:r>
        <w:rPr>
          <w:rFonts w:ascii="仿宋_GB2312" w:eastAsia="仿宋_GB2312" w:hint="eastAsia"/>
          <w:kern w:val="0"/>
          <w:sz w:val="30"/>
          <w:szCs w:val="28"/>
          <w:lang w:val="zh-CN"/>
        </w:rPr>
        <w:t>；拨备覆盖率</w:t>
      </w:r>
      <w:r>
        <w:rPr>
          <w:rFonts w:ascii="仿宋_GB2312" w:eastAsia="仿宋_GB2312"/>
          <w:kern w:val="0"/>
          <w:sz w:val="30"/>
          <w:szCs w:val="28"/>
          <w:lang w:val="zh-CN"/>
        </w:rPr>
        <w:t>218.83%</w:t>
      </w:r>
      <w:r>
        <w:rPr>
          <w:rFonts w:ascii="仿宋_GB2312" w:eastAsia="仿宋_GB2312" w:hint="eastAsia"/>
          <w:kern w:val="0"/>
          <w:sz w:val="30"/>
          <w:szCs w:val="28"/>
          <w:lang w:val="zh-CN"/>
        </w:rPr>
        <w:t>，资产质量和风险抵补能力处于同业较好水平。</w:t>
      </w:r>
      <w:r>
        <w:rPr>
          <w:rFonts w:ascii="仿宋_GB2312" w:eastAsia="仿宋_GB2312" w:hAnsi="Calibri" w:hint="eastAsia"/>
          <w:kern w:val="0"/>
          <w:sz w:val="30"/>
          <w:szCs w:val="28"/>
        </w:rPr>
        <w:t>年末归属于母公司普通股股东权益</w:t>
      </w:r>
      <w:r>
        <w:rPr>
          <w:rFonts w:ascii="仿宋_GB2312" w:eastAsia="仿宋_GB2312" w:hAnsi="Calibri"/>
          <w:kern w:val="0"/>
          <w:sz w:val="30"/>
          <w:szCs w:val="28"/>
        </w:rPr>
        <w:t>5297.</w:t>
      </w:r>
      <w:r>
        <w:rPr>
          <w:rFonts w:ascii="仿宋_GB2312" w:eastAsia="仿宋_GB2312" w:hAnsi="Calibri" w:hint="eastAsia"/>
          <w:kern w:val="0"/>
          <w:sz w:val="30"/>
          <w:szCs w:val="28"/>
        </w:rPr>
        <w:t>84亿元，比年初增长</w:t>
      </w:r>
      <w:r>
        <w:rPr>
          <w:rFonts w:ascii="仿宋_GB2312" w:eastAsia="仿宋_GB2312" w:hAnsi="Calibri"/>
          <w:kern w:val="0"/>
          <w:sz w:val="30"/>
          <w:szCs w:val="28"/>
        </w:rPr>
        <w:t>9.1</w:t>
      </w:r>
      <w:r>
        <w:rPr>
          <w:rFonts w:ascii="仿宋_GB2312" w:eastAsia="仿宋_GB2312" w:hAnsi="Calibri" w:hint="eastAsia"/>
          <w:kern w:val="0"/>
          <w:sz w:val="30"/>
          <w:szCs w:val="28"/>
        </w:rPr>
        <w:t>2</w:t>
      </w:r>
      <w:r>
        <w:rPr>
          <w:rFonts w:ascii="仿宋_GB2312" w:eastAsia="仿宋_GB2312" w:hAnsi="Calibri"/>
          <w:kern w:val="0"/>
          <w:sz w:val="30"/>
          <w:szCs w:val="28"/>
        </w:rPr>
        <w:t>%</w:t>
      </w:r>
      <w:r>
        <w:rPr>
          <w:rFonts w:ascii="仿宋_GB2312" w:eastAsia="仿宋_GB2312" w:hAnsi="Calibri" w:hint="eastAsia"/>
          <w:kern w:val="0"/>
          <w:sz w:val="30"/>
          <w:szCs w:val="28"/>
        </w:rPr>
        <w:t>；总资产收益率为</w:t>
      </w:r>
      <w:r>
        <w:rPr>
          <w:rFonts w:ascii="仿宋_GB2312" w:eastAsia="仿宋_GB2312" w:hAnsi="Calibri"/>
          <w:kern w:val="0"/>
          <w:sz w:val="30"/>
          <w:szCs w:val="28"/>
        </w:rPr>
        <w:t>0.90%</w:t>
      </w:r>
      <w:r>
        <w:rPr>
          <w:rFonts w:ascii="仿宋_GB2312" w:eastAsia="仿宋_GB2312" w:hAnsi="Calibri" w:hint="eastAsia"/>
          <w:kern w:val="0"/>
          <w:sz w:val="30"/>
          <w:szCs w:val="28"/>
        </w:rPr>
        <w:t>，净</w:t>
      </w:r>
      <w:r>
        <w:rPr>
          <w:rFonts w:ascii="仿宋_GB2312" w:eastAsia="仿宋_GB2312" w:hAnsi="Calibri" w:hint="eastAsia"/>
          <w:kern w:val="0"/>
          <w:sz w:val="30"/>
          <w:szCs w:val="28"/>
        </w:rPr>
        <w:lastRenderedPageBreak/>
        <w:t>资产收益率为</w:t>
      </w:r>
      <w:r>
        <w:rPr>
          <w:rFonts w:ascii="仿宋_GB2312" w:eastAsia="仿宋_GB2312" w:hAnsi="Calibri"/>
          <w:kern w:val="0"/>
          <w:sz w:val="30"/>
          <w:szCs w:val="28"/>
        </w:rPr>
        <w:t>12.62%</w:t>
      </w:r>
      <w:r>
        <w:rPr>
          <w:rFonts w:ascii="仿宋_GB2312" w:eastAsia="仿宋_GB2312" w:hAnsi="Calibri" w:hint="eastAsia"/>
          <w:kern w:val="0"/>
          <w:sz w:val="30"/>
          <w:szCs w:val="28"/>
        </w:rPr>
        <w:t>，保持较好水平；成功发行</w:t>
      </w:r>
      <w:r>
        <w:rPr>
          <w:rFonts w:ascii="仿宋_GB2312" w:eastAsia="仿宋_GB2312" w:hAnsi="Calibri"/>
          <w:kern w:val="0"/>
          <w:sz w:val="30"/>
          <w:szCs w:val="28"/>
        </w:rPr>
        <w:t>300</w:t>
      </w:r>
      <w:r>
        <w:rPr>
          <w:rFonts w:ascii="仿宋_GB2312" w:eastAsia="仿宋_GB2312" w:hAnsi="Calibri" w:hint="eastAsia"/>
          <w:kern w:val="0"/>
          <w:sz w:val="30"/>
          <w:szCs w:val="28"/>
        </w:rPr>
        <w:t>亿元无固定期限资本债券，年末资本充足率</w:t>
      </w:r>
      <w:r>
        <w:rPr>
          <w:rFonts w:ascii="仿宋_GB2312" w:eastAsia="仿宋_GB2312" w:hAnsi="Calibri"/>
          <w:kern w:val="0"/>
          <w:sz w:val="30"/>
          <w:szCs w:val="28"/>
        </w:rPr>
        <w:t>13.47%</w:t>
      </w:r>
      <w:r>
        <w:rPr>
          <w:rFonts w:ascii="仿宋_GB2312" w:eastAsia="仿宋_GB2312" w:hAnsi="Calibri" w:hint="eastAsia"/>
          <w:kern w:val="0"/>
          <w:sz w:val="30"/>
          <w:szCs w:val="28"/>
        </w:rPr>
        <w:t>，核心一级资本充足率</w:t>
      </w:r>
      <w:r>
        <w:rPr>
          <w:rFonts w:ascii="仿宋_GB2312" w:eastAsia="仿宋_GB2312" w:hAnsi="Calibri"/>
          <w:kern w:val="0"/>
          <w:sz w:val="30"/>
          <w:szCs w:val="28"/>
        </w:rPr>
        <w:t>9.33%</w:t>
      </w:r>
      <w:r>
        <w:rPr>
          <w:rFonts w:ascii="仿宋_GB2312" w:eastAsia="仿宋_GB2312" w:hAnsi="Calibri" w:hint="eastAsia"/>
          <w:kern w:val="0"/>
          <w:sz w:val="30"/>
          <w:szCs w:val="28"/>
        </w:rPr>
        <w:t>，主要指标符合监管要求。明晟</w:t>
      </w:r>
      <w:r>
        <w:rPr>
          <w:rFonts w:ascii="仿宋_GB2312" w:eastAsia="仿宋_GB2312" w:hAnsi="Calibri"/>
          <w:kern w:val="0"/>
          <w:sz w:val="30"/>
          <w:szCs w:val="28"/>
        </w:rPr>
        <w:t>ESG</w:t>
      </w:r>
      <w:r>
        <w:rPr>
          <w:rFonts w:ascii="仿宋_GB2312" w:eastAsia="仿宋_GB2312" w:hAnsi="Calibri" w:hint="eastAsia"/>
          <w:kern w:val="0"/>
          <w:sz w:val="30"/>
          <w:szCs w:val="28"/>
        </w:rPr>
        <w:t>评级连续第二年获评A级，</w:t>
      </w:r>
      <w:r>
        <w:rPr>
          <w:rFonts w:ascii="仿宋_GB2312" w:eastAsia="仿宋_GB2312" w:hAnsi="Calibri"/>
          <w:kern w:val="0"/>
          <w:sz w:val="30"/>
          <w:szCs w:val="28"/>
        </w:rPr>
        <w:t>“</w:t>
      </w:r>
      <w:r>
        <w:rPr>
          <w:rFonts w:ascii="仿宋_GB2312" w:eastAsia="仿宋_GB2312" w:hAnsi="Calibri" w:hint="eastAsia"/>
          <w:kern w:val="0"/>
          <w:sz w:val="30"/>
          <w:szCs w:val="28"/>
        </w:rPr>
        <w:t>全球银行</w:t>
      </w:r>
      <w:r>
        <w:rPr>
          <w:rFonts w:ascii="仿宋_GB2312" w:eastAsia="仿宋_GB2312" w:hAnsi="Calibri"/>
          <w:kern w:val="0"/>
          <w:sz w:val="30"/>
          <w:szCs w:val="28"/>
        </w:rPr>
        <w:t>1000</w:t>
      </w:r>
      <w:r>
        <w:rPr>
          <w:rFonts w:ascii="仿宋_GB2312" w:eastAsia="仿宋_GB2312" w:hAnsi="Calibri" w:hint="eastAsia"/>
          <w:kern w:val="0"/>
          <w:sz w:val="30"/>
          <w:szCs w:val="28"/>
        </w:rPr>
        <w:t>强</w:t>
      </w:r>
      <w:r>
        <w:rPr>
          <w:rFonts w:ascii="仿宋_GB2312" w:eastAsia="仿宋_GB2312" w:hAnsi="Calibri"/>
          <w:kern w:val="0"/>
          <w:sz w:val="30"/>
          <w:szCs w:val="28"/>
        </w:rPr>
        <w:t>”</w:t>
      </w:r>
      <w:r>
        <w:rPr>
          <w:rFonts w:ascii="仿宋_GB2312" w:eastAsia="仿宋_GB2312" w:hAnsi="Calibri" w:hint="eastAsia"/>
          <w:kern w:val="0"/>
          <w:sz w:val="30"/>
          <w:szCs w:val="28"/>
        </w:rPr>
        <w:t>排名持续上升，股价跑赢大市，市值屡创新高，荣获“最具投资价值商业银行”、“最佳可持续银行”、“亚洲卓越商业银行”等荣誉。</w:t>
      </w:r>
    </w:p>
    <w:p w:rsidR="00092652" w:rsidRDefault="0039522B">
      <w:pPr>
        <w:overflowPunct w:val="0"/>
        <w:snapToGrid w:val="0"/>
        <w:spacing w:line="520" w:lineRule="exact"/>
        <w:ind w:firstLineChars="200" w:firstLine="602"/>
        <w:rPr>
          <w:rFonts w:ascii="仿宋_GB2312" w:eastAsia="仿宋_GB2312"/>
          <w:b/>
          <w:color w:val="000000" w:themeColor="text1"/>
          <w:kern w:val="0"/>
          <w:sz w:val="30"/>
          <w:szCs w:val="28"/>
          <w:lang w:val="zh-CN"/>
        </w:rPr>
      </w:pPr>
      <w:r>
        <w:rPr>
          <w:rFonts w:ascii="仿宋_GB2312" w:eastAsia="仿宋_GB2312" w:hint="eastAsia"/>
          <w:b/>
          <w:color w:val="000000" w:themeColor="text1"/>
          <w:kern w:val="0"/>
          <w:sz w:val="30"/>
          <w:szCs w:val="28"/>
          <w:lang w:val="zh-CN"/>
        </w:rPr>
        <w:t>二、</w:t>
      </w:r>
      <w:r>
        <w:rPr>
          <w:rFonts w:ascii="仿宋_GB2312" w:eastAsia="仿宋_GB2312" w:hAnsi="Calibri" w:hint="eastAsia"/>
          <w:b/>
          <w:color w:val="000000" w:themeColor="text1"/>
          <w:kern w:val="0"/>
          <w:sz w:val="30"/>
          <w:szCs w:val="28"/>
        </w:rPr>
        <w:t>强化战略决策</w:t>
      </w:r>
      <w:r>
        <w:rPr>
          <w:rFonts w:ascii="仿宋_GB2312" w:eastAsia="仿宋_GB2312" w:hint="eastAsia"/>
          <w:b/>
          <w:color w:val="000000" w:themeColor="text1"/>
          <w:kern w:val="0"/>
          <w:sz w:val="30"/>
          <w:szCs w:val="28"/>
          <w:lang w:val="zh-CN"/>
        </w:rPr>
        <w:t>，持续提升发展质效</w:t>
      </w:r>
    </w:p>
    <w:p w:rsidR="00092652" w:rsidRDefault="0039522B">
      <w:pPr>
        <w:overflowPunct w:val="0"/>
        <w:snapToGrid w:val="0"/>
        <w:spacing w:line="520" w:lineRule="exact"/>
        <w:ind w:firstLineChars="200" w:firstLine="602"/>
        <w:rPr>
          <w:rFonts w:ascii="仿宋_GB2312" w:eastAsia="仿宋_GB2312"/>
          <w:color w:val="FF0000"/>
          <w:sz w:val="30"/>
          <w:szCs w:val="30"/>
        </w:rPr>
      </w:pPr>
      <w:r>
        <w:rPr>
          <w:rFonts w:ascii="仿宋_GB2312" w:eastAsia="仿宋_GB2312" w:hint="eastAsia"/>
          <w:b/>
          <w:color w:val="000000" w:themeColor="text1"/>
          <w:kern w:val="0"/>
          <w:sz w:val="30"/>
          <w:szCs w:val="28"/>
          <w:lang w:val="zh-CN"/>
        </w:rPr>
        <w:t>（一）研究制定新一轮五年规划，把握集团战略方向。</w:t>
      </w:r>
      <w:r>
        <w:rPr>
          <w:rFonts w:ascii="仿宋_GB2312" w:eastAsia="仿宋_GB2312" w:hAnsi="宋体" w:cs="宋体" w:hint="eastAsia"/>
          <w:kern w:val="0"/>
          <w:sz w:val="30"/>
          <w:szCs w:val="30"/>
        </w:rPr>
        <w:t>2020年，是本轮五年规划的收官之年。通过本轮五年规划的有效实施，本行在市场地位、战略推进和经营转型等方面都取得了显著成效。着眼未来长远发展，董事会先后听取和审议新一轮五年规划编制思路及报告，在</w:t>
      </w:r>
      <w:r>
        <w:rPr>
          <w:rFonts w:ascii="仿宋_GB2312" w:eastAsia="仿宋_GB2312" w:hint="eastAsia"/>
          <w:color w:val="000000" w:themeColor="text1"/>
          <w:sz w:val="30"/>
          <w:szCs w:val="30"/>
        </w:rPr>
        <w:t>充分评估内外部发展条件基础上，</w:t>
      </w:r>
      <w:r>
        <w:rPr>
          <w:rFonts w:ascii="仿宋_GB2312" w:eastAsia="仿宋_GB2312" w:hAnsi="宋体" w:cs="宋体" w:hint="eastAsia"/>
          <w:kern w:val="0"/>
          <w:sz w:val="30"/>
          <w:szCs w:val="30"/>
        </w:rPr>
        <w:t>认真谋划未来五年的发展目标和方向，研究制定</w:t>
      </w:r>
      <w:r>
        <w:rPr>
          <w:rFonts w:ascii="仿宋_GB2312" w:eastAsia="仿宋_GB2312" w:hint="eastAsia"/>
          <w:color w:val="000000" w:themeColor="text1"/>
          <w:sz w:val="30"/>
          <w:szCs w:val="30"/>
        </w:rPr>
        <w:t>《2021-2025年发展战略规划纲要》。要求未来五年坚持“轻资产、轻资本、高效率”转型方向，坚定“商业银行+投资银行”发展信心，持续增强“结算型、投资型、交易型”三型银行智慧内核，全面提升“重点分行、重点行业、重点客户、重点产品”价值贡献，</w:t>
      </w:r>
      <w:r>
        <w:rPr>
          <w:rFonts w:ascii="仿宋_GB2312" w:eastAsia="仿宋_GB2312" w:hAnsi="仿宋" w:hint="eastAsia"/>
          <w:sz w:val="30"/>
          <w:szCs w:val="30"/>
        </w:rPr>
        <w:t>推动全行经营理念从产品驱动向客户驱动转变，经营模式从高速度增长向高质量发展转变、从规模银行向价值银行转变</w:t>
      </w:r>
      <w:r>
        <w:rPr>
          <w:rFonts w:ascii="仿宋_GB2312" w:eastAsia="仿宋_GB2312" w:hint="eastAsia"/>
          <w:color w:val="000000" w:themeColor="text1"/>
          <w:sz w:val="30"/>
          <w:szCs w:val="30"/>
        </w:rPr>
        <w:t>。在此基础上，董事会提出关于新一轮战略规划的具体要求，包括</w:t>
      </w:r>
      <w:r>
        <w:rPr>
          <w:rFonts w:ascii="仿宋_GB2312" w:eastAsia="仿宋_GB2312" w:hint="eastAsia"/>
          <w:sz w:val="30"/>
          <w:szCs w:val="28"/>
        </w:rPr>
        <w:t>高度重视与国家“十四五”规划相对接，</w:t>
      </w:r>
      <w:r>
        <w:rPr>
          <w:rFonts w:ascii="仿宋_GB2312" w:eastAsia="仿宋_GB2312" w:hint="eastAsia"/>
          <w:color w:val="000000" w:themeColor="text1"/>
          <w:sz w:val="30"/>
          <w:szCs w:val="30"/>
        </w:rPr>
        <w:t>积极融入“新发展阶段、新发展理念、新发展格局”</w:t>
      </w:r>
      <w:r>
        <w:rPr>
          <w:rFonts w:ascii="仿宋_GB2312" w:eastAsia="仿宋_GB2312" w:hint="eastAsia"/>
          <w:sz w:val="30"/>
          <w:szCs w:val="28"/>
        </w:rPr>
        <w:t>，把握战略性机遇</w:t>
      </w:r>
      <w:r>
        <w:rPr>
          <w:rFonts w:ascii="仿宋_GB2312" w:eastAsia="仿宋_GB2312" w:hint="eastAsia"/>
          <w:bCs/>
          <w:color w:val="000000"/>
          <w:sz w:val="30"/>
          <w:szCs w:val="30"/>
        </w:rPr>
        <w:t>，进一步完善本行综合化经营的体制机制和组织管理架构；</w:t>
      </w:r>
      <w:r>
        <w:rPr>
          <w:rFonts w:ascii="仿宋_GB2312" w:eastAsia="仿宋_GB2312" w:hint="eastAsia"/>
          <w:color w:val="000000" w:themeColor="text1"/>
          <w:sz w:val="30"/>
          <w:szCs w:val="30"/>
        </w:rPr>
        <w:t>顺应内外部经济金融形势变化和国内外各类监管政策要求，合理把握发展节奏，筑牢发展根基；坚持稳健经营合规引领，以专业化、精细化风险管理能力为业务发展赋能，实现成长、效率与风险的有机平衡；</w:t>
      </w:r>
      <w:r>
        <w:rPr>
          <w:rFonts w:ascii="仿宋_GB2312" w:eastAsia="仿宋_GB2312" w:hint="eastAsia"/>
          <w:sz w:val="30"/>
          <w:szCs w:val="30"/>
        </w:rPr>
        <w:t>努力打造特色鲜明、领跑行</w:t>
      </w:r>
      <w:r>
        <w:rPr>
          <w:rFonts w:ascii="仿宋_GB2312" w:eastAsia="仿宋_GB2312" w:hint="eastAsia"/>
          <w:sz w:val="30"/>
          <w:szCs w:val="30"/>
        </w:rPr>
        <w:lastRenderedPageBreak/>
        <w:t>业的投资银行、财富银行、绿色银行三张“金色名片”；</w:t>
      </w:r>
      <w:r>
        <w:rPr>
          <w:rFonts w:ascii="仿宋_GB2312" w:eastAsia="仿宋_GB2312" w:hint="eastAsia"/>
          <w:color w:val="000000" w:themeColor="text1"/>
          <w:sz w:val="30"/>
          <w:szCs w:val="30"/>
        </w:rPr>
        <w:t>要求制定数字化转型规划，切实</w:t>
      </w:r>
      <w:r>
        <w:rPr>
          <w:rFonts w:ascii="仿宋_GB2312" w:eastAsia="仿宋_GB2312" w:hint="eastAsia"/>
          <w:sz w:val="30"/>
          <w:szCs w:val="30"/>
        </w:rPr>
        <w:t>强化对数据资源的治理能力、运营能力建设，</w:t>
      </w:r>
      <w:r>
        <w:rPr>
          <w:rFonts w:ascii="仿宋_GB2312" w:eastAsia="仿宋_GB2312" w:hint="eastAsia"/>
          <w:color w:val="000000" w:themeColor="text1"/>
          <w:sz w:val="30"/>
          <w:szCs w:val="30"/>
        </w:rPr>
        <w:t>深化业务与科技相互融合，科技赋能业务发展</w:t>
      </w:r>
      <w:r>
        <w:rPr>
          <w:rFonts w:ascii="仿宋_GB2312" w:eastAsia="仿宋_GB2312" w:hint="eastAsia"/>
          <w:bCs/>
          <w:sz w:val="30"/>
          <w:szCs w:val="32"/>
        </w:rPr>
        <w:t>。</w:t>
      </w:r>
    </w:p>
    <w:p w:rsidR="00092652" w:rsidRDefault="0039522B">
      <w:pPr>
        <w:overflowPunct w:val="0"/>
        <w:snapToGrid w:val="0"/>
        <w:spacing w:line="520" w:lineRule="exact"/>
        <w:ind w:firstLineChars="200" w:firstLine="602"/>
        <w:rPr>
          <w:rFonts w:ascii="仿宋_GB2312" w:eastAsia="仿宋_GB2312"/>
          <w:b/>
          <w:color w:val="000000" w:themeColor="text1"/>
          <w:kern w:val="0"/>
          <w:sz w:val="30"/>
          <w:szCs w:val="28"/>
          <w:lang w:val="zh-CN"/>
        </w:rPr>
      </w:pPr>
      <w:r>
        <w:rPr>
          <w:rFonts w:ascii="仿宋_GB2312" w:eastAsia="仿宋_GB2312" w:hint="eastAsia"/>
          <w:b/>
          <w:color w:val="000000" w:themeColor="text1"/>
          <w:kern w:val="0"/>
          <w:sz w:val="30"/>
          <w:szCs w:val="28"/>
          <w:lang w:val="zh-CN"/>
        </w:rPr>
        <w:t>（二）克服疫情影响，深化“1234”战略、“2344”策略实施和经营转型。</w:t>
      </w:r>
      <w:r>
        <w:rPr>
          <w:rFonts w:ascii="仿宋_GB2312" w:eastAsia="仿宋_GB2312"/>
          <w:color w:val="000000" w:themeColor="text1"/>
          <w:sz w:val="30"/>
          <w:szCs w:val="30"/>
        </w:rPr>
        <w:t>20</w:t>
      </w:r>
      <w:r>
        <w:rPr>
          <w:rFonts w:ascii="仿宋_GB2312" w:eastAsia="仿宋_GB2312" w:hint="eastAsia"/>
          <w:color w:val="000000" w:themeColor="text1"/>
          <w:sz w:val="30"/>
          <w:szCs w:val="30"/>
        </w:rPr>
        <w:t>20</w:t>
      </w:r>
      <w:r>
        <w:rPr>
          <w:rFonts w:ascii="仿宋_GB2312" w:eastAsia="仿宋_GB2312"/>
          <w:color w:val="000000" w:themeColor="text1"/>
          <w:sz w:val="30"/>
          <w:szCs w:val="30"/>
        </w:rPr>
        <w:t>年</w:t>
      </w:r>
      <w:r>
        <w:rPr>
          <w:rFonts w:ascii="仿宋_GB2312" w:eastAsia="仿宋_GB2312" w:hint="eastAsia"/>
          <w:color w:val="000000" w:themeColor="text1"/>
          <w:sz w:val="30"/>
          <w:szCs w:val="30"/>
        </w:rPr>
        <w:t>，面对新冠疫情冲击，</w:t>
      </w:r>
      <w:r>
        <w:rPr>
          <w:rFonts w:ascii="仿宋_GB2312" w:eastAsia="仿宋_GB2312" w:hint="eastAsia"/>
          <w:sz w:val="30"/>
        </w:rPr>
        <w:t>董事会积极应对疫情，深入研判疫情过后经济社会结构变化趋势，科学统筹保安全、稳发展、助防疫等工作，着眼长远、主动作为，</w:t>
      </w:r>
      <w:r>
        <w:rPr>
          <w:rFonts w:ascii="仿宋_GB2312" w:eastAsia="仿宋_GB2312" w:hint="eastAsia"/>
          <w:color w:val="000000" w:themeColor="text1"/>
          <w:sz w:val="30"/>
          <w:szCs w:val="30"/>
        </w:rPr>
        <w:t>进一步深化“1234”战略和“2344”策略实施，</w:t>
      </w:r>
      <w:r>
        <w:rPr>
          <w:rFonts w:ascii="仿宋_GB2312" w:eastAsia="仿宋_GB2312" w:hint="eastAsia"/>
          <w:sz w:val="30"/>
        </w:rPr>
        <w:t>加强政策引导，</w:t>
      </w:r>
      <w:r>
        <w:rPr>
          <w:rFonts w:ascii="仿宋_GB2312" w:eastAsia="仿宋_GB2312" w:hint="eastAsia"/>
          <w:color w:val="000000" w:themeColor="text1"/>
          <w:sz w:val="30"/>
          <w:szCs w:val="30"/>
        </w:rPr>
        <w:t>深入推进改革转型，不断夯实发展基础，实现各项业务稳健增长。表内和表外业务持续优化。贷款占总资产比重上升至</w:t>
      </w:r>
      <w:r>
        <w:rPr>
          <w:rFonts w:ascii="仿宋_GB2312" w:eastAsia="仿宋_GB2312"/>
          <w:color w:val="000000" w:themeColor="text1"/>
          <w:sz w:val="30"/>
          <w:szCs w:val="30"/>
        </w:rPr>
        <w:t>50.23%</w:t>
      </w:r>
      <w:r>
        <w:rPr>
          <w:rFonts w:ascii="仿宋_GB2312" w:eastAsia="仿宋_GB2312" w:hint="eastAsia"/>
          <w:color w:val="000000" w:themeColor="text1"/>
          <w:sz w:val="30"/>
          <w:szCs w:val="30"/>
        </w:rPr>
        <w:t>，法定利率存款较年初增长</w:t>
      </w:r>
      <w:r>
        <w:rPr>
          <w:rFonts w:ascii="仿宋_GB2312" w:eastAsia="仿宋_GB2312"/>
          <w:color w:val="000000" w:themeColor="text1"/>
          <w:sz w:val="30"/>
          <w:szCs w:val="30"/>
        </w:rPr>
        <w:t>12.64%</w:t>
      </w:r>
      <w:r>
        <w:rPr>
          <w:rFonts w:ascii="仿宋_GB2312" w:eastAsia="仿宋_GB2312" w:hint="eastAsia"/>
          <w:color w:val="000000" w:themeColor="text1"/>
          <w:sz w:val="30"/>
          <w:szCs w:val="30"/>
        </w:rPr>
        <w:t>至</w:t>
      </w:r>
      <w:r>
        <w:rPr>
          <w:rFonts w:ascii="仿宋_GB2312" w:eastAsia="仿宋_GB2312"/>
          <w:color w:val="000000" w:themeColor="text1"/>
          <w:sz w:val="30"/>
          <w:szCs w:val="30"/>
        </w:rPr>
        <w:t>3.7</w:t>
      </w:r>
      <w:r>
        <w:rPr>
          <w:rFonts w:ascii="仿宋_GB2312" w:eastAsia="仿宋_GB2312" w:hint="eastAsia"/>
          <w:color w:val="000000" w:themeColor="text1"/>
          <w:sz w:val="30"/>
          <w:szCs w:val="30"/>
        </w:rPr>
        <w:t>0万亿元，负债成本显著下降，净息差同比保持稳定，流动性指标全面满足监管要求。非金融企业债务工具承销保持全市场第一位，银行理财余额较年初增长</w:t>
      </w:r>
      <w:r>
        <w:rPr>
          <w:rFonts w:ascii="仿宋_GB2312" w:eastAsia="仿宋_GB2312"/>
          <w:color w:val="000000" w:themeColor="text1"/>
          <w:sz w:val="30"/>
          <w:szCs w:val="30"/>
        </w:rPr>
        <w:t>10.35%</w:t>
      </w:r>
      <w:r>
        <w:rPr>
          <w:rFonts w:ascii="仿宋_GB2312" w:eastAsia="仿宋_GB2312" w:hint="eastAsia"/>
          <w:color w:val="000000" w:themeColor="text1"/>
          <w:sz w:val="30"/>
          <w:szCs w:val="30"/>
        </w:rPr>
        <w:t>至1.48万亿元，零售财富全年销售</w:t>
      </w:r>
      <w:r>
        <w:rPr>
          <w:rFonts w:ascii="仿宋_GB2312" w:eastAsia="仿宋_GB2312"/>
          <w:color w:val="000000" w:themeColor="text1"/>
          <w:sz w:val="30"/>
          <w:szCs w:val="30"/>
        </w:rPr>
        <w:t>5.43</w:t>
      </w:r>
      <w:r>
        <w:rPr>
          <w:rFonts w:ascii="仿宋_GB2312" w:eastAsia="仿宋_GB2312" w:hint="eastAsia"/>
          <w:color w:val="000000" w:themeColor="text1"/>
          <w:sz w:val="30"/>
          <w:szCs w:val="30"/>
        </w:rPr>
        <w:t>万亿元。场景生态圈、投行生态圈、投资生态圈三个生态圈扎实构建，同业非银金融机构资金管理云平台对主要行业非银金融机构覆盖率升至</w:t>
      </w:r>
      <w:r>
        <w:rPr>
          <w:rFonts w:ascii="仿宋_GB2312" w:eastAsia="仿宋_GB2312"/>
          <w:color w:val="000000" w:themeColor="text1"/>
          <w:sz w:val="30"/>
          <w:szCs w:val="30"/>
        </w:rPr>
        <w:t>75.15%</w:t>
      </w:r>
      <w:r>
        <w:rPr>
          <w:rFonts w:ascii="仿宋_GB2312" w:eastAsia="仿宋_GB2312" w:hint="eastAsia"/>
          <w:color w:val="000000" w:themeColor="text1"/>
          <w:sz w:val="30"/>
          <w:szCs w:val="30"/>
        </w:rPr>
        <w:t>。四个赋能迈出坚实步伐。金融科技体制机制改革基本完成，数据治理深入开展，兴业研究与集团各领域的融合持续加深，风险管理、审查审批精细化、数字化水平明显提升，综合型支行改革快速推进，子公司占集团营业收入比重较上年上升</w:t>
      </w:r>
      <w:r>
        <w:rPr>
          <w:rFonts w:ascii="仿宋_GB2312" w:eastAsia="仿宋_GB2312"/>
          <w:color w:val="000000" w:themeColor="text1"/>
          <w:sz w:val="30"/>
          <w:szCs w:val="30"/>
        </w:rPr>
        <w:t>1.46</w:t>
      </w:r>
      <w:r>
        <w:rPr>
          <w:rFonts w:ascii="仿宋_GB2312" w:eastAsia="仿宋_GB2312" w:hint="eastAsia"/>
          <w:color w:val="000000" w:themeColor="text1"/>
          <w:sz w:val="30"/>
          <w:szCs w:val="30"/>
        </w:rPr>
        <w:t>个百分点至</w:t>
      </w:r>
      <w:r>
        <w:rPr>
          <w:rFonts w:ascii="仿宋_GB2312" w:eastAsia="仿宋_GB2312"/>
          <w:color w:val="000000" w:themeColor="text1"/>
          <w:sz w:val="30"/>
          <w:szCs w:val="30"/>
        </w:rPr>
        <w:t>8.83%</w:t>
      </w:r>
      <w:r>
        <w:rPr>
          <w:rFonts w:ascii="仿宋_GB2312" w:eastAsia="仿宋_GB2312" w:hint="eastAsia"/>
          <w:color w:val="000000" w:themeColor="text1"/>
          <w:sz w:val="30"/>
          <w:szCs w:val="30"/>
        </w:rPr>
        <w:t>。政府融资业务严守合规底限，房地产贷款增量得到合理控制，企金客户数较年初增长</w:t>
      </w:r>
      <w:r>
        <w:rPr>
          <w:rFonts w:ascii="仿宋_GB2312" w:eastAsia="仿宋_GB2312"/>
          <w:color w:val="000000" w:themeColor="text1"/>
          <w:sz w:val="30"/>
          <w:szCs w:val="30"/>
        </w:rPr>
        <w:t>18.74%</w:t>
      </w:r>
      <w:r>
        <w:rPr>
          <w:rFonts w:ascii="仿宋_GB2312" w:eastAsia="仿宋_GB2312" w:hint="eastAsia"/>
          <w:color w:val="000000" w:themeColor="text1"/>
          <w:sz w:val="30"/>
          <w:szCs w:val="30"/>
        </w:rPr>
        <w:t>。绿色金融、供应链金融、个人经营贷等重点业务保持较快增长，蓝色债券、</w:t>
      </w:r>
      <w:r>
        <w:rPr>
          <w:rFonts w:ascii="仿宋_GB2312" w:eastAsia="仿宋_GB2312"/>
          <w:color w:val="000000" w:themeColor="text1"/>
          <w:sz w:val="30"/>
          <w:szCs w:val="30"/>
        </w:rPr>
        <w:t>ESG</w:t>
      </w:r>
      <w:r>
        <w:rPr>
          <w:rFonts w:ascii="仿宋_GB2312" w:eastAsia="仿宋_GB2312" w:hint="eastAsia"/>
          <w:color w:val="000000" w:themeColor="text1"/>
          <w:sz w:val="30"/>
          <w:szCs w:val="30"/>
        </w:rPr>
        <w:t>主题理财等创新产品陆续落地。</w:t>
      </w:r>
      <w:r>
        <w:rPr>
          <w:rFonts w:ascii="仿宋_GB2312" w:eastAsia="仿宋_GB2312"/>
          <w:color w:val="000000" w:themeColor="text1"/>
          <w:sz w:val="30"/>
          <w:szCs w:val="30"/>
        </w:rPr>
        <w:t xml:space="preserve"> </w:t>
      </w:r>
    </w:p>
    <w:p w:rsidR="00092652" w:rsidRDefault="0039522B">
      <w:pPr>
        <w:overflowPunct w:val="0"/>
        <w:snapToGrid w:val="0"/>
        <w:spacing w:line="520" w:lineRule="exact"/>
        <w:ind w:firstLineChars="200" w:firstLine="602"/>
        <w:rPr>
          <w:rFonts w:ascii="仿宋_GB2312" w:eastAsia="仿宋_GB2312" w:hAnsi="宋体"/>
          <w:bCs/>
          <w:color w:val="000000"/>
          <w:sz w:val="30"/>
          <w:szCs w:val="28"/>
        </w:rPr>
      </w:pPr>
      <w:r>
        <w:rPr>
          <w:rFonts w:ascii="仿宋_GB2312" w:eastAsia="仿宋_GB2312" w:hAnsi="华文仿宋" w:hint="eastAsia"/>
          <w:b/>
          <w:color w:val="000000" w:themeColor="text1"/>
          <w:sz w:val="30"/>
          <w:szCs w:val="28"/>
        </w:rPr>
        <w:t>（三）强化全面资本管理，保障稳健持续发展。</w:t>
      </w:r>
      <w:r>
        <w:rPr>
          <w:rFonts w:ascii="仿宋_GB2312" w:eastAsia="仿宋_GB2312" w:hint="eastAsia"/>
          <w:sz w:val="30"/>
          <w:szCs w:val="30"/>
        </w:rPr>
        <w:t>在资本监管要求日益趋严背景下</w:t>
      </w:r>
      <w:r>
        <w:rPr>
          <w:rFonts w:ascii="仿宋_GB2312" w:eastAsia="仿宋_GB2312" w:cs="仿宋_GB2312" w:hint="eastAsia"/>
          <w:bCs/>
          <w:kern w:val="0"/>
          <w:sz w:val="30"/>
          <w:szCs w:val="28"/>
        </w:rPr>
        <w:t>，</w:t>
      </w:r>
      <w:r>
        <w:rPr>
          <w:rFonts w:ascii="仿宋_GB2312" w:eastAsia="仿宋_GB2312" w:hAnsi="宋体" w:hint="eastAsia"/>
          <w:bCs/>
          <w:color w:val="000000"/>
          <w:sz w:val="30"/>
          <w:szCs w:val="28"/>
        </w:rPr>
        <w:t>深入研究宏观经济金融政策和资本监管改</w:t>
      </w:r>
      <w:r>
        <w:rPr>
          <w:rFonts w:ascii="仿宋_GB2312" w:eastAsia="仿宋_GB2312" w:hAnsi="宋体" w:hint="eastAsia"/>
          <w:bCs/>
          <w:color w:val="000000"/>
          <w:sz w:val="30"/>
          <w:szCs w:val="28"/>
        </w:rPr>
        <w:lastRenderedPageBreak/>
        <w:t>革动态，合理平衡监管要求和业务发展需求，审议制定2020年度资本管理计划，贯彻</w:t>
      </w:r>
      <w:r>
        <w:rPr>
          <w:rFonts w:ascii="仿宋_GB2312" w:eastAsia="仿宋_GB2312" w:hAnsi="宋体" w:hint="eastAsia"/>
          <w:color w:val="000000"/>
          <w:sz w:val="30"/>
          <w:szCs w:val="28"/>
        </w:rPr>
        <w:t>资本集约化经营理念，提高资本使用效率，确保集团资本充足。</w:t>
      </w:r>
      <w:r>
        <w:rPr>
          <w:rFonts w:ascii="仿宋_GB2312" w:eastAsia="仿宋_GB2312" w:hint="eastAsia"/>
          <w:sz w:val="30"/>
          <w:szCs w:val="30"/>
        </w:rPr>
        <w:t>坚持内源积累与外源补充相结合，</w:t>
      </w:r>
      <w:r>
        <w:rPr>
          <w:rFonts w:eastAsia="仿宋_GB2312" w:hint="eastAsia"/>
          <w:sz w:val="30"/>
          <w:szCs w:val="30"/>
        </w:rPr>
        <w:t>把握有利政策环境，</w:t>
      </w:r>
      <w:r>
        <w:rPr>
          <w:rFonts w:ascii="仿宋_GB2312" w:eastAsia="仿宋_GB2312" w:hint="eastAsia"/>
          <w:sz w:val="30"/>
          <w:szCs w:val="30"/>
        </w:rPr>
        <w:t>于2020年10月完成300亿元无固定期限资本债券发行，提升一级资本充足率0.54个百分点；积极研究运用各种资本补充工具，提请股东大会于2023年底前发行不超过1000亿</w:t>
      </w:r>
      <w:r>
        <w:rPr>
          <w:rFonts w:ascii="仿宋_GB2312" w:eastAsia="仿宋_GB2312" w:hint="eastAsia"/>
          <w:color w:val="000000" w:themeColor="text1"/>
          <w:sz w:val="30"/>
          <w:szCs w:val="30"/>
        </w:rPr>
        <w:t>元减记型二级资本债券，在填补部分二级资本补充工具未来赎回缺口的同时，保持资本充足性和稳健性。</w:t>
      </w:r>
      <w:r>
        <w:rPr>
          <w:rFonts w:ascii="仿宋_GB2312" w:eastAsia="仿宋_GB2312" w:hint="eastAsia"/>
          <w:color w:val="000000"/>
          <w:sz w:val="30"/>
        </w:rPr>
        <w:t>持续加强表外业务的风险加权资产规模管理，资产负债结构持续优化，风险加权资产增长控制在合理范围，优化风险资产规模分配和管控机制，提高资本使用效率。</w:t>
      </w:r>
      <w:r>
        <w:rPr>
          <w:rFonts w:ascii="仿宋_GB2312" w:eastAsia="仿宋_GB2312" w:hint="eastAsia"/>
          <w:color w:val="000000" w:themeColor="text1"/>
          <w:sz w:val="30"/>
          <w:szCs w:val="30"/>
        </w:rPr>
        <w:t>全力推进巴塞尔协议Ⅲ新标准法建设，积极申请实施资本计量高级法，</w:t>
      </w:r>
      <w:r>
        <w:rPr>
          <w:rFonts w:eastAsia="仿宋_GB2312" w:hint="eastAsia"/>
          <w:sz w:val="30"/>
          <w:szCs w:val="30"/>
        </w:rPr>
        <w:t>提前规划未来进入全球系统重要性银行，提高资本精细化管理水平。</w:t>
      </w:r>
    </w:p>
    <w:p w:rsidR="00092652" w:rsidRDefault="0039522B">
      <w:pPr>
        <w:overflowPunct w:val="0"/>
        <w:snapToGrid w:val="0"/>
        <w:spacing w:line="520" w:lineRule="exact"/>
        <w:ind w:firstLineChars="200" w:firstLine="602"/>
        <w:rPr>
          <w:rFonts w:ascii="仿宋_GB2312" w:eastAsia="仿宋_GB2312" w:hAnsi="华文仿宋"/>
          <w:b/>
          <w:color w:val="000000" w:themeColor="text1"/>
          <w:sz w:val="30"/>
          <w:szCs w:val="28"/>
        </w:rPr>
      </w:pPr>
      <w:r>
        <w:rPr>
          <w:rFonts w:ascii="仿宋_GB2312" w:eastAsia="仿宋_GB2312" w:hAnsi="华文仿宋" w:hint="eastAsia"/>
          <w:b/>
          <w:color w:val="000000" w:themeColor="text1"/>
          <w:sz w:val="30"/>
          <w:szCs w:val="28"/>
        </w:rPr>
        <w:t>（四）健全并表管理，完善集团综合化经营架构。</w:t>
      </w:r>
      <w:r>
        <w:rPr>
          <w:rFonts w:ascii="仿宋_GB2312" w:eastAsia="仿宋_GB2312" w:hint="eastAsia"/>
          <w:sz w:val="30"/>
          <w:szCs w:val="30"/>
        </w:rPr>
        <w:t>推进集团并表管理制度体系建设，</w:t>
      </w:r>
      <w:r>
        <w:rPr>
          <w:rFonts w:ascii="仿宋_GB2312" w:eastAsia="仿宋_GB2312" w:cs="仿宋_GB2312" w:hint="eastAsia"/>
          <w:color w:val="000000" w:themeColor="text1"/>
          <w:kern w:val="0"/>
          <w:sz w:val="30"/>
          <w:szCs w:val="30"/>
        </w:rPr>
        <w:t>修订《集团并表管理办法》，全面提升集团并表管理水平。</w:t>
      </w:r>
      <w:r>
        <w:rPr>
          <w:rFonts w:ascii="仿宋_GB2312" w:eastAsia="仿宋_GB2312" w:hint="eastAsia"/>
          <w:sz w:val="30"/>
        </w:rPr>
        <w:t>规范集团各层级子公司的管理，强化顶层制度建设和集团战略传导落地，</w:t>
      </w:r>
      <w:r>
        <w:rPr>
          <w:rFonts w:ascii="仿宋_GB2312" w:eastAsia="仿宋_GB2312" w:hint="eastAsia"/>
          <w:sz w:val="30"/>
          <w:szCs w:val="30"/>
        </w:rPr>
        <w:t>完善集团成员差异化管理政策，</w:t>
      </w:r>
      <w:r>
        <w:rPr>
          <w:rFonts w:ascii="仿宋_GB2312" w:eastAsia="仿宋_GB2312" w:hint="eastAsia"/>
          <w:sz w:val="30"/>
        </w:rPr>
        <w:t>提升精细化管理水平。</w:t>
      </w:r>
      <w:r>
        <w:rPr>
          <w:rFonts w:eastAsia="仿宋_GB2312" w:hint="eastAsia"/>
          <w:sz w:val="30"/>
          <w:szCs w:val="30"/>
        </w:rPr>
        <w:t>通盘考虑子公司定位，有效平衡子公司集团成员和市场化主体双重属性，加强对子公司管理和完善对子公司经营授权体系，支持子公司按照市场化原则独立运作，提高对集团的贡献度。研究推动总行管理部门与子公司对接，优化特殊资产处置的协调联动机制。</w:t>
      </w:r>
      <w:r>
        <w:rPr>
          <w:rFonts w:ascii="仿宋_GB2312" w:eastAsia="仿宋_GB2312" w:hint="eastAsia"/>
          <w:color w:val="000000" w:themeColor="text1"/>
          <w:sz w:val="30"/>
          <w:szCs w:val="30"/>
        </w:rPr>
        <w:t>科学规划机构建设，获批筹建3家二级分行，开展1家专项业务持牌专营筹备工作；</w:t>
      </w:r>
      <w:r>
        <w:rPr>
          <w:rFonts w:ascii="仿宋_GB2312" w:eastAsia="仿宋_GB2312" w:hAnsi="宋体" w:hint="eastAsia"/>
          <w:sz w:val="30"/>
          <w:szCs w:val="30"/>
        </w:rPr>
        <w:t>持续推进存量网点整治工作，关停并转部分</w:t>
      </w:r>
      <w:r>
        <w:rPr>
          <w:rFonts w:ascii="仿宋_GB2312" w:eastAsia="仿宋_GB2312" w:hAnsi="宋体" w:hint="eastAsia"/>
          <w:color w:val="000000" w:themeColor="text1"/>
          <w:sz w:val="30"/>
          <w:szCs w:val="30"/>
        </w:rPr>
        <w:t>低产能网点</w:t>
      </w:r>
      <w:r>
        <w:rPr>
          <w:rFonts w:ascii="仿宋_GB2312" w:eastAsia="仿宋_GB2312" w:hint="eastAsia"/>
          <w:color w:val="000000" w:themeColor="text1"/>
          <w:sz w:val="30"/>
          <w:szCs w:val="30"/>
        </w:rPr>
        <w:t>；有序推进国际布局，积极开展境外代表处和分支机构筹建设立工作。紧随战略转型方向，加强分支机构的统筹规划与合理布局，研究</w:t>
      </w:r>
      <w:r>
        <w:rPr>
          <w:rFonts w:ascii="仿宋_GB2312" w:eastAsia="仿宋_GB2312" w:cs="仿宋_GB2312" w:hint="eastAsia"/>
          <w:sz w:val="30"/>
          <w:szCs w:val="30"/>
        </w:rPr>
        <w:t>制订2021年机构发</w:t>
      </w:r>
      <w:r>
        <w:rPr>
          <w:rFonts w:ascii="仿宋_GB2312" w:eastAsia="仿宋_GB2312" w:cs="仿宋_GB2312" w:hint="eastAsia"/>
          <w:sz w:val="30"/>
          <w:szCs w:val="30"/>
        </w:rPr>
        <w:lastRenderedPageBreak/>
        <w:t>展规划，</w:t>
      </w:r>
      <w:r>
        <w:rPr>
          <w:rFonts w:ascii="仿宋_GB2312" w:eastAsia="仿宋_GB2312" w:hint="eastAsia"/>
          <w:sz w:val="30"/>
          <w:szCs w:val="30"/>
        </w:rPr>
        <w:t>进一步明晰社区支行定位，与发展战略有机衔接，提升社区支行的规范化水平和贡献度。</w:t>
      </w:r>
    </w:p>
    <w:p w:rsidR="00092652" w:rsidRDefault="0039522B">
      <w:pPr>
        <w:overflowPunct w:val="0"/>
        <w:snapToGrid w:val="0"/>
        <w:spacing w:line="520" w:lineRule="exact"/>
        <w:ind w:firstLineChars="200" w:firstLine="602"/>
        <w:rPr>
          <w:rFonts w:ascii="仿宋_GB2312" w:eastAsia="仿宋_GB2312"/>
          <w:sz w:val="30"/>
          <w:szCs w:val="30"/>
        </w:rPr>
      </w:pPr>
      <w:r>
        <w:rPr>
          <w:rFonts w:ascii="仿宋_GB2312" w:eastAsia="仿宋_GB2312" w:hAnsi="华文仿宋" w:hint="eastAsia"/>
          <w:b/>
          <w:color w:val="000000" w:themeColor="text1"/>
          <w:sz w:val="30"/>
          <w:szCs w:val="28"/>
        </w:rPr>
        <w:t>（五）全面加强风险内控管理，资产质量持续向好。</w:t>
      </w:r>
      <w:r>
        <w:rPr>
          <w:rFonts w:ascii="仿宋_GB2312" w:eastAsia="仿宋_GB2312" w:hint="eastAsia"/>
          <w:sz w:val="30"/>
          <w:szCs w:val="28"/>
        </w:rPr>
        <w:t>加强各类风险防控</w:t>
      </w:r>
      <w:r>
        <w:rPr>
          <w:rFonts w:ascii="仿宋_GB2312" w:eastAsia="仿宋_GB2312" w:hAnsi="宋体" w:hint="eastAsia"/>
          <w:sz w:val="30"/>
          <w:szCs w:val="28"/>
        </w:rPr>
        <w:t>，</w:t>
      </w:r>
      <w:r>
        <w:rPr>
          <w:rFonts w:ascii="仿宋_GB2312" w:eastAsia="仿宋_GB2312" w:cs="宋体" w:hint="eastAsia"/>
          <w:kern w:val="0"/>
          <w:sz w:val="30"/>
          <w:szCs w:val="28"/>
          <w:lang w:val="zh-CN"/>
        </w:rPr>
        <w:t>确定年度风险容忍度指标方案，</w:t>
      </w:r>
      <w:r>
        <w:rPr>
          <w:rFonts w:ascii="仿宋_GB2312" w:eastAsia="仿宋_GB2312" w:hint="eastAsia"/>
          <w:sz w:val="30"/>
          <w:szCs w:val="28"/>
        </w:rPr>
        <w:t>定期评估全面风险管理状况和主要类别风险管理情况，确保业务发展与风险管理相统一，全年资产质量指标持续向好。</w:t>
      </w:r>
      <w:r>
        <w:rPr>
          <w:rFonts w:ascii="仿宋_GB2312" w:eastAsia="仿宋_GB2312" w:cs="宋体" w:hint="eastAsia"/>
          <w:kern w:val="0"/>
          <w:sz w:val="30"/>
          <w:szCs w:val="28"/>
          <w:lang w:val="zh-CN"/>
        </w:rPr>
        <w:t>进一步完善风险防控长效机制，</w:t>
      </w:r>
      <w:r>
        <w:rPr>
          <w:rFonts w:ascii="仿宋_GB2312" w:eastAsia="仿宋_GB2312" w:hint="eastAsia"/>
          <w:sz w:val="30"/>
          <w:szCs w:val="28"/>
        </w:rPr>
        <w:t>健全全面风险统筹和各主要类别风险分专业管理工作机制，</w:t>
      </w:r>
      <w:r>
        <w:rPr>
          <w:rFonts w:ascii="仿宋_GB2312" w:eastAsia="仿宋_GB2312" w:cs="宋体" w:hint="eastAsia"/>
          <w:kern w:val="0"/>
          <w:sz w:val="30"/>
          <w:szCs w:val="28"/>
          <w:lang w:val="zh-CN"/>
        </w:rPr>
        <w:t>持续优化统一授信管理机制。</w:t>
      </w:r>
      <w:r>
        <w:rPr>
          <w:rFonts w:ascii="仿宋_GB2312" w:eastAsia="仿宋_GB2312" w:hint="eastAsia"/>
          <w:sz w:val="30"/>
        </w:rPr>
        <w:t>全面研判应对疫情形势，强调细化疫情风险评估，充分预估疫情形势不确定性，全面分析对本行资产质量的影响。结合风险防控重点，深入研究大额风险项目、信用卡业务、贷款延期还本付息等方面风险管控，强调要</w:t>
      </w:r>
      <w:r>
        <w:rPr>
          <w:rFonts w:eastAsia="仿宋_GB2312" w:hint="eastAsia"/>
          <w:color w:val="000000" w:themeColor="text1"/>
          <w:sz w:val="30"/>
          <w:szCs w:val="30"/>
        </w:rPr>
        <w:t>针对性开展不良成因分析和风险压力测试，指导提升风险防范和处置化解能力。</w:t>
      </w:r>
      <w:r>
        <w:rPr>
          <w:rFonts w:ascii="仿宋_GB2312" w:eastAsia="仿宋_GB2312" w:hint="eastAsia"/>
          <w:sz w:val="30"/>
          <w:szCs w:val="28"/>
        </w:rPr>
        <w:t>不断加强合规制度、流程和系统等建设，强化问题整改与责任追究，筑牢依法合规经营的机制保障。</w:t>
      </w:r>
      <w:r>
        <w:rPr>
          <w:rFonts w:ascii="仿宋_GB2312" w:eastAsia="仿宋_GB2312" w:hAnsi="仿宋" w:hint="eastAsia"/>
          <w:sz w:val="30"/>
          <w:szCs w:val="30"/>
        </w:rPr>
        <w:t>开展兴航程“制度与治理年”活动，强化合规文化建设，健全法治体系，通过优化管理工具和扎实基础工作，加强操作风险和业务连续性管理，夯实内控管理基础。</w:t>
      </w:r>
      <w:r>
        <w:rPr>
          <w:rFonts w:eastAsia="仿宋_GB2312" w:hint="eastAsia"/>
          <w:color w:val="000000" w:themeColor="text1"/>
          <w:sz w:val="30"/>
          <w:szCs w:val="30"/>
        </w:rPr>
        <w:t>严格按照监管要求，</w:t>
      </w:r>
      <w:r>
        <w:rPr>
          <w:rFonts w:ascii="仿宋_GB2312" w:eastAsia="仿宋_GB2312" w:hint="eastAsia"/>
          <w:color w:val="000000" w:themeColor="text1"/>
          <w:sz w:val="30"/>
          <w:szCs w:val="30"/>
        </w:rPr>
        <w:t>持续加强反洗钱与大额</w:t>
      </w:r>
      <w:r>
        <w:rPr>
          <w:rFonts w:eastAsia="仿宋_GB2312" w:hint="eastAsia"/>
          <w:color w:val="000000" w:themeColor="text1"/>
          <w:sz w:val="30"/>
          <w:szCs w:val="30"/>
        </w:rPr>
        <w:t>现金管理</w:t>
      </w:r>
      <w:r>
        <w:rPr>
          <w:rFonts w:ascii="仿宋_GB2312" w:eastAsia="仿宋_GB2312" w:hint="eastAsia"/>
          <w:color w:val="000000" w:themeColor="text1"/>
          <w:sz w:val="30"/>
          <w:szCs w:val="30"/>
        </w:rPr>
        <w:t>，评估国际制裁形势及其对本行业务的潜在影响，有效管控合规风险。密切关注资本市场动态，</w:t>
      </w:r>
      <w:r>
        <w:rPr>
          <w:rFonts w:ascii="仿宋_GB2312" w:eastAsia="仿宋_GB2312" w:hint="eastAsia"/>
          <w:sz w:val="30"/>
          <w:szCs w:val="28"/>
        </w:rPr>
        <w:t>研究</w:t>
      </w:r>
      <w:r>
        <w:rPr>
          <w:rFonts w:ascii="仿宋_GB2312" w:eastAsia="仿宋_GB2312" w:hint="eastAsia"/>
          <w:color w:val="000000" w:themeColor="text1"/>
          <w:sz w:val="30"/>
          <w:szCs w:val="30"/>
        </w:rPr>
        <w:t>落实国务院关于提高上市公司质量的意见</w:t>
      </w:r>
      <w:r>
        <w:rPr>
          <w:rFonts w:ascii="仿宋_GB2312" w:eastAsia="仿宋_GB2312" w:hint="eastAsia"/>
          <w:sz w:val="30"/>
          <w:szCs w:val="28"/>
        </w:rPr>
        <w:t>，指导完善落实上市公司相关业务风险管控。</w:t>
      </w:r>
      <w:r>
        <w:rPr>
          <w:rFonts w:eastAsia="仿宋_GB2312" w:hint="eastAsia"/>
          <w:color w:val="000000" w:themeColor="text1"/>
          <w:sz w:val="30"/>
          <w:szCs w:val="30"/>
        </w:rPr>
        <w:t>根据监管要求和自身情况做实不良处置和呆账核销，在统筹核定年度呆账核销额度基础上，适当追加年度核销额度，并对大额</w:t>
      </w:r>
      <w:r>
        <w:rPr>
          <w:rFonts w:eastAsia="仿宋_GB2312" w:hint="eastAsia"/>
          <w:sz w:val="30"/>
          <w:szCs w:val="30"/>
        </w:rPr>
        <w:t>呆账核销项目进行审核，</w:t>
      </w:r>
      <w:r>
        <w:rPr>
          <w:rFonts w:ascii="仿宋_GB2312" w:eastAsia="仿宋_GB2312" w:hint="eastAsia"/>
          <w:sz w:val="30"/>
          <w:szCs w:val="30"/>
        </w:rPr>
        <w:t>及时化解部分大额风险项目，</w:t>
      </w:r>
      <w:r>
        <w:rPr>
          <w:rFonts w:ascii="仿宋_GB2312" w:eastAsia="仿宋_GB2312" w:hint="eastAsia"/>
          <w:sz w:val="30"/>
          <w:szCs w:val="28"/>
        </w:rPr>
        <w:t>加大风险资产清收处置力度，</w:t>
      </w:r>
      <w:r>
        <w:rPr>
          <w:rFonts w:ascii="仿宋_GB2312" w:eastAsia="仿宋_GB2312" w:hint="eastAsia"/>
          <w:sz w:val="30"/>
          <w:szCs w:val="30"/>
        </w:rPr>
        <w:t>进一步做实资产质量。</w:t>
      </w:r>
    </w:p>
    <w:p w:rsidR="00092652" w:rsidRDefault="0039522B">
      <w:pPr>
        <w:overflowPunct w:val="0"/>
        <w:snapToGrid w:val="0"/>
        <w:spacing w:line="520" w:lineRule="exact"/>
        <w:ind w:firstLineChars="200" w:firstLine="602"/>
        <w:rPr>
          <w:rFonts w:ascii="仿宋_GB2312" w:eastAsia="仿宋_GB2312"/>
          <w:b/>
          <w:color w:val="000000" w:themeColor="text1"/>
          <w:sz w:val="30"/>
          <w:szCs w:val="30"/>
        </w:rPr>
      </w:pPr>
      <w:r>
        <w:rPr>
          <w:rFonts w:ascii="仿宋_GB2312" w:eastAsia="仿宋_GB2312" w:hint="eastAsia"/>
          <w:b/>
          <w:color w:val="000000" w:themeColor="text1"/>
          <w:sz w:val="30"/>
          <w:szCs w:val="30"/>
        </w:rPr>
        <w:t>（六）加强信息科技建设，积极推进数字化转型。</w:t>
      </w:r>
      <w:r>
        <w:rPr>
          <w:rFonts w:ascii="仿宋_GB2312" w:eastAsia="仿宋_GB2312" w:hAnsi="仿宋_GB2312"/>
          <w:sz w:val="30"/>
          <w:szCs w:val="30"/>
        </w:rPr>
        <w:t>积极推进金融科技体制机制深化改革全面落地，</w:t>
      </w:r>
      <w:r>
        <w:rPr>
          <w:rFonts w:ascii="仿宋_GB2312" w:eastAsia="仿宋_GB2312" w:hAnsi="仿宋_GB2312" w:cs="仿宋_GB2312"/>
          <w:kern w:val="0"/>
          <w:sz w:val="30"/>
          <w:szCs w:val="30"/>
        </w:rPr>
        <w:t>科技</w:t>
      </w:r>
      <w:r>
        <w:rPr>
          <w:rFonts w:ascii="仿宋_GB2312" w:eastAsia="仿宋_GB2312" w:hAnsi="仿宋_GB2312"/>
          <w:sz w:val="30"/>
          <w:szCs w:val="30"/>
        </w:rPr>
        <w:t>基础设施建设运营、</w:t>
      </w:r>
      <w:r>
        <w:rPr>
          <w:rFonts w:ascii="仿宋_GB2312" w:eastAsia="仿宋_GB2312" w:hAnsi="仿宋_GB2312" w:cs="仿宋_GB2312"/>
          <w:kern w:val="0"/>
          <w:sz w:val="30"/>
          <w:szCs w:val="30"/>
        </w:rPr>
        <w:lastRenderedPageBreak/>
        <w:t>业务连续性保障、</w:t>
      </w:r>
      <w:r>
        <w:rPr>
          <w:rFonts w:ascii="仿宋_GB2312" w:eastAsia="仿宋_GB2312" w:hAnsi="仿宋_GB2312"/>
          <w:sz w:val="30"/>
          <w:szCs w:val="30"/>
        </w:rPr>
        <w:t>“安全银行”建设及二三道防线建设等工作取得较好成绩。</w:t>
      </w:r>
      <w:r>
        <w:rPr>
          <w:rFonts w:ascii="仿宋_GB2312" w:eastAsia="仿宋_GB2312" w:hint="eastAsia"/>
          <w:sz w:val="30"/>
        </w:rPr>
        <w:t>切实把数字化转型摆在未来五年发展的核心位置，</w:t>
      </w:r>
      <w:r>
        <w:rPr>
          <w:rFonts w:ascii="仿宋_GB2312" w:eastAsia="仿宋_GB2312" w:hint="eastAsia"/>
          <w:b/>
          <w:color w:val="000000" w:themeColor="text1"/>
          <w:sz w:val="30"/>
          <w:szCs w:val="30"/>
        </w:rPr>
        <w:t xml:space="preserve"> </w:t>
      </w:r>
    </w:p>
    <w:p w:rsidR="00092652" w:rsidRDefault="0039522B">
      <w:pPr>
        <w:overflowPunct w:val="0"/>
        <w:snapToGrid w:val="0"/>
        <w:spacing w:line="540" w:lineRule="exact"/>
        <w:rPr>
          <w:rFonts w:ascii="仿宋_GB2312" w:eastAsia="仿宋_GB2312"/>
          <w:sz w:val="30"/>
        </w:rPr>
      </w:pPr>
      <w:r>
        <w:rPr>
          <w:rFonts w:ascii="仿宋_GB2312" w:eastAsia="仿宋_GB2312" w:hint="eastAsia"/>
          <w:color w:val="000000" w:themeColor="text1"/>
          <w:sz w:val="30"/>
          <w:szCs w:val="30"/>
        </w:rPr>
        <w:t>推动“数字化转型”真正落地，积极探索数字化转型组织架构建设；切实</w:t>
      </w:r>
      <w:r>
        <w:rPr>
          <w:rFonts w:ascii="仿宋_GB2312" w:eastAsia="仿宋_GB2312" w:hint="eastAsia"/>
          <w:sz w:val="30"/>
          <w:szCs w:val="30"/>
        </w:rPr>
        <w:t>强化对数据资源的治理能力、运营能力建设，</w:t>
      </w:r>
      <w:r>
        <w:rPr>
          <w:rFonts w:ascii="仿宋_GB2312" w:eastAsia="仿宋_GB2312" w:hint="eastAsia"/>
          <w:color w:val="000000" w:themeColor="text1"/>
          <w:sz w:val="30"/>
          <w:szCs w:val="30"/>
        </w:rPr>
        <w:t>深化业务与科技相互融合，</w:t>
      </w:r>
      <w:r>
        <w:rPr>
          <w:rFonts w:ascii="仿宋_GB2312" w:eastAsia="仿宋_GB2312" w:hint="eastAsia"/>
          <w:sz w:val="30"/>
        </w:rPr>
        <w:t>强化科技引领赋能作用。</w:t>
      </w:r>
      <w:r>
        <w:rPr>
          <w:rFonts w:ascii="仿宋_GB2312" w:eastAsia="仿宋_GB2312" w:hint="eastAsia"/>
          <w:sz w:val="30"/>
          <w:szCs w:val="30"/>
        </w:rPr>
        <w:t>总结智能化网点的建设及运营经验，提升运营效率和品牌形象，增强客户体验和信任度。着眼于集团整体发展和数字化转型战略，持续加大信息科技投入，做好IT机房建设规划与论证，为数字化转型建立重要基础设施。</w:t>
      </w:r>
    </w:p>
    <w:p w:rsidR="00092652" w:rsidRDefault="0039522B">
      <w:pPr>
        <w:overflowPunct w:val="0"/>
        <w:snapToGrid w:val="0"/>
        <w:spacing w:line="520" w:lineRule="exact"/>
        <w:ind w:firstLineChars="200" w:firstLine="602"/>
        <w:rPr>
          <w:rFonts w:ascii="仿宋_GB2312" w:eastAsia="仿宋_GB2312"/>
          <w:color w:val="000000" w:themeColor="text1"/>
          <w:sz w:val="30"/>
          <w:szCs w:val="30"/>
        </w:rPr>
      </w:pPr>
      <w:r>
        <w:rPr>
          <w:rFonts w:ascii="仿宋_GB2312" w:eastAsia="仿宋_GB2312" w:hAnsi="华文仿宋" w:hint="eastAsia"/>
          <w:b/>
          <w:color w:val="000000" w:themeColor="text1"/>
          <w:sz w:val="30"/>
          <w:szCs w:val="28"/>
        </w:rPr>
        <w:t>（七）</w:t>
      </w:r>
      <w:r>
        <w:rPr>
          <w:rFonts w:ascii="仿宋_GB2312" w:eastAsia="仿宋_GB2312" w:cs="仿宋_GB2312" w:hint="eastAsia"/>
          <w:b/>
          <w:color w:val="000000" w:themeColor="text1"/>
          <w:kern w:val="0"/>
          <w:sz w:val="30"/>
          <w:szCs w:val="30"/>
        </w:rPr>
        <w:t>重视消费者权益保护，着力绿色金融发展。</w:t>
      </w:r>
      <w:r>
        <w:rPr>
          <w:rFonts w:ascii="仿宋_GB2312" w:eastAsia="仿宋_GB2312" w:hAnsi="仿宋" w:hint="eastAsia"/>
          <w:kern w:val="0"/>
          <w:sz w:val="30"/>
          <w:szCs w:val="30"/>
        </w:rPr>
        <w:t>全面落实监管要求，将消费者权益保护工作上升至全行“合规经营、合规致胜”和“服务立行”的战略层面进行研究和布局，强化消保工作体制机制建设，夯实主体责任，规范经营销售行为，加强消保宣教和投诉纠纷化解，在全行营造消保企业文化氛围。根据疫情状况，积极响应国家政策号召，有效</w:t>
      </w:r>
      <w:r>
        <w:rPr>
          <w:rFonts w:ascii="仿宋_GB2312" w:eastAsia="仿宋_GB2312" w:hAnsi="仿宋" w:hint="eastAsia"/>
          <w:sz w:val="30"/>
          <w:szCs w:val="30"/>
        </w:rPr>
        <w:t>落实对小微企业服务优惠和减费让利。</w:t>
      </w:r>
      <w:r>
        <w:rPr>
          <w:rFonts w:ascii="仿宋_GB2312" w:eastAsia="仿宋_GB2312" w:hAnsi="宋体" w:hint="eastAsia"/>
          <w:color w:val="000000"/>
          <w:sz w:val="30"/>
          <w:szCs w:val="30"/>
        </w:rPr>
        <w:t>2020年，本行在中国人民银行消费者权益保护考评中获评为A级单位。</w:t>
      </w:r>
      <w:r>
        <w:rPr>
          <w:rFonts w:ascii="仿宋_GB2312" w:eastAsia="仿宋_GB2312" w:hAnsi="宋体" w:cs="宋体" w:hint="eastAsia"/>
          <w:kern w:val="0"/>
          <w:sz w:val="30"/>
          <w:szCs w:val="30"/>
        </w:rPr>
        <w:t>秉持创新、协调、绿色、开放、共享的发展新理念，</w:t>
      </w:r>
      <w:r>
        <w:rPr>
          <w:rFonts w:ascii="仿宋_GB2312" w:eastAsia="仿宋_GB2312" w:hAnsi="宋体" w:hint="eastAsia"/>
          <w:color w:val="000000"/>
          <w:sz w:val="30"/>
          <w:szCs w:val="30"/>
        </w:rPr>
        <w:t>积极践行“寓义于利”社会责任观，将履行社会责任与银行的可持续发展相融合，</w:t>
      </w:r>
      <w:r>
        <w:rPr>
          <w:rFonts w:ascii="仿宋_GB2312" w:eastAsia="仿宋_GB2312" w:hint="eastAsia"/>
          <w:color w:val="000000" w:themeColor="text1"/>
          <w:sz w:val="30"/>
          <w:szCs w:val="30"/>
        </w:rPr>
        <w:t>将“ESG”发展作为重要发展方向。</w:t>
      </w:r>
      <w:r>
        <w:rPr>
          <w:rFonts w:ascii="仿宋_GB2312" w:eastAsia="仿宋_GB2312" w:hAnsi="宋体" w:hint="eastAsia"/>
          <w:color w:val="000000" w:themeColor="text1"/>
          <w:sz w:val="30"/>
          <w:szCs w:val="30"/>
        </w:rPr>
        <w:t>2020年12月，本行再获全球最大指数公司明晟（MSCI）ESG评级A级，连续第二年位列国内银行业最高评级。制定绿色金融战略与规划，从集团层面将绿色金融业务打造成战略核心业务之一，推动绿色金融业务占比不断提升，逐步打造“绿色金融集团”。</w:t>
      </w:r>
      <w:r>
        <w:rPr>
          <w:rFonts w:ascii="仿宋_GB2312" w:eastAsia="仿宋_GB2312" w:hint="eastAsia"/>
          <w:color w:val="000000" w:themeColor="text1"/>
          <w:sz w:val="30"/>
          <w:szCs w:val="30"/>
        </w:rPr>
        <w:t>自2016年以来，本行绿色金融融资余额和客户数均保持近30%的年复合增长率，截至</w:t>
      </w:r>
      <w:r>
        <w:rPr>
          <w:rFonts w:ascii="仿宋_GB2312" w:eastAsia="仿宋_GB2312"/>
          <w:color w:val="000000" w:themeColor="text1"/>
          <w:sz w:val="30"/>
          <w:szCs w:val="30"/>
        </w:rPr>
        <w:t>2020</w:t>
      </w:r>
      <w:r>
        <w:rPr>
          <w:rFonts w:ascii="仿宋_GB2312" w:eastAsia="仿宋_GB2312" w:hint="eastAsia"/>
          <w:color w:val="000000" w:themeColor="text1"/>
          <w:sz w:val="30"/>
          <w:szCs w:val="30"/>
        </w:rPr>
        <w:t>年12月末累计为29829家企业提供绿色金融融资28598亿元。</w:t>
      </w:r>
    </w:p>
    <w:p w:rsidR="00092652" w:rsidRDefault="0039522B">
      <w:pPr>
        <w:overflowPunct w:val="0"/>
        <w:snapToGrid w:val="0"/>
        <w:spacing w:line="520" w:lineRule="exact"/>
        <w:ind w:firstLineChars="200" w:firstLine="602"/>
        <w:rPr>
          <w:rFonts w:ascii="仿宋_GB2312" w:eastAsia="仿宋_GB2312"/>
          <w:b/>
          <w:color w:val="FF0000"/>
          <w:sz w:val="30"/>
          <w:szCs w:val="28"/>
        </w:rPr>
      </w:pPr>
      <w:r>
        <w:rPr>
          <w:rFonts w:ascii="仿宋_GB2312" w:eastAsia="仿宋_GB2312" w:hAnsi="华文仿宋" w:hint="eastAsia"/>
          <w:b/>
          <w:color w:val="000000" w:themeColor="text1"/>
          <w:sz w:val="30"/>
          <w:szCs w:val="28"/>
        </w:rPr>
        <w:lastRenderedPageBreak/>
        <w:t>（八）统筹做好房产预算管理，规范营业办公用房购置。</w:t>
      </w:r>
      <w:r>
        <w:rPr>
          <w:rFonts w:ascii="仿宋_GB2312" w:eastAsia="仿宋_GB2312" w:hint="eastAsia"/>
          <w:sz w:val="30"/>
          <w:szCs w:val="30"/>
        </w:rPr>
        <w:t>加强全行营业办公用房购置的整体把控，</w:t>
      </w:r>
      <w:r>
        <w:rPr>
          <w:rFonts w:ascii="仿宋_GB2312" w:eastAsia="仿宋_GB2312" w:hint="eastAsia"/>
          <w:sz w:val="30"/>
          <w:szCs w:val="28"/>
        </w:rPr>
        <w:t>核定2020年度房产购置预算。</w:t>
      </w:r>
      <w:r>
        <w:rPr>
          <w:rFonts w:ascii="仿宋_GB2312" w:eastAsia="仿宋_GB2312" w:hint="eastAsia"/>
          <w:sz w:val="30"/>
          <w:szCs w:val="30"/>
        </w:rPr>
        <w:t>强调和明确</w:t>
      </w:r>
      <w:r>
        <w:rPr>
          <w:rFonts w:ascii="仿宋_GB2312" w:eastAsia="仿宋_GB2312" w:hint="eastAsia"/>
          <w:color w:val="000000" w:themeColor="text1"/>
          <w:sz w:val="30"/>
          <w:szCs w:val="30"/>
        </w:rPr>
        <w:t>房产购置原则，督促</w:t>
      </w:r>
      <w:r>
        <w:rPr>
          <w:rFonts w:ascii="仿宋_GB2312" w:eastAsia="仿宋_GB2312" w:hint="eastAsia"/>
          <w:sz w:val="30"/>
          <w:szCs w:val="30"/>
        </w:rPr>
        <w:t>相关职能部门履行职责、抓好落实，指导进一步完善房产购置标准和车位配比标准，完善差异化的房产购置标准和量化审核体系。</w:t>
      </w:r>
      <w:r>
        <w:rPr>
          <w:rFonts w:ascii="仿宋_GB2312" w:eastAsia="仿宋_GB2312" w:hAnsi="仿宋_GB2312" w:cs="仿宋_GB2312" w:hint="eastAsia"/>
          <w:sz w:val="30"/>
          <w:szCs w:val="30"/>
        </w:rPr>
        <w:t>加强物业购置与管理专业能力建设，</w:t>
      </w:r>
      <w:r>
        <w:rPr>
          <w:rFonts w:ascii="仿宋_GB2312" w:eastAsia="仿宋_GB2312" w:hAnsi="仿宋_GB2312" w:cs="仿宋_GB2312" w:hint="eastAsia"/>
          <w:bCs/>
          <w:sz w:val="30"/>
          <w:szCs w:val="30"/>
        </w:rPr>
        <w:t>提升总行对经营机构的指导能力</w:t>
      </w:r>
      <w:r>
        <w:rPr>
          <w:rFonts w:ascii="仿宋_GB2312" w:eastAsia="仿宋_GB2312" w:hAnsi="仿宋_GB2312" w:cs="仿宋_GB2312" w:hint="eastAsia"/>
          <w:bCs/>
          <w:color w:val="000000" w:themeColor="text1"/>
          <w:sz w:val="30"/>
          <w:szCs w:val="30"/>
        </w:rPr>
        <w:t>。</w:t>
      </w:r>
      <w:r>
        <w:rPr>
          <w:rFonts w:ascii="仿宋_GB2312" w:eastAsia="仿宋_GB2312" w:hint="eastAsia"/>
          <w:sz w:val="30"/>
          <w:szCs w:val="30"/>
        </w:rPr>
        <w:t>加强对于房产购置重要条件的审核把关，做好财务平衡，确保营业办公用房购置与经营机构财务状况相匹配，对部分金额较大的房产购置项目，严格按照“三重一大”要求严格履行党委事前研究和公司治理决策程序。全年实际核批昆明分行、惠州分行购置营业办公用房事项，</w:t>
      </w:r>
      <w:r>
        <w:rPr>
          <w:rFonts w:eastAsia="仿宋_GB2312" w:hint="eastAsia"/>
          <w:color w:val="000000" w:themeColor="text1"/>
          <w:sz w:val="30"/>
          <w:szCs w:val="30"/>
        </w:rPr>
        <w:t>已批准重点项目集团福州营运中心项目建设有序推进。</w:t>
      </w:r>
    </w:p>
    <w:p w:rsidR="00092652" w:rsidRDefault="0039522B">
      <w:pPr>
        <w:overflowPunct w:val="0"/>
        <w:snapToGrid w:val="0"/>
        <w:spacing w:line="520" w:lineRule="exact"/>
        <w:ind w:firstLineChars="200" w:firstLine="602"/>
        <w:rPr>
          <w:rFonts w:ascii="仿宋_GB2312" w:eastAsia="仿宋_GB2312"/>
          <w:b/>
          <w:color w:val="000000" w:themeColor="text1"/>
          <w:sz w:val="30"/>
          <w:szCs w:val="28"/>
        </w:rPr>
      </w:pPr>
      <w:r>
        <w:rPr>
          <w:rFonts w:ascii="仿宋_GB2312" w:eastAsia="仿宋_GB2312" w:hint="eastAsia"/>
          <w:b/>
          <w:color w:val="000000" w:themeColor="text1"/>
          <w:sz w:val="30"/>
          <w:szCs w:val="28"/>
        </w:rPr>
        <w:t>三、勤勉尽职，促进公司治理规范高效运作</w:t>
      </w:r>
    </w:p>
    <w:p w:rsidR="00092652" w:rsidRDefault="0039522B">
      <w:pPr>
        <w:overflowPunct w:val="0"/>
        <w:snapToGrid w:val="0"/>
        <w:spacing w:line="520" w:lineRule="exact"/>
        <w:ind w:firstLineChars="200" w:firstLine="602"/>
        <w:rPr>
          <w:rFonts w:ascii="仿宋_GB2312" w:eastAsia="仿宋_GB2312"/>
          <w:color w:val="000000" w:themeColor="text1"/>
          <w:sz w:val="30"/>
          <w:szCs w:val="28"/>
        </w:rPr>
      </w:pPr>
      <w:r>
        <w:rPr>
          <w:rFonts w:ascii="仿宋_GB2312" w:eastAsia="仿宋_GB2312" w:hint="eastAsia"/>
          <w:b/>
          <w:color w:val="000000" w:themeColor="text1"/>
          <w:sz w:val="30"/>
          <w:szCs w:val="28"/>
        </w:rPr>
        <w:t>（一）切实加强董事会建设，健全治理运作机制。</w:t>
      </w:r>
      <w:r>
        <w:rPr>
          <w:rFonts w:ascii="仿宋_GB2312" w:eastAsia="仿宋_GB2312" w:cs="宋体" w:hint="eastAsia"/>
          <w:color w:val="000000"/>
          <w:kern w:val="0"/>
          <w:sz w:val="30"/>
          <w:szCs w:val="30"/>
        </w:rPr>
        <w:t>经过多年的发展，本行已建立起各司其职、有效制衡、协调运作的“三会一层”的治理架构，强化党委在公司治理中的领导核心作用。在董事长缺位期间，董事、行长陶以平作为本行临时负责人，严格按照公司治理要求，积极推动“三会一层”有效运作，全体董事继续按照公司法和本行章程规定勤勉忠实履行职责，本行各项经营指标</w:t>
      </w:r>
      <w:r>
        <w:rPr>
          <w:rFonts w:ascii="仿宋_GB2312" w:eastAsia="仿宋_GB2312" w:hint="eastAsia"/>
          <w:color w:val="000000" w:themeColor="text1"/>
          <w:sz w:val="30"/>
          <w:szCs w:val="28"/>
        </w:rPr>
        <w:t>、监管指标保持稳健，干部员工队伍稳定，经受住了疫情的考验。</w:t>
      </w:r>
      <w:r>
        <w:rPr>
          <w:rFonts w:ascii="仿宋_GB2312" w:eastAsia="仿宋_GB2312" w:hint="eastAsia"/>
          <w:color w:val="000000"/>
          <w:sz w:val="30"/>
          <w:szCs w:val="28"/>
        </w:rPr>
        <w:t>根据部分独立董事任职时间达到监管规定上限的实际情况，做好独立董事辞职及辞任后相关工作接续安排</w:t>
      </w:r>
      <w:r>
        <w:rPr>
          <w:rFonts w:ascii="仿宋_GB2312" w:eastAsia="仿宋_GB2312" w:hint="eastAsia"/>
          <w:color w:val="000000" w:themeColor="text1"/>
          <w:sz w:val="30"/>
          <w:szCs w:val="28"/>
        </w:rPr>
        <w:t>，董事会运作稳定、有序。</w:t>
      </w:r>
      <w:r>
        <w:rPr>
          <w:rFonts w:ascii="仿宋_GB2312" w:eastAsia="仿宋_GB2312" w:cs="宋体" w:hint="eastAsia"/>
          <w:color w:val="000000"/>
          <w:kern w:val="0"/>
          <w:sz w:val="30"/>
          <w:szCs w:val="30"/>
        </w:rPr>
        <w:t>完善</w:t>
      </w:r>
      <w:r>
        <w:rPr>
          <w:rFonts w:ascii="仿宋_GB2312" w:eastAsia="仿宋_GB2312" w:hint="eastAsia"/>
          <w:sz w:val="30"/>
          <w:szCs w:val="30"/>
        </w:rPr>
        <w:t>董事会决策与</w:t>
      </w:r>
      <w:r>
        <w:rPr>
          <w:rFonts w:ascii="仿宋_GB2312" w:eastAsia="仿宋_GB2312" w:hAnsi="宋体" w:cs="Arial" w:hint="eastAsia"/>
          <w:kern w:val="0"/>
          <w:sz w:val="30"/>
          <w:szCs w:val="30"/>
        </w:rPr>
        <w:t>传导机制，持续</w:t>
      </w:r>
      <w:r>
        <w:rPr>
          <w:rFonts w:ascii="仿宋_GB2312" w:eastAsia="仿宋_GB2312" w:hAnsi="宋体" w:hint="eastAsia"/>
          <w:color w:val="000000"/>
          <w:sz w:val="30"/>
          <w:szCs w:val="30"/>
        </w:rPr>
        <w:t>发挥董事会在经营战略、风险管控等重大方面的决策作用</w:t>
      </w:r>
      <w:r>
        <w:rPr>
          <w:rFonts w:ascii="仿宋_GB2312" w:eastAsia="仿宋_GB2312" w:hint="eastAsia"/>
          <w:sz w:val="30"/>
          <w:szCs w:val="30"/>
        </w:rPr>
        <w:t>。做好会议组织工作,</w:t>
      </w:r>
      <w:r>
        <w:rPr>
          <w:rFonts w:ascii="仿宋_GB2312" w:eastAsia="仿宋_GB2312" w:hAnsi="宋体" w:cs="Arial" w:hint="eastAsia"/>
          <w:kern w:val="0"/>
          <w:sz w:val="30"/>
          <w:szCs w:val="30"/>
        </w:rPr>
        <w:t>提前制订全年董事会工作计划，为董事参会履职创造便利。综合考虑疫情防控需要，上半年例会均采用现场和视频相结合的方式召开，</w:t>
      </w:r>
      <w:r>
        <w:rPr>
          <w:rFonts w:eastAsia="仿宋_GB2312" w:hint="eastAsia"/>
          <w:sz w:val="30"/>
          <w:szCs w:val="30"/>
        </w:rPr>
        <w:t>克服疫情影响，</w:t>
      </w:r>
      <w:r>
        <w:rPr>
          <w:rFonts w:ascii="仿宋_GB2312" w:eastAsia="仿宋_GB2312" w:hAnsi="宋体" w:cs="Arial" w:hint="eastAsia"/>
          <w:kern w:val="0"/>
          <w:sz w:val="30"/>
          <w:szCs w:val="30"/>
        </w:rPr>
        <w:t>保证议事决策质量。</w:t>
      </w:r>
      <w:r>
        <w:rPr>
          <w:rFonts w:ascii="仿宋_GB2312" w:eastAsia="仿宋_GB2312" w:hint="eastAsia"/>
          <w:color w:val="000000"/>
          <w:sz w:val="30"/>
          <w:szCs w:val="30"/>
        </w:rPr>
        <w:t>落实董事会与高级管</w:t>
      </w:r>
      <w:r>
        <w:rPr>
          <w:rFonts w:ascii="仿宋_GB2312" w:eastAsia="仿宋_GB2312" w:hint="eastAsia"/>
          <w:color w:val="000000"/>
          <w:sz w:val="30"/>
          <w:szCs w:val="30"/>
        </w:rPr>
        <w:lastRenderedPageBreak/>
        <w:t>理层信息通报制度，确保董事会及时、准确获取经营管理重要信息。</w:t>
      </w:r>
      <w:r>
        <w:rPr>
          <w:rFonts w:ascii="仿宋_GB2312" w:eastAsia="仿宋_GB2312" w:cs="宋体" w:hint="eastAsia"/>
          <w:color w:val="000000"/>
          <w:kern w:val="0"/>
          <w:sz w:val="30"/>
          <w:szCs w:val="30"/>
        </w:rPr>
        <w:t>贯彻公司治理传导机制，运用董事会意见传导函等形式，准确传达董事会会议精神，定期检查重大决议执行情况，确保各项决议得到落实。</w:t>
      </w:r>
    </w:p>
    <w:p w:rsidR="00092652" w:rsidRDefault="0039522B">
      <w:pPr>
        <w:overflowPunct w:val="0"/>
        <w:snapToGrid w:val="0"/>
        <w:spacing w:line="520" w:lineRule="exact"/>
        <w:ind w:firstLineChars="200" w:firstLine="602"/>
        <w:rPr>
          <w:rFonts w:ascii="仿宋_GB2312" w:eastAsia="仿宋_GB2312" w:hAnsi="宋体"/>
          <w:color w:val="000000" w:themeColor="text1"/>
          <w:sz w:val="30"/>
          <w:szCs w:val="30"/>
        </w:rPr>
      </w:pPr>
      <w:r>
        <w:rPr>
          <w:rFonts w:ascii="仿宋_GB2312" w:eastAsia="仿宋_GB2312" w:hint="eastAsia"/>
          <w:b/>
          <w:color w:val="000000" w:themeColor="text1"/>
          <w:sz w:val="30"/>
          <w:szCs w:val="28"/>
        </w:rPr>
        <w:t>（二）依法召集召开各类会议，勤勉履行各项决策职能。</w:t>
      </w:r>
      <w:r>
        <w:rPr>
          <w:rFonts w:ascii="仿宋_GB2312" w:eastAsia="仿宋_GB2312" w:hint="eastAsia"/>
          <w:sz w:val="30"/>
          <w:szCs w:val="30"/>
        </w:rPr>
        <w:t>2020年，董事会召集召开1次股东大会，审议通过了董事会报告、监事会报告、财务预决算、利润分配方案、聘请会计师事务所等6项议案，听取了独立董事述职报告、董监高履职评价、关联交易情况等4项报告。</w:t>
      </w:r>
      <w:r>
        <w:rPr>
          <w:rFonts w:ascii="仿宋_GB2312" w:eastAsia="仿宋_GB2312" w:hint="eastAsia"/>
          <w:sz w:val="30"/>
          <w:szCs w:val="28"/>
        </w:rPr>
        <w:t>组织召开董事会会议7次（含3次通讯会议），审议通过了董事会及各委员会工作报告、行长工作报告、各期定期报告、大额呆账核销、重大关联交易等54项议案，并听取各阶段经营情况、全面风险评估、绿色金融、消费者权益保护等25项报告。董事会各专门委员会充分发挥专业优势，全年召开会议累计22次，围绕发展战略、风险管理、内部控制、关联交易管理、董事高管履职评价等主题，深入研究了93项议题，为董事会决策履职提供支持。</w:t>
      </w:r>
    </w:p>
    <w:p w:rsidR="00092652" w:rsidRDefault="0039522B">
      <w:pPr>
        <w:overflowPunct w:val="0"/>
        <w:snapToGrid w:val="0"/>
        <w:spacing w:line="520" w:lineRule="exact"/>
        <w:ind w:firstLineChars="200" w:firstLine="602"/>
        <w:rPr>
          <w:rFonts w:ascii="仿宋_GB2312" w:eastAsia="仿宋_GB2312"/>
          <w:b/>
          <w:color w:val="000000" w:themeColor="text1"/>
          <w:sz w:val="30"/>
          <w:szCs w:val="28"/>
        </w:rPr>
      </w:pPr>
      <w:r>
        <w:rPr>
          <w:rFonts w:ascii="仿宋_GB2312" w:eastAsia="仿宋_GB2312" w:hint="eastAsia"/>
          <w:b/>
          <w:color w:val="000000" w:themeColor="text1"/>
          <w:sz w:val="30"/>
          <w:szCs w:val="28"/>
        </w:rPr>
        <w:t>（三）组织开展调研交流，提升自身履职能力。</w:t>
      </w:r>
      <w:r>
        <w:rPr>
          <w:rFonts w:ascii="仿宋_GB2312" w:eastAsia="仿宋_GB2312" w:hint="eastAsia"/>
          <w:sz w:val="30"/>
          <w:szCs w:val="28"/>
        </w:rPr>
        <w:t>2020年，董事会针对性组织开展调研检查与投资者交流，贴近</w:t>
      </w:r>
      <w:r>
        <w:rPr>
          <w:rFonts w:ascii="仿宋_GB2312" w:eastAsia="仿宋_GB2312"/>
          <w:sz w:val="30"/>
          <w:szCs w:val="28"/>
        </w:rPr>
        <w:t>基层</w:t>
      </w:r>
      <w:r>
        <w:rPr>
          <w:rFonts w:ascii="仿宋_GB2312" w:eastAsia="仿宋_GB2312" w:hint="eastAsia"/>
          <w:sz w:val="30"/>
          <w:szCs w:val="28"/>
        </w:rPr>
        <w:t>掌握</w:t>
      </w:r>
      <w:r>
        <w:rPr>
          <w:rFonts w:ascii="仿宋_GB2312" w:eastAsia="仿宋_GB2312"/>
          <w:sz w:val="30"/>
          <w:szCs w:val="28"/>
        </w:rPr>
        <w:t>第一手资料，</w:t>
      </w:r>
      <w:r>
        <w:rPr>
          <w:rFonts w:ascii="仿宋_GB2312" w:eastAsia="仿宋_GB2312" w:hint="eastAsia"/>
          <w:sz w:val="30"/>
          <w:szCs w:val="28"/>
        </w:rPr>
        <w:t>加深对经营管理情况的了解，强化战略传导和执行力度。一是组织董事实地考察总行信息科技指挥中心和福州分行智慧网点，就本行金融科技建设情况进行调研，把握本行信息科技总体发展情况，</w:t>
      </w:r>
      <w:r>
        <w:rPr>
          <w:rFonts w:ascii="仿宋_GB2312" w:eastAsia="仿宋_GB2312" w:hint="eastAsia"/>
          <w:sz w:val="30"/>
          <w:szCs w:val="30"/>
        </w:rPr>
        <w:t>推动进一步夯实IT基础。</w:t>
      </w:r>
      <w:r>
        <w:rPr>
          <w:rFonts w:ascii="仿宋_GB2312" w:eastAsia="仿宋_GB2312" w:hAnsi="宋体" w:hint="eastAsia"/>
          <w:sz w:val="30"/>
          <w:szCs w:val="30"/>
        </w:rPr>
        <w:t>二是审计与关联交易控制委员会成员和独立董事赴宁波跟进重点审计项目，与总行审计项目团队和审计对象座谈，研究提升内部审计工作。三是进一步细化和加强对于外审工作要求，促进外审机构提升审计质量和增值服务水平。三是部分董事参加了福建证监局新《证券法》培</w:t>
      </w:r>
      <w:r>
        <w:rPr>
          <w:rFonts w:ascii="仿宋_GB2312" w:eastAsia="仿宋_GB2312" w:hAnsi="宋体" w:hint="eastAsia"/>
          <w:sz w:val="30"/>
          <w:szCs w:val="30"/>
        </w:rPr>
        <w:lastRenderedPageBreak/>
        <w:t>训，把握监管导向，持续提升履职能力和决策质量。此外，结合新形势下的发展战略、经营策略和转型成效，部分董事还参加了</w:t>
      </w:r>
      <w:r>
        <w:rPr>
          <w:rFonts w:ascii="仿宋_GB2312" w:eastAsia="仿宋_GB2312" w:hAnsi="宋体"/>
          <w:sz w:val="30"/>
          <w:szCs w:val="30"/>
        </w:rPr>
        <w:t>20</w:t>
      </w:r>
      <w:r>
        <w:rPr>
          <w:rFonts w:ascii="仿宋_GB2312" w:eastAsia="仿宋_GB2312" w:hAnsi="宋体" w:hint="eastAsia"/>
          <w:sz w:val="30"/>
          <w:szCs w:val="30"/>
        </w:rPr>
        <w:t>20</w:t>
      </w:r>
      <w:r>
        <w:rPr>
          <w:rFonts w:ascii="仿宋_GB2312" w:eastAsia="仿宋_GB2312" w:hAnsi="宋体"/>
          <w:sz w:val="30"/>
          <w:szCs w:val="30"/>
        </w:rPr>
        <w:t>年</w:t>
      </w:r>
      <w:r>
        <w:rPr>
          <w:rFonts w:ascii="仿宋_GB2312" w:eastAsia="仿宋_GB2312" w:hAnsi="宋体" w:hint="eastAsia"/>
          <w:sz w:val="30"/>
          <w:szCs w:val="30"/>
        </w:rPr>
        <w:t>历次定期业绩说明会。</w:t>
      </w:r>
    </w:p>
    <w:p w:rsidR="00092652" w:rsidRDefault="0039522B">
      <w:pPr>
        <w:overflowPunct w:val="0"/>
        <w:snapToGrid w:val="0"/>
        <w:spacing w:line="520" w:lineRule="exact"/>
        <w:ind w:firstLineChars="200" w:firstLine="602"/>
        <w:rPr>
          <w:rFonts w:ascii="仿宋_GB2312" w:eastAsia="仿宋_GB2312" w:hAnsi="宋体"/>
          <w:sz w:val="30"/>
          <w:szCs w:val="28"/>
        </w:rPr>
      </w:pPr>
      <w:r>
        <w:rPr>
          <w:rFonts w:ascii="仿宋_GB2312" w:eastAsia="仿宋_GB2312" w:hint="eastAsia"/>
          <w:b/>
          <w:color w:val="000000" w:themeColor="text1"/>
          <w:sz w:val="30"/>
          <w:szCs w:val="28"/>
        </w:rPr>
        <w:t>（四）依法做好信息披露，提升投资者沟通成效。</w:t>
      </w:r>
      <w:r>
        <w:rPr>
          <w:rFonts w:ascii="仿宋_GB2312" w:eastAsia="仿宋_GB2312" w:hAnsi="宋体" w:hint="eastAsia"/>
          <w:sz w:val="30"/>
          <w:szCs w:val="28"/>
        </w:rPr>
        <w:t>严格履行上市公司信息披露职责，认真编制各期定期报告，及时披露董事会和监事会决议、资本补充、关联交易等重要事项，提高信息透明度。落实稳定、可预期的现金分红政策，</w:t>
      </w:r>
      <w:r>
        <w:rPr>
          <w:rFonts w:ascii="仿宋_GB2312" w:eastAsia="仿宋_GB2312" w:hint="eastAsia"/>
          <w:sz w:val="30"/>
          <w:szCs w:val="28"/>
        </w:rPr>
        <w:t>按时派发普通股红利和优先股股息，维护广大股东的合法权益。</w:t>
      </w:r>
      <w:r>
        <w:rPr>
          <w:rFonts w:ascii="仿宋_GB2312" w:eastAsia="仿宋_GB2312" w:hAnsi="宋体" w:hint="eastAsia"/>
          <w:sz w:val="30"/>
          <w:szCs w:val="28"/>
        </w:rPr>
        <w:t>强化投资者沟通和资本市场交流的针对性与有效性，针对专业机构与分析师，综合运用业绩说明会、业务专题调研、管理层一对一走访、券商策略会等方式，注重常规推介与专题推介、现场会议与电话会议的结合，</w:t>
      </w:r>
      <w:r>
        <w:rPr>
          <w:rFonts w:ascii="仿宋_GB2312" w:eastAsia="仿宋_GB2312" w:hAnsi="宋体" w:hint="eastAsia"/>
          <w:sz w:val="30"/>
          <w:szCs w:val="30"/>
        </w:rPr>
        <w:t>向资本市场准确传递本行经营特色和业务优势</w:t>
      </w:r>
      <w:r>
        <w:rPr>
          <w:rFonts w:ascii="仿宋_GB2312" w:eastAsia="仿宋_GB2312" w:hAnsi="宋体" w:hint="eastAsia"/>
          <w:sz w:val="30"/>
          <w:szCs w:val="28"/>
        </w:rPr>
        <w:t>；针对个人投资者，充分借助交易所“E互动”网络平台、投资者关系专线与专用邮箱等渠道，</w:t>
      </w:r>
      <w:r>
        <w:rPr>
          <w:rFonts w:ascii="仿宋_GB2312" w:eastAsia="仿宋_GB2312" w:hint="eastAsia"/>
          <w:sz w:val="30"/>
          <w:szCs w:val="28"/>
        </w:rPr>
        <w:t>增进互动交流。2020年3月，部分董事、监事、高级管理人员买入本行股票，创下历年上市银行董监高单次增持数量和金额最高记录，有效提振市场信心。</w:t>
      </w:r>
      <w:r>
        <w:rPr>
          <w:rFonts w:ascii="仿宋_GB2312" w:eastAsia="仿宋_GB2312" w:hAnsi="宋体" w:hint="eastAsia"/>
          <w:sz w:val="30"/>
          <w:szCs w:val="30"/>
        </w:rPr>
        <w:t>2020年，本行获得“中国上市公司百强排行榜”、“年度</w:t>
      </w:r>
      <w:r>
        <w:rPr>
          <w:rFonts w:ascii="仿宋_GB2312" w:eastAsia="仿宋_GB2312" w:hAnsi="宋体" w:hint="eastAsia"/>
          <w:color w:val="000000" w:themeColor="text1"/>
          <w:sz w:val="30"/>
          <w:szCs w:val="30"/>
        </w:rPr>
        <w:t xml:space="preserve">卓越上市公司”、“年度最具投资价值商业银行”、“最具社会责任上市公司”等奖项。 </w:t>
      </w:r>
    </w:p>
    <w:p w:rsidR="00092652" w:rsidRDefault="0039522B">
      <w:pPr>
        <w:overflowPunct w:val="0"/>
        <w:snapToGrid w:val="0"/>
        <w:spacing w:line="520" w:lineRule="exact"/>
        <w:ind w:firstLineChars="200" w:firstLine="602"/>
        <w:rPr>
          <w:rFonts w:ascii="仿宋_GB2312" w:eastAsia="仿宋_GB2312"/>
          <w:b/>
          <w:color w:val="000000" w:themeColor="text1"/>
          <w:sz w:val="30"/>
          <w:szCs w:val="28"/>
        </w:rPr>
      </w:pPr>
      <w:r>
        <w:rPr>
          <w:rFonts w:ascii="仿宋_GB2312" w:eastAsia="仿宋_GB2312" w:hint="eastAsia"/>
          <w:b/>
          <w:color w:val="000000" w:themeColor="text1"/>
          <w:sz w:val="30"/>
          <w:szCs w:val="28"/>
        </w:rPr>
        <w:t>四、2021年工作重点</w:t>
      </w:r>
    </w:p>
    <w:p w:rsidR="00092652" w:rsidRDefault="0039522B">
      <w:pPr>
        <w:overflowPunct w:val="0"/>
        <w:snapToGrid w:val="0"/>
        <w:spacing w:line="520" w:lineRule="exact"/>
        <w:ind w:firstLineChars="200" w:firstLine="602"/>
        <w:rPr>
          <w:rFonts w:ascii="仿宋_GB2312" w:eastAsia="仿宋_GB2312" w:hAnsi="宋体"/>
          <w:b/>
          <w:color w:val="000000" w:themeColor="text1"/>
          <w:sz w:val="30"/>
          <w:szCs w:val="28"/>
        </w:rPr>
      </w:pPr>
      <w:r>
        <w:rPr>
          <w:rFonts w:ascii="仿宋_GB2312" w:eastAsia="仿宋_GB2312" w:hAnsi="宋体" w:hint="eastAsia"/>
          <w:b/>
          <w:color w:val="000000" w:themeColor="text1"/>
          <w:sz w:val="30"/>
          <w:szCs w:val="28"/>
        </w:rPr>
        <w:t>（一）坚定战略定力，科学部署2021年度经营计划。</w:t>
      </w:r>
      <w:r>
        <w:rPr>
          <w:rFonts w:ascii="仿宋_GB2312" w:eastAsia="仿宋_GB2312" w:hint="eastAsia"/>
          <w:color w:val="000000" w:themeColor="text1"/>
          <w:sz w:val="30"/>
          <w:szCs w:val="28"/>
        </w:rPr>
        <w:t>2021年，宏观形势依然复杂和严峻，银行发展的挑战和机遇并存。本行将根据疫情变化不确定性、实体经济明显分化、金融监管政策进一步量化细化趋严等现实情况，认真贯彻落实党和国家政策要求，立足新发展阶段，贯彻新发展理念，服务新发展格局，坚持稳中求进工作总基调，落实金融业</w:t>
      </w:r>
      <w:r>
        <w:rPr>
          <w:rFonts w:ascii="仿宋_GB2312" w:eastAsia="仿宋_GB2312"/>
          <w:color w:val="000000" w:themeColor="text1"/>
          <w:sz w:val="30"/>
          <w:szCs w:val="28"/>
        </w:rPr>
        <w:t>“</w:t>
      </w:r>
      <w:r>
        <w:rPr>
          <w:rFonts w:ascii="仿宋_GB2312" w:eastAsia="仿宋_GB2312" w:hint="eastAsia"/>
          <w:color w:val="000000" w:themeColor="text1"/>
          <w:sz w:val="30"/>
          <w:szCs w:val="28"/>
        </w:rPr>
        <w:t>三大任务</w:t>
      </w:r>
      <w:r>
        <w:rPr>
          <w:rFonts w:ascii="仿宋_GB2312" w:eastAsia="仿宋_GB2312"/>
          <w:color w:val="000000" w:themeColor="text1"/>
          <w:sz w:val="30"/>
          <w:szCs w:val="28"/>
        </w:rPr>
        <w:t>”</w:t>
      </w:r>
      <w:r>
        <w:rPr>
          <w:rFonts w:ascii="仿宋_GB2312" w:eastAsia="仿宋_GB2312" w:hint="eastAsia"/>
          <w:color w:val="000000" w:themeColor="text1"/>
          <w:sz w:val="30"/>
          <w:szCs w:val="28"/>
        </w:rPr>
        <w:t>，围绕</w:t>
      </w:r>
      <w:r>
        <w:rPr>
          <w:rFonts w:ascii="仿宋_GB2312" w:eastAsia="仿宋_GB2312"/>
          <w:color w:val="000000" w:themeColor="text1"/>
          <w:sz w:val="30"/>
          <w:szCs w:val="28"/>
        </w:rPr>
        <w:t>“</w:t>
      </w:r>
      <w:r>
        <w:rPr>
          <w:rFonts w:ascii="仿宋_GB2312" w:eastAsia="仿宋_GB2312" w:hint="eastAsia"/>
          <w:color w:val="000000" w:themeColor="text1"/>
          <w:sz w:val="30"/>
          <w:szCs w:val="28"/>
        </w:rPr>
        <w:t>畅通、提升、挖潜、担当</w:t>
      </w:r>
      <w:r>
        <w:rPr>
          <w:rFonts w:ascii="仿宋_GB2312" w:eastAsia="仿宋_GB2312"/>
          <w:color w:val="000000" w:themeColor="text1"/>
          <w:sz w:val="30"/>
          <w:szCs w:val="28"/>
        </w:rPr>
        <w:t>”</w:t>
      </w:r>
      <w:r>
        <w:rPr>
          <w:rFonts w:ascii="仿宋_GB2312" w:eastAsia="仿宋_GB2312" w:hint="eastAsia"/>
          <w:color w:val="000000" w:themeColor="text1"/>
          <w:sz w:val="30"/>
          <w:szCs w:val="28"/>
        </w:rPr>
        <w:t>四个工作着力点，补短板、锻长板，将</w:t>
      </w:r>
      <w:r>
        <w:rPr>
          <w:rFonts w:ascii="仿宋_GB2312" w:eastAsia="仿宋_GB2312"/>
          <w:color w:val="000000" w:themeColor="text1"/>
          <w:sz w:val="30"/>
          <w:szCs w:val="28"/>
        </w:rPr>
        <w:t>“</w:t>
      </w:r>
      <w:r>
        <w:rPr>
          <w:rFonts w:ascii="仿宋_GB2312" w:eastAsia="仿宋_GB2312"/>
          <w:color w:val="000000" w:themeColor="text1"/>
          <w:sz w:val="30"/>
          <w:szCs w:val="28"/>
        </w:rPr>
        <w:t>2344</w:t>
      </w:r>
      <w:r>
        <w:rPr>
          <w:rFonts w:ascii="仿宋_GB2312" w:eastAsia="仿宋_GB2312"/>
          <w:color w:val="000000" w:themeColor="text1"/>
          <w:sz w:val="30"/>
          <w:szCs w:val="28"/>
        </w:rPr>
        <w:t>”</w:t>
      </w:r>
      <w:r>
        <w:rPr>
          <w:rFonts w:ascii="仿宋_GB2312" w:eastAsia="仿宋_GB2312" w:hint="eastAsia"/>
          <w:color w:val="000000" w:themeColor="text1"/>
          <w:sz w:val="30"/>
          <w:szCs w:val="28"/>
        </w:rPr>
        <w:lastRenderedPageBreak/>
        <w:t>策略做深做细，为</w:t>
      </w:r>
      <w:r>
        <w:rPr>
          <w:rFonts w:ascii="仿宋_GB2312" w:eastAsia="仿宋_GB2312"/>
          <w:color w:val="000000" w:themeColor="text1"/>
          <w:sz w:val="30"/>
          <w:szCs w:val="28"/>
        </w:rPr>
        <w:t>“</w:t>
      </w:r>
      <w:r>
        <w:rPr>
          <w:rFonts w:ascii="仿宋_GB2312" w:eastAsia="仿宋_GB2312"/>
          <w:color w:val="000000" w:themeColor="text1"/>
          <w:sz w:val="30"/>
          <w:szCs w:val="28"/>
        </w:rPr>
        <w:t>1234</w:t>
      </w:r>
      <w:r>
        <w:rPr>
          <w:rFonts w:ascii="仿宋_GB2312" w:eastAsia="仿宋_GB2312"/>
          <w:color w:val="000000" w:themeColor="text1"/>
          <w:sz w:val="30"/>
          <w:szCs w:val="28"/>
        </w:rPr>
        <w:t>”</w:t>
      </w:r>
      <w:r>
        <w:rPr>
          <w:rFonts w:ascii="仿宋_GB2312" w:eastAsia="仿宋_GB2312" w:hint="eastAsia"/>
          <w:color w:val="000000" w:themeColor="text1"/>
          <w:sz w:val="30"/>
          <w:szCs w:val="28"/>
        </w:rPr>
        <w:t>战略加持加速，擦亮投资银行、财富银行、绿色银行品牌，在以客户为中心推动高质量发展、打造价值银行的经营转型道路上迈出更大步伐，为新一轮五年发展起好步，为国家经济社会发展做出更大贡献。</w:t>
      </w:r>
    </w:p>
    <w:p w:rsidR="00092652" w:rsidRDefault="0039522B">
      <w:pPr>
        <w:overflowPunct w:val="0"/>
        <w:snapToGrid w:val="0"/>
        <w:spacing w:line="520" w:lineRule="exact"/>
        <w:ind w:firstLineChars="200" w:firstLine="602"/>
        <w:rPr>
          <w:rFonts w:ascii="仿宋_GB2312" w:eastAsia="仿宋_GB2312"/>
          <w:b/>
          <w:bCs/>
          <w:sz w:val="30"/>
          <w:szCs w:val="28"/>
        </w:rPr>
      </w:pPr>
      <w:r>
        <w:rPr>
          <w:rFonts w:ascii="仿宋_GB2312" w:eastAsia="仿宋_GB2312" w:hAnsi="宋体" w:hint="eastAsia"/>
          <w:b/>
          <w:color w:val="000000" w:themeColor="text1"/>
          <w:sz w:val="30"/>
          <w:szCs w:val="28"/>
        </w:rPr>
        <w:t>（二）</w:t>
      </w:r>
      <w:r>
        <w:rPr>
          <w:rFonts w:ascii="仿宋_GB2312" w:eastAsia="仿宋_GB2312" w:hint="eastAsia"/>
          <w:b/>
          <w:bCs/>
          <w:color w:val="000000" w:themeColor="text1"/>
          <w:sz w:val="30"/>
          <w:szCs w:val="28"/>
        </w:rPr>
        <w:t>切实发挥好董事会决策及各委员会专业职能</w:t>
      </w:r>
      <w:r>
        <w:rPr>
          <w:rFonts w:ascii="仿宋_GB2312" w:eastAsia="仿宋_GB2312" w:hint="eastAsia"/>
          <w:b/>
          <w:bCs/>
          <w:sz w:val="30"/>
          <w:szCs w:val="28"/>
        </w:rPr>
        <w:t>。</w:t>
      </w:r>
      <w:r>
        <w:rPr>
          <w:rFonts w:ascii="仿宋_GB2312" w:eastAsia="仿宋_GB2312" w:hint="eastAsia"/>
          <w:bCs/>
          <w:sz w:val="30"/>
          <w:szCs w:val="28"/>
        </w:rPr>
        <w:t>继续贯彻务实高效的治理精神，组织召开董事会及各委员会会议，重点发挥以下决策职能：一是把握宏观经济运行和金融行业发展趋势，研究制定全年经营计划及发展策略，及时评估各阶段经营成果，指导管理层有效落实。二是贯彻国家政策与监管要求，进一步强化董事会在集团并表管理、流动性管理、数据治理、反洗钱合规管理、消费者权益保护等方面的决策监督职能，促进银行持续健康发展。三是加强全面资本管理，结合新资本协议实施以及监管政策与资本市场变化，在注重内生资本积累、提高资本使用效益的同时，研究并探索实施多渠道资本补充方案，不断夯实银行持续发展根基。四是继续深化全面风险管理与合规内控机制建设，定期听取风险管理相关专题报告，加强与内外部审计机构的沟通，推动完善内部控制与案防机制。</w:t>
      </w:r>
    </w:p>
    <w:p w:rsidR="00092652" w:rsidRDefault="0039522B">
      <w:pPr>
        <w:overflowPunct w:val="0"/>
        <w:snapToGrid w:val="0"/>
        <w:spacing w:line="520" w:lineRule="exact"/>
        <w:ind w:firstLineChars="200" w:firstLine="602"/>
        <w:rPr>
          <w:rFonts w:ascii="仿宋_GB2312" w:eastAsia="仿宋_GB2312" w:hAnsi="宋体"/>
          <w:b/>
          <w:color w:val="000000" w:themeColor="text1"/>
          <w:sz w:val="30"/>
          <w:szCs w:val="28"/>
        </w:rPr>
      </w:pPr>
      <w:r>
        <w:rPr>
          <w:rFonts w:ascii="仿宋_GB2312" w:eastAsia="仿宋_GB2312" w:hAnsi="宋体" w:hint="eastAsia"/>
          <w:b/>
          <w:color w:val="000000" w:themeColor="text1"/>
          <w:sz w:val="30"/>
          <w:szCs w:val="28"/>
        </w:rPr>
        <w:t>（三）有针对性地做好董事调研、培训和投资者沟通等工作。</w:t>
      </w:r>
      <w:r>
        <w:rPr>
          <w:rFonts w:ascii="仿宋_GB2312" w:eastAsia="仿宋_GB2312" w:hAnsi="宋体" w:hint="eastAsia"/>
          <w:color w:val="000000" w:themeColor="text1"/>
          <w:sz w:val="30"/>
          <w:szCs w:val="28"/>
        </w:rPr>
        <w:t>重点突出以下方面：一是着眼于进一步发挥董事会战略决策职能，围绕本行今年工作重点，以推动特色业务发展、强化科技引领、指导经营机构发展等为主题开展专题调研，增强董事会掌握银行事务、驾驭复杂形势的履职能力。二是加强与投资者的互动沟通，组织参加定期业绩说明会和相关机构交流会，听取中小股东和其他资本市场参与者的意见和建议，突出推介本行的经营特色与发展成效。三是持续跟进行业发展趋势和监管动向，参加监管部门组织的监管会谈和专题培训等活动，及时学习掌握最新监</w:t>
      </w:r>
      <w:r>
        <w:rPr>
          <w:rFonts w:ascii="仿宋_GB2312" w:eastAsia="仿宋_GB2312" w:hAnsi="宋体" w:hint="eastAsia"/>
          <w:color w:val="000000" w:themeColor="text1"/>
          <w:sz w:val="30"/>
          <w:szCs w:val="28"/>
        </w:rPr>
        <w:lastRenderedPageBreak/>
        <w:t>管政策，提高重要决策的前瞻性和合规性。</w:t>
      </w:r>
    </w:p>
    <w:p w:rsidR="00092652" w:rsidRDefault="0039522B">
      <w:pPr>
        <w:overflowPunct w:val="0"/>
        <w:snapToGrid w:val="0"/>
        <w:spacing w:line="520" w:lineRule="exact"/>
        <w:ind w:firstLineChars="200" w:firstLine="602"/>
        <w:rPr>
          <w:rFonts w:ascii="仿宋_GB2312" w:eastAsia="仿宋_GB2312" w:hAnsi="宋体"/>
          <w:color w:val="000000" w:themeColor="text1"/>
          <w:sz w:val="30"/>
          <w:szCs w:val="28"/>
        </w:rPr>
      </w:pPr>
      <w:r>
        <w:rPr>
          <w:rFonts w:ascii="仿宋_GB2312" w:eastAsia="仿宋_GB2312" w:hAnsi="宋体" w:hint="eastAsia"/>
          <w:b/>
          <w:color w:val="000000" w:themeColor="text1"/>
          <w:sz w:val="30"/>
          <w:szCs w:val="28"/>
        </w:rPr>
        <w:t>（四）持续规范公司治理运作。</w:t>
      </w:r>
      <w:r>
        <w:rPr>
          <w:rFonts w:ascii="仿宋_GB2312" w:eastAsia="仿宋_GB2312" w:hAnsi="宋体" w:hint="eastAsia"/>
          <w:color w:val="000000" w:themeColor="text1"/>
          <w:sz w:val="30"/>
          <w:szCs w:val="28"/>
        </w:rPr>
        <w:t>一是根据公司法和本行章程等规定，主动做好与主要股东的沟通，筹划做好换届各项准备工作，优化董事成员的类别、专业和年龄结构，推动本行各项事业持续稳健发展。二是全面落实《国务院关于进一步提高上市公司质量的意见》，按照证监会部署组织开展公司治理专项行动，对照清单自查并落实相关问题整改；落实银保监会《健全银行业保险业公司治理三年行动方案（2020-2022年）》等要求，进一步完善公司治理。三是跟进学习新修订的《证券法》《上市公司章程指引》等法规和规章，结合外部监管检查要求及本行公司治理运作实际，对公司治理相关制度提出进一步修订的意见或建议，提请董事会或股东大会审议。四是加强董事会及相关委员会会前统筹协调及会后文件报送等事项，进一步规范公司治理运作。</w:t>
      </w:r>
    </w:p>
    <w:p w:rsidR="00092652" w:rsidRDefault="0039522B">
      <w:pPr>
        <w:snapToGrid w:val="0"/>
        <w:spacing w:line="540" w:lineRule="exact"/>
        <w:ind w:firstLineChars="200" w:firstLine="602"/>
        <w:rPr>
          <w:rFonts w:ascii="仿宋_GB2312" w:eastAsia="仿宋_GB2312" w:hAnsi="宋体" w:cs="Arial"/>
          <w:kern w:val="0"/>
          <w:sz w:val="30"/>
          <w:szCs w:val="30"/>
        </w:rPr>
      </w:pPr>
      <w:r>
        <w:rPr>
          <w:rFonts w:ascii="仿宋_GB2312" w:eastAsia="仿宋_GB2312" w:hAnsi="宋体" w:hint="eastAsia"/>
          <w:b/>
          <w:color w:val="000000"/>
          <w:sz w:val="30"/>
          <w:szCs w:val="30"/>
        </w:rPr>
        <w:t>（五）</w:t>
      </w:r>
      <w:r>
        <w:rPr>
          <w:rFonts w:eastAsia="仿宋_GB2312" w:cs="Arial" w:hint="eastAsia"/>
          <w:b/>
          <w:bCs/>
          <w:kern w:val="0"/>
          <w:sz w:val="30"/>
          <w:szCs w:val="30"/>
        </w:rPr>
        <w:t>践行</w:t>
      </w:r>
      <w:r>
        <w:rPr>
          <w:rFonts w:ascii="仿宋_GB2312" w:eastAsia="仿宋_GB2312" w:hAnsi="宋体" w:cs="Arial" w:hint="eastAsia"/>
          <w:b/>
          <w:bCs/>
          <w:kern w:val="0"/>
          <w:sz w:val="30"/>
          <w:szCs w:val="30"/>
        </w:rPr>
        <w:t>可持续治理理念，加强透明度建设与ESG责任引领。</w:t>
      </w:r>
      <w:r>
        <w:rPr>
          <w:rFonts w:ascii="仿宋_GB2312" w:eastAsia="仿宋_GB2312" w:hAnsi="宋体" w:cs="Arial" w:hint="eastAsia"/>
          <w:kern w:val="0"/>
          <w:sz w:val="30"/>
          <w:szCs w:val="30"/>
        </w:rPr>
        <w:t>一是持续推进信息披露及透明度建设，加强自愿性披露，全面客观阐释本行发展战略和经营情况，特别是在落实国家金融政策部署、服务实体经济发展、推动自身稳健成长方面的实际质效，为投资者决策提供充分依据。二是强化资本市场估值管理，综合运用定期业绩推介、高层走访交流、专业机构互动、投资者来电来访接待等形式，深化与投资者及资本市场交流，充分展示本行投资价值，促进提升资本市场估值，巩固优质蓝筹银行股形象。三是结合自身在绿色金融领域的有效探索，</w:t>
      </w:r>
      <w:r>
        <w:rPr>
          <w:rFonts w:ascii="仿宋_GB2312" w:eastAsia="仿宋_GB2312" w:hint="eastAsia"/>
          <w:sz w:val="30"/>
          <w:szCs w:val="30"/>
        </w:rPr>
        <w:t>充分关注在经济、环境和社会公益事业等方面应履行的社会责任，研究将ESG发展战略作为重要发展方向，引导优化公司治理和经营管理行为，切实践行可持续发展理念，推动银行始终保持稳健且可持续发展。</w:t>
      </w:r>
    </w:p>
    <w:p w:rsidR="00092652" w:rsidRDefault="0039522B">
      <w:pPr>
        <w:spacing w:line="520" w:lineRule="exact"/>
        <w:ind w:firstLineChars="200" w:firstLine="600"/>
        <w:rPr>
          <w:rFonts w:ascii="黑体" w:eastAsia="黑体"/>
          <w:sz w:val="32"/>
          <w:szCs w:val="32"/>
        </w:rPr>
      </w:pPr>
      <w:r>
        <w:rPr>
          <w:rFonts w:ascii="仿宋_GB2312" w:eastAsia="仿宋_GB2312" w:cs="宋体" w:hint="eastAsia"/>
          <w:kern w:val="0"/>
          <w:sz w:val="30"/>
          <w:szCs w:val="30"/>
          <w:lang w:val="zh-CN"/>
        </w:rPr>
        <w:t>专此报告，请予审议。</w:t>
      </w:r>
      <w:r>
        <w:rPr>
          <w:rFonts w:ascii="黑体" w:eastAsia="黑体"/>
          <w:sz w:val="32"/>
          <w:szCs w:val="32"/>
        </w:rPr>
        <w:br w:type="page"/>
      </w:r>
    </w:p>
    <w:p w:rsidR="00092652" w:rsidRDefault="00C4392E">
      <w:pPr>
        <w:tabs>
          <w:tab w:val="left" w:pos="416"/>
          <w:tab w:val="left" w:pos="1086"/>
          <w:tab w:val="center" w:pos="4156"/>
        </w:tabs>
        <w:spacing w:line="500" w:lineRule="exact"/>
        <w:ind w:firstLineChars="200" w:firstLine="640"/>
      </w:pPr>
      <w:r>
        <w:rPr>
          <w:rFonts w:ascii="黑体" w:eastAsia="黑体"/>
          <w:noProof/>
          <w:sz w:val="32"/>
          <w:szCs w:val="32"/>
        </w:rPr>
        <w:lastRenderedPageBreak/>
        <mc:AlternateContent>
          <mc:Choice Requires="wps">
            <w:drawing>
              <wp:anchor distT="0" distB="0" distL="114300" distR="114300" simplePos="0" relativeHeight="251661312" behindDoc="0" locked="0" layoutInCell="1" allowOverlap="1" wp14:anchorId="099DC07B" wp14:editId="03EDD31A">
                <wp:simplePos x="0" y="0"/>
                <wp:positionH relativeFrom="column">
                  <wp:posOffset>-15875</wp:posOffset>
                </wp:positionH>
                <wp:positionV relativeFrom="paragraph">
                  <wp:posOffset>0</wp:posOffset>
                </wp:positionV>
                <wp:extent cx="1426210" cy="594360"/>
                <wp:effectExtent l="0" t="0" r="3175" b="0"/>
                <wp:wrapSquare wrapText="bothSides"/>
                <wp:docPr id="23" name="文本框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621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15BAA" w:rsidRDefault="00115BAA">
                            <w:pPr>
                              <w:spacing w:line="400" w:lineRule="exact"/>
                              <w:jc w:val="center"/>
                              <w:rPr>
                                <w:rFonts w:ascii="宋体"/>
                                <w:color w:val="000000"/>
                                <w:szCs w:val="21"/>
                              </w:rPr>
                            </w:pPr>
                            <w:r>
                              <w:rPr>
                                <w:rFonts w:ascii="宋体" w:hint="eastAsia"/>
                                <w:color w:val="000000"/>
                                <w:szCs w:val="21"/>
                              </w:rPr>
                              <w:t>2020年年度股东大会</w:t>
                            </w:r>
                          </w:p>
                          <w:p w:rsidR="00115BAA" w:rsidRDefault="00115BAA">
                            <w:pPr>
                              <w:spacing w:line="400" w:lineRule="exact"/>
                              <w:jc w:val="center"/>
                              <w:rPr>
                                <w:rFonts w:ascii="宋体"/>
                                <w:color w:val="000000"/>
                                <w:szCs w:val="21"/>
                              </w:rPr>
                            </w:pPr>
                            <w:r>
                              <w:rPr>
                                <w:rFonts w:ascii="宋体" w:hint="eastAsia"/>
                                <w:color w:val="000000"/>
                                <w:szCs w:val="21"/>
                              </w:rPr>
                              <w:t>文件二　审议议案</w:t>
                            </w:r>
                          </w:p>
                          <w:p w:rsidR="00115BAA" w:rsidRDefault="00115BAA">
                            <w:pPr>
                              <w:rPr>
                                <w:szCs w:val="21"/>
                              </w:rPr>
                            </w:pPr>
                          </w:p>
                        </w:txbxContent>
                      </wps:txbx>
                      <wps:bodyPr wrap="none"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_x0000_s1028" type="#_x0000_t202" style="position:absolute;left:0;text-align:left;margin-left:-1.25pt;margin-top:0;width:112.3pt;height:46.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">
                <v:path arrowok="t"/>
                <v:textbox>
                  <w:txbxContent>
                    <w:p w:rsidR="00115BAA" w:rsidRDefault="00115BAA">
                      <w:pPr>
                        <w:spacing w:line="400" w:lineRule="exact"/>
                        <w:jc w:val="center"/>
                        <w:rPr>
                          <w:rFonts w:ascii="宋体"/>
                          <w:color w:val="000000"/>
                          <w:szCs w:val="21"/>
                        </w:rPr>
                      </w:pPr>
                      <w:r>
                        <w:rPr>
                          <w:rFonts w:ascii="宋体" w:hint="eastAsia"/>
                          <w:color w:val="000000"/>
                          <w:szCs w:val="21"/>
                        </w:rPr>
                        <w:t>2020年年度股东大会</w:t>
                      </w:r>
                    </w:p>
                    <w:p w:rsidR="00115BAA" w:rsidRDefault="00115BAA">
                      <w:pPr>
                        <w:spacing w:line="400" w:lineRule="exact"/>
                        <w:jc w:val="center"/>
                        <w:rPr>
                          <w:rFonts w:ascii="宋体"/>
                          <w:color w:val="000000"/>
                          <w:szCs w:val="21"/>
                        </w:rPr>
                      </w:pPr>
                      <w:r>
                        <w:rPr>
                          <w:rFonts w:ascii="宋体" w:hint="eastAsia"/>
                          <w:color w:val="000000"/>
                          <w:szCs w:val="21"/>
                        </w:rPr>
                        <w:t>文件二　审议议案</w:t>
                      </w:r>
                    </w:p>
                    <w:p w:rsidR="00115BAA" w:rsidRDefault="00115BAA">
                      <w:pPr>
                        <w:rPr>
                          <w:szCs w:val="21"/>
                        </w:rPr>
                      </w:pPr>
                    </w:p>
                  </w:txbxContent>
                </v:textbox>
                <w10:wrap type="square"/>
              </v:shape>
            </w:pict>
          </mc:Fallback>
        </mc:AlternateContent>
      </w:r>
    </w:p>
    <w:p w:rsidR="00092652" w:rsidRDefault="00092652">
      <w:pPr>
        <w:widowControl/>
        <w:spacing w:line="560" w:lineRule="exact"/>
        <w:jc w:val="center"/>
        <w:rPr>
          <w:rFonts w:ascii="黑体" w:eastAsia="黑体"/>
          <w:sz w:val="32"/>
          <w:szCs w:val="32"/>
        </w:rPr>
      </w:pPr>
    </w:p>
    <w:p w:rsidR="00092652" w:rsidRDefault="0039522B">
      <w:pPr>
        <w:widowControl/>
        <w:spacing w:line="520" w:lineRule="exact"/>
        <w:jc w:val="center"/>
        <w:rPr>
          <w:rFonts w:ascii="黑体" w:eastAsia="黑体"/>
          <w:sz w:val="32"/>
          <w:szCs w:val="32"/>
        </w:rPr>
      </w:pPr>
      <w:r>
        <w:rPr>
          <w:rFonts w:ascii="黑体" w:eastAsia="黑体" w:hint="eastAsia"/>
          <w:sz w:val="32"/>
          <w:szCs w:val="32"/>
        </w:rPr>
        <w:t>兴业银行股份有限公司</w:t>
      </w:r>
    </w:p>
    <w:p w:rsidR="00092652" w:rsidRDefault="0039522B">
      <w:pPr>
        <w:pStyle w:val="1"/>
        <w:spacing w:before="0" w:after="0" w:line="520" w:lineRule="exact"/>
        <w:rPr>
          <w:szCs w:val="32"/>
        </w:rPr>
      </w:pPr>
      <w:bookmarkStart w:id="4" w:name="_Toc72437648"/>
      <w:r>
        <w:rPr>
          <w:rFonts w:hint="eastAsia"/>
          <w:szCs w:val="32"/>
        </w:rPr>
        <w:t>2020年度监事会工作报告</w:t>
      </w:r>
      <w:bookmarkEnd w:id="4"/>
    </w:p>
    <w:p w:rsidR="00092652" w:rsidRDefault="0039522B">
      <w:pPr>
        <w:overflowPunct w:val="0"/>
        <w:snapToGrid w:val="0"/>
        <w:spacing w:line="520" w:lineRule="exact"/>
        <w:jc w:val="center"/>
        <w:rPr>
          <w:rFonts w:ascii="仿宋_GB2312" w:eastAsia="仿宋_GB2312"/>
          <w:sz w:val="30"/>
          <w:szCs w:val="28"/>
        </w:rPr>
      </w:pPr>
      <w:r>
        <w:rPr>
          <w:rFonts w:ascii="仿宋_GB2312" w:eastAsia="仿宋_GB2312" w:hint="eastAsia"/>
          <w:sz w:val="30"/>
          <w:szCs w:val="28"/>
        </w:rPr>
        <w:t>监事会主席：蒋云明</w:t>
      </w:r>
    </w:p>
    <w:p w:rsidR="00092652" w:rsidRDefault="00092652">
      <w:pPr>
        <w:overflowPunct w:val="0"/>
        <w:snapToGrid w:val="0"/>
        <w:spacing w:line="520" w:lineRule="exact"/>
        <w:jc w:val="center"/>
        <w:rPr>
          <w:rFonts w:ascii="仿宋_GB2312" w:eastAsia="仿宋_GB2312"/>
          <w:sz w:val="30"/>
          <w:szCs w:val="28"/>
        </w:rPr>
      </w:pPr>
    </w:p>
    <w:p w:rsidR="00092652" w:rsidRDefault="0039522B">
      <w:pPr>
        <w:overflowPunct w:val="0"/>
        <w:snapToGrid w:val="0"/>
        <w:spacing w:line="520" w:lineRule="exact"/>
        <w:rPr>
          <w:rFonts w:ascii="仿宋_GB2312" w:eastAsia="仿宋_GB2312"/>
          <w:sz w:val="30"/>
          <w:szCs w:val="28"/>
        </w:rPr>
      </w:pPr>
      <w:r>
        <w:rPr>
          <w:rFonts w:ascii="仿宋_GB2312" w:eastAsia="仿宋_GB2312" w:hint="eastAsia"/>
          <w:sz w:val="30"/>
          <w:szCs w:val="28"/>
        </w:rPr>
        <w:t>各位股东：</w:t>
      </w:r>
    </w:p>
    <w:p w:rsidR="00092652" w:rsidRDefault="0039522B">
      <w:pPr>
        <w:adjustRightInd w:val="0"/>
        <w:snapToGrid w:val="0"/>
        <w:spacing w:line="520" w:lineRule="exact"/>
        <w:ind w:firstLineChars="200" w:firstLine="600"/>
        <w:rPr>
          <w:rFonts w:ascii="仿宋_GB2312" w:eastAsia="仿宋_GB2312"/>
          <w:sz w:val="30"/>
          <w:szCs w:val="30"/>
        </w:rPr>
      </w:pPr>
      <w:r>
        <w:rPr>
          <w:rFonts w:ascii="仿宋_GB2312" w:eastAsia="仿宋_GB2312" w:hint="eastAsia"/>
          <w:sz w:val="30"/>
          <w:szCs w:val="30"/>
        </w:rPr>
        <w:t>现就监事会2020年度工作情况及2021年度工作计划报告如下：</w:t>
      </w:r>
    </w:p>
    <w:p w:rsidR="00092652" w:rsidRDefault="0039522B">
      <w:pPr>
        <w:adjustRightInd w:val="0"/>
        <w:snapToGrid w:val="0"/>
        <w:spacing w:line="520" w:lineRule="exact"/>
        <w:ind w:firstLineChars="200" w:firstLine="602"/>
        <w:rPr>
          <w:rFonts w:ascii="仿宋_GB2312" w:eastAsia="仿宋_GB2312"/>
          <w:b/>
          <w:bCs/>
          <w:sz w:val="30"/>
          <w:szCs w:val="30"/>
        </w:rPr>
      </w:pPr>
      <w:r>
        <w:rPr>
          <w:rFonts w:ascii="仿宋_GB2312" w:eastAsia="仿宋_GB2312" w:hint="eastAsia"/>
          <w:b/>
          <w:bCs/>
          <w:sz w:val="30"/>
          <w:szCs w:val="30"/>
        </w:rPr>
        <w:t>一、2020年度监督工作情况</w:t>
      </w:r>
    </w:p>
    <w:p w:rsidR="00092652" w:rsidRDefault="0039522B">
      <w:pPr>
        <w:tabs>
          <w:tab w:val="left" w:pos="2790"/>
        </w:tabs>
        <w:adjustRightInd w:val="0"/>
        <w:snapToGrid w:val="0"/>
        <w:spacing w:line="520" w:lineRule="exact"/>
        <w:ind w:firstLineChars="200" w:firstLine="600"/>
        <w:rPr>
          <w:rFonts w:ascii="仿宋_GB2312" w:eastAsia="仿宋_GB2312"/>
          <w:sz w:val="30"/>
          <w:szCs w:val="30"/>
        </w:rPr>
      </w:pPr>
      <w:r>
        <w:rPr>
          <w:rFonts w:ascii="仿宋_GB2312" w:eastAsia="仿宋_GB2312" w:hint="eastAsia"/>
          <w:sz w:val="30"/>
          <w:szCs w:val="30"/>
        </w:rPr>
        <w:t>2020年，监事会根据法律法规、监管要求和本行章程的规定，围绕全行转型发展大局，加强重点领域监督，深入开展专题调研，持续强化对董事会、高级管理层及其成员的履职监督，不断加强监督实效。全体监事勤勉尽职，</w:t>
      </w:r>
      <w:r>
        <w:rPr>
          <w:rFonts w:ascii="仿宋_GB2312" w:eastAsia="仿宋_GB2312"/>
          <w:sz w:val="30"/>
          <w:szCs w:val="30"/>
        </w:rPr>
        <w:t>全面完成</w:t>
      </w:r>
      <w:r>
        <w:rPr>
          <w:rFonts w:ascii="仿宋_GB2312" w:eastAsia="仿宋_GB2312" w:hint="eastAsia"/>
          <w:sz w:val="30"/>
          <w:szCs w:val="30"/>
        </w:rPr>
        <w:t>了</w:t>
      </w:r>
      <w:r>
        <w:rPr>
          <w:rFonts w:ascii="仿宋_GB2312" w:eastAsia="仿宋_GB2312"/>
          <w:sz w:val="30"/>
          <w:szCs w:val="30"/>
        </w:rPr>
        <w:t>监事会各项工作</w:t>
      </w:r>
      <w:r>
        <w:rPr>
          <w:rFonts w:ascii="仿宋_GB2312" w:eastAsia="仿宋_GB2312" w:hint="eastAsia"/>
          <w:sz w:val="30"/>
          <w:szCs w:val="30"/>
        </w:rPr>
        <w:t>，为促进本行进一步完善公司治理、实现稳健可持续发展发挥了应有的作用。</w:t>
      </w:r>
    </w:p>
    <w:p w:rsidR="00092652" w:rsidRDefault="0039522B">
      <w:pPr>
        <w:tabs>
          <w:tab w:val="left" w:pos="2790"/>
        </w:tabs>
        <w:adjustRightInd w:val="0"/>
        <w:snapToGrid w:val="0"/>
        <w:spacing w:line="520" w:lineRule="exact"/>
        <w:ind w:firstLineChars="200" w:firstLine="602"/>
        <w:rPr>
          <w:rFonts w:ascii="仿宋_GB2312" w:eastAsia="仿宋_GB2312"/>
          <w:b/>
          <w:bCs/>
          <w:sz w:val="30"/>
          <w:szCs w:val="30"/>
        </w:rPr>
      </w:pPr>
      <w:r>
        <w:rPr>
          <w:rFonts w:ascii="仿宋_GB2312" w:eastAsia="仿宋_GB2312" w:hint="eastAsia"/>
          <w:b/>
          <w:bCs/>
          <w:sz w:val="30"/>
          <w:szCs w:val="30"/>
        </w:rPr>
        <w:t>（一）依法召开监事会会议，切实履行议事监督职责</w:t>
      </w:r>
    </w:p>
    <w:p w:rsidR="00092652" w:rsidRDefault="0039522B">
      <w:pPr>
        <w:adjustRightInd w:val="0"/>
        <w:snapToGrid w:val="0"/>
        <w:spacing w:line="520" w:lineRule="exact"/>
        <w:ind w:firstLineChars="200" w:firstLine="600"/>
        <w:rPr>
          <w:rFonts w:ascii="仿宋_GB2312" w:eastAsia="仿宋_GB2312"/>
          <w:sz w:val="30"/>
          <w:szCs w:val="30"/>
        </w:rPr>
      </w:pPr>
      <w:r>
        <w:rPr>
          <w:rFonts w:ascii="仿宋_GB2312" w:eastAsia="仿宋_GB2312" w:hint="eastAsia"/>
          <w:sz w:val="30"/>
          <w:szCs w:val="30"/>
        </w:rPr>
        <w:t>2020年，监事会共召开5次会议，审议通过16项议案，听取16项报告，参阅4项专项报告；监事会监督委员会和提名、薪酬与考核委员会共召开会议3次，审议通过7项议案。相关会议充分审议和讨论了监事会及各委员会年度工作报告、董监高履职评价、各期财务报告、利润分配、风险管理、内控评价、流动性管理、压力测试、并表管理、案件防控、内部审计、监管通报整改等议题，全面涵盖履职监督、战略监督、财务监督、风险管理和内部控制监督以及监事会自身建设等各方面内容。在常规议事的基础上，监事会还通过多种方式提升会议议事监督质量、加</w:t>
      </w:r>
      <w:r>
        <w:rPr>
          <w:rFonts w:ascii="仿宋_GB2312" w:eastAsia="仿宋_GB2312" w:hint="eastAsia"/>
          <w:sz w:val="30"/>
          <w:szCs w:val="30"/>
        </w:rPr>
        <w:lastRenderedPageBreak/>
        <w:t>强会议意见落实：一是与外部审计团队进行专门交流，就年报审计的关键事项和监督重点开展讨论，提升监督的客观性和独立性，并要求审计师在助力本行转型发展等方面给予更多协助。二是专门安排听取新冠疫情对本行的影响分析及应对策略报告，充分评估相关影响和潜在风险，强化特殊时期监督工作的针对性。三是进一步强化监督意见的传导与落实，对会议形成的主要意见与建议，以监事会管理建议书的形式报送董事会、管理层，要求及时落实或反馈，促进监督成果运用，增强监事会监督实效。</w:t>
      </w:r>
    </w:p>
    <w:p w:rsidR="00092652" w:rsidRDefault="0039522B">
      <w:pPr>
        <w:adjustRightInd w:val="0"/>
        <w:snapToGrid w:val="0"/>
        <w:spacing w:line="520" w:lineRule="exact"/>
        <w:ind w:firstLineChars="200" w:firstLine="600"/>
        <w:rPr>
          <w:rFonts w:ascii="仿宋_GB2312" w:eastAsia="仿宋_GB2312"/>
          <w:sz w:val="30"/>
          <w:szCs w:val="30"/>
        </w:rPr>
      </w:pPr>
      <w:r>
        <w:rPr>
          <w:rFonts w:ascii="仿宋_GB2312" w:eastAsia="仿宋_GB2312"/>
          <w:sz w:val="30"/>
          <w:szCs w:val="30"/>
        </w:rPr>
        <w:t>监事会及</w:t>
      </w:r>
      <w:r>
        <w:rPr>
          <w:rFonts w:ascii="仿宋_GB2312" w:eastAsia="仿宋_GB2312" w:hint="eastAsia"/>
          <w:sz w:val="30"/>
          <w:szCs w:val="30"/>
        </w:rPr>
        <w:t>各</w:t>
      </w:r>
      <w:r>
        <w:rPr>
          <w:rFonts w:ascii="仿宋_GB2312" w:eastAsia="仿宋_GB2312"/>
          <w:sz w:val="30"/>
          <w:szCs w:val="30"/>
        </w:rPr>
        <w:t>委员会会议严格按照本行章程</w:t>
      </w:r>
      <w:r>
        <w:rPr>
          <w:rFonts w:ascii="仿宋_GB2312" w:eastAsia="仿宋_GB2312" w:hint="eastAsia"/>
          <w:sz w:val="30"/>
          <w:szCs w:val="30"/>
        </w:rPr>
        <w:t>、</w:t>
      </w:r>
      <w:r>
        <w:rPr>
          <w:rFonts w:ascii="仿宋_GB2312" w:eastAsia="仿宋_GB2312"/>
          <w:sz w:val="30"/>
          <w:szCs w:val="30"/>
        </w:rPr>
        <w:t>监事会议事规则</w:t>
      </w:r>
      <w:r>
        <w:rPr>
          <w:rFonts w:ascii="仿宋_GB2312" w:eastAsia="仿宋_GB2312" w:hint="eastAsia"/>
          <w:sz w:val="30"/>
          <w:szCs w:val="30"/>
        </w:rPr>
        <w:t>和专门委员会工作规则</w:t>
      </w:r>
      <w:r>
        <w:rPr>
          <w:rFonts w:ascii="仿宋_GB2312" w:eastAsia="仿宋_GB2312"/>
          <w:sz w:val="30"/>
          <w:szCs w:val="30"/>
        </w:rPr>
        <w:t>规定的程序召开，</w:t>
      </w:r>
      <w:r>
        <w:rPr>
          <w:rFonts w:ascii="仿宋_GB2312" w:eastAsia="仿宋_GB2312" w:hint="eastAsia"/>
          <w:sz w:val="30"/>
          <w:szCs w:val="30"/>
        </w:rPr>
        <w:t>会议氛围专业、民主，各位监事在会议过程能够充分、独立发表监督意见，</w:t>
      </w:r>
      <w:r>
        <w:rPr>
          <w:rFonts w:ascii="仿宋_GB2312" w:eastAsia="仿宋_GB2312"/>
          <w:sz w:val="30"/>
          <w:szCs w:val="30"/>
        </w:rPr>
        <w:t>相关会议情况按照</w:t>
      </w:r>
      <w:r>
        <w:rPr>
          <w:rFonts w:ascii="仿宋_GB2312" w:eastAsia="仿宋_GB2312" w:hint="eastAsia"/>
          <w:sz w:val="30"/>
          <w:szCs w:val="30"/>
        </w:rPr>
        <w:t>监管</w:t>
      </w:r>
      <w:r>
        <w:rPr>
          <w:rFonts w:ascii="仿宋_GB2312" w:eastAsia="仿宋_GB2312"/>
          <w:sz w:val="30"/>
          <w:szCs w:val="30"/>
        </w:rPr>
        <w:t>要求及时披露。</w:t>
      </w:r>
      <w:r>
        <w:rPr>
          <w:rFonts w:ascii="仿宋_GB2312" w:eastAsia="仿宋_GB2312" w:hint="eastAsia"/>
          <w:sz w:val="30"/>
          <w:szCs w:val="30"/>
        </w:rPr>
        <w:t>全体监事勤勉尽职，克服疫情影响，积极出席会议，监事出席监事会及各专门委员会会议的出席率为100%，亲自出席率为98%。</w:t>
      </w:r>
    </w:p>
    <w:p w:rsidR="00092652" w:rsidRDefault="0039522B">
      <w:pPr>
        <w:adjustRightInd w:val="0"/>
        <w:snapToGrid w:val="0"/>
        <w:spacing w:line="520" w:lineRule="exact"/>
        <w:ind w:firstLineChars="200" w:firstLine="602"/>
        <w:rPr>
          <w:rFonts w:ascii="仿宋_GB2312" w:eastAsia="仿宋_GB2312"/>
          <w:b/>
          <w:bCs/>
          <w:sz w:val="30"/>
          <w:szCs w:val="30"/>
        </w:rPr>
      </w:pPr>
      <w:r>
        <w:rPr>
          <w:rFonts w:ascii="仿宋_GB2312" w:eastAsia="仿宋_GB2312" w:hint="eastAsia"/>
          <w:b/>
          <w:bCs/>
          <w:sz w:val="30"/>
          <w:szCs w:val="30"/>
        </w:rPr>
        <w:t>（二）积极建言献策，做实重点领域监督</w:t>
      </w:r>
    </w:p>
    <w:p w:rsidR="00092652" w:rsidRDefault="0039522B">
      <w:pPr>
        <w:spacing w:line="520" w:lineRule="exact"/>
        <w:ind w:firstLineChars="200" w:firstLine="600"/>
        <w:rPr>
          <w:rFonts w:ascii="仿宋_GB2312" w:eastAsia="仿宋_GB2312"/>
          <w:color w:val="FF0000"/>
          <w:sz w:val="30"/>
          <w:szCs w:val="30"/>
        </w:rPr>
      </w:pPr>
      <w:r>
        <w:rPr>
          <w:rFonts w:ascii="仿宋_GB2312" w:eastAsia="仿宋_GB2312" w:hint="eastAsia"/>
          <w:sz w:val="30"/>
          <w:szCs w:val="30"/>
        </w:rPr>
        <w:t>2020年，监事会坚持真抓实干、做实监督，针对全行战略和经营管理提出多项意见和建议，并得到管理层高度重视和认真反馈，切实将监督成果转化为推动银行发展的内在动力，发挥建设性监督作用。</w:t>
      </w:r>
    </w:p>
    <w:p w:rsidR="00092652" w:rsidRDefault="0039522B">
      <w:pPr>
        <w:spacing w:line="520" w:lineRule="exact"/>
        <w:ind w:firstLineChars="200" w:firstLine="602"/>
        <w:rPr>
          <w:rFonts w:ascii="仿宋_GB2312" w:eastAsia="仿宋_GB2312"/>
          <w:sz w:val="30"/>
          <w:szCs w:val="30"/>
        </w:rPr>
      </w:pPr>
      <w:r>
        <w:rPr>
          <w:rFonts w:ascii="仿宋_GB2312" w:eastAsia="仿宋_GB2312" w:hint="eastAsia"/>
          <w:b/>
          <w:sz w:val="30"/>
          <w:szCs w:val="30"/>
        </w:rPr>
        <w:t>战略监督方面</w:t>
      </w:r>
      <w:r>
        <w:rPr>
          <w:rFonts w:ascii="仿宋_GB2312" w:eastAsia="仿宋_GB2312" w:hint="eastAsia"/>
          <w:sz w:val="30"/>
          <w:szCs w:val="30"/>
        </w:rPr>
        <w:t>，一是重点关注集团发展战略落实成效和未来规划，听取集团并表管理、战略规划执行情况以及新一轮五年规划思路等报告，监督检查本行战略决策执行情况，审慎评估战略规划方向和可行性，并建议有效整合集团金融牌照和资源，强化综合金融竞争力，加强子公司管理，提升子公司盈利能力和战略协同能力。二是高度关注新冠疫情影响，要求管理层做好评估预判，领会政策意图，把握机遇、有所作为，积极应对挑战，同时</w:t>
      </w:r>
      <w:r>
        <w:rPr>
          <w:rFonts w:ascii="仿宋_GB2312" w:eastAsia="仿宋_GB2312" w:hint="eastAsia"/>
          <w:sz w:val="30"/>
          <w:szCs w:val="30"/>
        </w:rPr>
        <w:lastRenderedPageBreak/>
        <w:t>深入思考疫情对社会治理和大众理念带来的长远变化，制定更为行稳致远的发展战略，主动寻找业务调整和切入点，更好地适应环境变化。</w:t>
      </w:r>
      <w:r>
        <w:rPr>
          <w:rFonts w:ascii="仿宋_GB2312" w:eastAsia="仿宋_GB2312" w:hAnsi="宋体" w:cs="仿宋_GB2312" w:hint="eastAsia"/>
          <w:color w:val="000000"/>
          <w:kern w:val="0"/>
          <w:sz w:val="30"/>
          <w:szCs w:val="30"/>
        </w:rPr>
        <w:t>三是聚焦金融科技，强调银行应着力于科技服务金融、科技赋能金融，为经营解决实际问题，建议本行立足智慧银行建设，持续做强科技中台，加强重点领域的科技创新和应用，不断提升客户体验，并探索通过市场化机制解决金融科技发展面临的人才、技术、资金等瓶颈问题。四是立足“1234”战略，探索用投资银行的思路和方法清收化解不良资产，并配套相应的考核奖励，进一步完善不良资产清收处置机制。</w:t>
      </w:r>
    </w:p>
    <w:p w:rsidR="00092652" w:rsidRDefault="0039522B">
      <w:pPr>
        <w:adjustRightInd w:val="0"/>
        <w:snapToGrid w:val="0"/>
        <w:spacing w:line="520" w:lineRule="exact"/>
        <w:ind w:firstLineChars="200" w:firstLine="602"/>
        <w:rPr>
          <w:rFonts w:ascii="仿宋_GB2312" w:eastAsia="仿宋_GB2312" w:hAnsi="宋体" w:cs="仿宋_GB2312"/>
          <w:color w:val="000000"/>
          <w:kern w:val="0"/>
          <w:sz w:val="30"/>
          <w:szCs w:val="30"/>
        </w:rPr>
      </w:pPr>
      <w:r>
        <w:rPr>
          <w:rFonts w:ascii="仿宋_GB2312" w:eastAsia="仿宋_GB2312" w:hint="eastAsia"/>
          <w:b/>
          <w:sz w:val="30"/>
          <w:szCs w:val="30"/>
        </w:rPr>
        <w:t>财务监督方面</w:t>
      </w:r>
      <w:r>
        <w:rPr>
          <w:rFonts w:ascii="仿宋_GB2312" w:eastAsia="仿宋_GB2312" w:hint="eastAsia"/>
          <w:sz w:val="30"/>
          <w:szCs w:val="30"/>
        </w:rPr>
        <w:t>，历次监事会会议均安排审议或听取财务状况相关议题，对财务活动的合规管理及财务数据的准确计量进行重点监督。一是认真审议年度报告、季度报告、利润分配、会计政策变更等议题并出具审核意见，确保相关报告编制和方案制定工作在程序与内容方面依法合规。二是持续关注新会计准则实施情况，指出后续我国还将陆续实施修订后的租赁、收入等新会计准则，本行要进一步加强对准则变化及其影响的研究。三是</w:t>
      </w:r>
      <w:r>
        <w:rPr>
          <w:rFonts w:ascii="仿宋_GB2312" w:eastAsia="仿宋_GB2312" w:hAnsi="宋体" w:cs="仿宋_GB2312" w:hint="eastAsia"/>
          <w:color w:val="000000"/>
          <w:kern w:val="0"/>
          <w:sz w:val="30"/>
          <w:szCs w:val="30"/>
        </w:rPr>
        <w:t>建议加强资本精细化管理，进一步提升全行对于资本重要性的认识，充分发挥考核指挥棒作用，实现更加高效的资产配置和流转，提升资本收益水平，推动银行估值提升，并将利润增速高于风险资产增速作为今后全行经营转型考评的重要参照指标。同时，探索运用智能化手段，提升风险资产的监测、计量和管理水平。</w:t>
      </w:r>
    </w:p>
    <w:p w:rsidR="00092652" w:rsidRDefault="0039522B">
      <w:pPr>
        <w:adjustRightInd w:val="0"/>
        <w:snapToGrid w:val="0"/>
        <w:spacing w:line="520" w:lineRule="exact"/>
        <w:ind w:firstLineChars="200" w:firstLine="602"/>
        <w:rPr>
          <w:rFonts w:ascii="仿宋_GB2312" w:eastAsia="仿宋_GB2312"/>
          <w:color w:val="000000"/>
          <w:sz w:val="30"/>
          <w:szCs w:val="30"/>
        </w:rPr>
      </w:pPr>
      <w:r>
        <w:rPr>
          <w:rFonts w:ascii="仿宋_GB2312" w:eastAsia="仿宋_GB2312" w:hint="eastAsia"/>
          <w:b/>
          <w:color w:val="000000"/>
          <w:sz w:val="30"/>
          <w:szCs w:val="30"/>
        </w:rPr>
        <w:t>风险管理与内控监督方面</w:t>
      </w:r>
      <w:r>
        <w:rPr>
          <w:rFonts w:ascii="仿宋_GB2312" w:eastAsia="仿宋_GB2312" w:hint="eastAsia"/>
          <w:color w:val="000000"/>
          <w:sz w:val="30"/>
          <w:szCs w:val="30"/>
        </w:rPr>
        <w:t>，一是关注外部环境变化，考虑金融风险的滞后性，要求本行认真思考并做好后疫情时期的信用风险管理，防范个别企业的逃废债问题</w:t>
      </w:r>
      <w:r>
        <w:rPr>
          <w:rFonts w:ascii="仿宋_GB2312" w:eastAsia="仿宋_GB2312" w:hint="eastAsia"/>
          <w:sz w:val="30"/>
          <w:szCs w:val="30"/>
        </w:rPr>
        <w:t>。二是监督反洗钱工作，要求进一步提升包括董监高在内的全行上下对反洗钱的认识，严格落实监管要求，持续强化相关工作，并重视应用金融科技和大数</w:t>
      </w:r>
      <w:r>
        <w:rPr>
          <w:rFonts w:ascii="仿宋_GB2312" w:eastAsia="仿宋_GB2312" w:hint="eastAsia"/>
          <w:sz w:val="30"/>
          <w:szCs w:val="30"/>
        </w:rPr>
        <w:lastRenderedPageBreak/>
        <w:t>据等手段开展反洗钱等内控管理工作。</w:t>
      </w:r>
      <w:r>
        <w:rPr>
          <w:rFonts w:ascii="仿宋_GB2312" w:eastAsia="仿宋_GB2312" w:hint="eastAsia"/>
          <w:color w:val="000000"/>
          <w:sz w:val="30"/>
          <w:szCs w:val="30"/>
        </w:rPr>
        <w:t>三是关注案防情况，建议本行风险、合规、审计部门加强协作，定期召开合作交流会议，总结案件产生原因，通过动态数字化方式进行协同监管。四是关注合规和国际制裁等风险并研究应对策略。五是监督资本市场与上市公司相关业务开展情况，持续关注企业商誉问题和股票质押问题。</w:t>
      </w:r>
    </w:p>
    <w:p w:rsidR="00092652" w:rsidRDefault="0039522B">
      <w:pPr>
        <w:adjustRightInd w:val="0"/>
        <w:snapToGrid w:val="0"/>
        <w:spacing w:line="520" w:lineRule="exact"/>
        <w:ind w:firstLineChars="200" w:firstLine="602"/>
        <w:rPr>
          <w:rFonts w:ascii="仿宋_GB2312" w:eastAsia="仿宋_GB2312"/>
          <w:b/>
          <w:bCs/>
          <w:sz w:val="30"/>
          <w:szCs w:val="30"/>
        </w:rPr>
      </w:pPr>
      <w:r>
        <w:rPr>
          <w:rFonts w:ascii="仿宋_GB2312" w:eastAsia="仿宋_GB2312" w:hint="eastAsia"/>
          <w:b/>
          <w:color w:val="000000"/>
          <w:sz w:val="30"/>
          <w:szCs w:val="30"/>
        </w:rPr>
        <w:t>（三）</w:t>
      </w:r>
      <w:r>
        <w:rPr>
          <w:rFonts w:ascii="仿宋_GB2312" w:eastAsia="仿宋_GB2312" w:hint="eastAsia"/>
          <w:b/>
          <w:bCs/>
          <w:sz w:val="30"/>
          <w:szCs w:val="30"/>
        </w:rPr>
        <w:t>深入开展专题调研，服务全行发展大局</w:t>
      </w:r>
    </w:p>
    <w:p w:rsidR="00092652" w:rsidRDefault="0039522B">
      <w:pPr>
        <w:spacing w:line="520" w:lineRule="exact"/>
        <w:ind w:firstLineChars="200" w:firstLine="600"/>
        <w:rPr>
          <w:rFonts w:ascii="仿宋_GB2312" w:eastAsia="仿宋_GB2312"/>
          <w:b/>
          <w:color w:val="000000"/>
          <w:sz w:val="30"/>
          <w:szCs w:val="30"/>
        </w:rPr>
      </w:pPr>
      <w:r>
        <w:rPr>
          <w:rFonts w:ascii="仿宋_GB2312" w:eastAsia="仿宋_GB2312" w:hint="eastAsia"/>
          <w:color w:val="000000"/>
          <w:sz w:val="30"/>
          <w:szCs w:val="30"/>
        </w:rPr>
        <w:t>2020年，监事会立足于全行转型发展大局，聚焦集团改革、创新和发展的重点领域和关键环节，以专项审计、主题调研等形式组织开展了多项调研考察工作，全面听取情况汇报，积极探讨对策建议，并向董事会、高级管理层提交专项报告，有效发挥防风险、促发展的监督作用。</w:t>
      </w:r>
    </w:p>
    <w:p w:rsidR="00092652" w:rsidRDefault="0039522B">
      <w:pPr>
        <w:spacing w:line="520" w:lineRule="exact"/>
        <w:ind w:firstLineChars="200" w:firstLine="602"/>
        <w:rPr>
          <w:rFonts w:ascii="仿宋_GB2312" w:eastAsia="仿宋_GB2312"/>
          <w:kern w:val="0"/>
          <w:sz w:val="30"/>
          <w:szCs w:val="30"/>
        </w:rPr>
      </w:pPr>
      <w:r>
        <w:rPr>
          <w:rFonts w:ascii="仿宋_GB2312" w:eastAsia="仿宋_GB2312" w:hint="eastAsia"/>
          <w:b/>
          <w:color w:val="000000"/>
          <w:sz w:val="30"/>
          <w:szCs w:val="30"/>
        </w:rPr>
        <w:t>组织开展专项审计调查。</w:t>
      </w:r>
      <w:r>
        <w:rPr>
          <w:rFonts w:ascii="仿宋_GB2312" w:eastAsia="仿宋_GB2312" w:hint="eastAsia"/>
          <w:color w:val="000000"/>
          <w:sz w:val="30"/>
          <w:szCs w:val="30"/>
        </w:rPr>
        <w:t>2020年，监事会组织</w:t>
      </w:r>
      <w:r>
        <w:rPr>
          <w:rFonts w:ascii="仿宋_GB2312" w:eastAsia="仿宋_GB2312" w:cs="_GB2312" w:hint="eastAsia"/>
          <w:color w:val="000000"/>
          <w:kern w:val="0"/>
          <w:sz w:val="30"/>
          <w:szCs w:val="30"/>
        </w:rPr>
        <w:t>实施了风险资本占用情况专项审计调查，全面了解全行资本管理及风险资产使用情况，研究分析本行当前资本与风险加权资产管控、计量管理以及业务转型等方面存在的不足，提出若干后续中长期关注事项，并</w:t>
      </w:r>
      <w:r>
        <w:rPr>
          <w:rFonts w:ascii="仿宋_GB2312" w:eastAsia="仿宋_GB2312" w:hint="eastAsia"/>
          <w:kern w:val="0"/>
          <w:sz w:val="30"/>
          <w:szCs w:val="30"/>
        </w:rPr>
        <w:t>建议增强资本主动管理意识，实行更加严格的资本限额管理措施；完善资本管理传导机制，加大对业务条线的资本约束力度，尽快建立对业务条线的资本监测体系；结合数据治理工作，提升数据质量，加快资本计量高级法建设，完善相关系统功能。2020年7月，监事会组织实施数据治理专项审计调查，全面扫描与审视本行数据治理现状</w:t>
      </w:r>
      <w:r>
        <w:rPr>
          <w:rFonts w:ascii="仿宋_GB2312" w:eastAsia="仿宋_GB2312" w:cs="_GB2312" w:hint="eastAsia"/>
          <w:color w:val="000000"/>
          <w:kern w:val="0"/>
          <w:sz w:val="30"/>
          <w:szCs w:val="30"/>
        </w:rPr>
        <w:t>，重点关注数据治理的战略规划、实施路径、体制机制和管理工具等方面情况，深入查找与剖析当前数据治理工作存在的问题。监事会指出，提升数据治理水平既是满足当前监管要求的现实需要，也是本行实现精细化管理的迫切需要，还是本行未来业务发展和参与市场竞争必须解决的问题，</w:t>
      </w:r>
      <w:r>
        <w:rPr>
          <w:rFonts w:ascii="仿宋_GB2312" w:eastAsia="仿宋_GB2312" w:cs="_GB2312" w:hint="eastAsia"/>
          <w:color w:val="000000"/>
          <w:kern w:val="0"/>
          <w:sz w:val="30"/>
          <w:szCs w:val="30"/>
        </w:rPr>
        <w:lastRenderedPageBreak/>
        <w:t>建议进一步梳理数据治理的整体推进架构，并由高级管理层成员牵头推进；在现有数据治理工作路线图基础上，明确数据治理工作的阶段性目标和进度要求，厘清主体责任，定期跟踪进展；在集团范围内尽快制定明确、统一的数据标准和定义，并强制一以贯之执行；加大原始数据采集、转化、生成等科技设备的投入，优化数据输入与保全的手段和方法，夯实数据治理和金融科技发展基础。</w:t>
      </w:r>
    </w:p>
    <w:p w:rsidR="00092652" w:rsidRDefault="0039522B">
      <w:pPr>
        <w:adjustRightInd w:val="0"/>
        <w:snapToGrid w:val="0"/>
        <w:spacing w:line="520" w:lineRule="exact"/>
        <w:ind w:firstLineChars="200" w:firstLine="602"/>
        <w:rPr>
          <w:rFonts w:ascii="仿宋_GB2312" w:eastAsia="仿宋_GB2312" w:hAnsi="ˎ̥" w:hint="eastAsia"/>
          <w:color w:val="000000"/>
          <w:sz w:val="30"/>
          <w:szCs w:val="30"/>
        </w:rPr>
      </w:pPr>
      <w:r>
        <w:rPr>
          <w:rFonts w:ascii="仿宋_GB2312" w:eastAsia="仿宋_GB2312" w:hint="eastAsia"/>
          <w:b/>
          <w:kern w:val="0"/>
          <w:sz w:val="30"/>
          <w:szCs w:val="30"/>
        </w:rPr>
        <w:t>开展分支机构专题调研。</w:t>
      </w:r>
      <w:r>
        <w:rPr>
          <w:rFonts w:ascii="仿宋_GB2312" w:eastAsia="仿宋_GB2312" w:hint="eastAsia"/>
          <w:kern w:val="0"/>
          <w:sz w:val="30"/>
          <w:szCs w:val="30"/>
        </w:rPr>
        <w:t>2020年4月，部分监事赴嘉兴分行调研交流，了解分行经营以及人才培养等工作情况。2020年8月，监事会赴总行信息科技部数据中心福州总控中心、福州分行智慧网点进行现场调研，实地考察和监督本行信息科技建设和金融科技应用工作开展情况。2020年11月，监事会到南京分行开展贯彻落实“1234”战略及推进经营转型专题调研，在听取分行经营管理情况汇报后，监事们要求分行结合当地经济发展特点，继续推进“轻资产、轻资本”转型发展；以专业服务增强客户粘性，在股权投资、FICC、绿色金融等业务领域打造自身差异化特色；坚持党建和专业两手抓，加强人才队伍建设；持续完善体制机制，探索多层级机构管理经验，为总行出台相关改革意见提供参考。</w:t>
      </w:r>
    </w:p>
    <w:p w:rsidR="00092652" w:rsidRDefault="0039522B">
      <w:pPr>
        <w:adjustRightInd w:val="0"/>
        <w:snapToGrid w:val="0"/>
        <w:spacing w:line="520" w:lineRule="exact"/>
        <w:ind w:firstLineChars="200" w:firstLine="602"/>
        <w:rPr>
          <w:rFonts w:ascii="仿宋_GB2312" w:eastAsia="仿宋_GB2312"/>
          <w:b/>
          <w:color w:val="000000"/>
          <w:sz w:val="30"/>
          <w:szCs w:val="30"/>
        </w:rPr>
      </w:pPr>
      <w:r>
        <w:rPr>
          <w:rFonts w:ascii="仿宋_GB2312" w:eastAsia="仿宋_GB2312" w:hint="eastAsia"/>
          <w:b/>
          <w:bCs/>
          <w:sz w:val="30"/>
          <w:szCs w:val="30"/>
        </w:rPr>
        <w:t>（四）</w:t>
      </w:r>
      <w:r>
        <w:rPr>
          <w:rFonts w:ascii="仿宋_GB2312" w:eastAsia="仿宋_GB2312" w:hint="eastAsia"/>
          <w:b/>
          <w:color w:val="000000"/>
          <w:sz w:val="30"/>
          <w:szCs w:val="30"/>
        </w:rPr>
        <w:t>持续加强内部监督，有效开展履职监督</w:t>
      </w:r>
    </w:p>
    <w:p w:rsidR="00092652" w:rsidRDefault="0039522B">
      <w:pPr>
        <w:adjustRightInd w:val="0"/>
        <w:snapToGrid w:val="0"/>
        <w:spacing w:line="5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2020年，监事会通过多种方式，对董事会、高级管理层遵守法律法规和本行相关规章制度、执行股东大会决议、行使职权以及履行义务等情况进行有效监督。</w:t>
      </w:r>
    </w:p>
    <w:p w:rsidR="00092652" w:rsidRDefault="0039522B">
      <w:pPr>
        <w:adjustRightInd w:val="0"/>
        <w:snapToGrid w:val="0"/>
        <w:spacing w:line="520" w:lineRule="exact"/>
        <w:ind w:firstLineChars="200" w:firstLine="602"/>
        <w:rPr>
          <w:rFonts w:ascii="仿宋_GB2312" w:eastAsia="仿宋_GB2312"/>
          <w:color w:val="000000"/>
          <w:sz w:val="30"/>
          <w:szCs w:val="30"/>
        </w:rPr>
      </w:pPr>
      <w:r>
        <w:rPr>
          <w:rFonts w:ascii="仿宋_GB2312" w:eastAsia="仿宋_GB2312" w:hint="eastAsia"/>
          <w:b/>
          <w:color w:val="000000"/>
          <w:sz w:val="30"/>
          <w:szCs w:val="30"/>
        </w:rPr>
        <w:t>一是通过出席、列席各类会议进行监督。</w:t>
      </w:r>
      <w:r>
        <w:rPr>
          <w:rFonts w:ascii="仿宋_GB2312" w:eastAsia="仿宋_GB2312" w:hint="eastAsia"/>
          <w:color w:val="000000"/>
          <w:sz w:val="30"/>
          <w:szCs w:val="30"/>
        </w:rPr>
        <w:t>监事会成员依法出席2019年年度股东大会，认真审阅会议议案，审查会议</w:t>
      </w:r>
      <w:r>
        <w:rPr>
          <w:rFonts w:ascii="仿宋_GB2312" w:eastAsia="仿宋_GB2312" w:hAnsi="ˎ̥" w:hint="eastAsia"/>
          <w:color w:val="000000"/>
          <w:sz w:val="30"/>
          <w:szCs w:val="30"/>
        </w:rPr>
        <w:t>召集、召开程序的合法合规性，并派出监事作为监票人，对会议现场各</w:t>
      </w:r>
      <w:r>
        <w:rPr>
          <w:rFonts w:ascii="仿宋_GB2312" w:eastAsia="仿宋_GB2312" w:hAnsi="ˎ̥" w:hint="eastAsia"/>
          <w:color w:val="000000"/>
          <w:sz w:val="30"/>
          <w:szCs w:val="30"/>
        </w:rPr>
        <w:lastRenderedPageBreak/>
        <w:t>项议案投票情况进行监督，保障股东大会计票结果公开、公平、公正。监事会成员列席董事会及其相关委员会会议，关注重大决策事项的审议过程，会上就新一轮五年规划以及上市公司业务风险等问题提出监督意见，并对董事会会议召集、召开程序、各项议案是否符合全体股东和本行的利益以及决议执行情况进行监督。职工代表监事通过参加党委会、列席行长办公会议及重要经营管理会议等方式，及时掌握本行经营管理动态，了解并监督相关战略的执行情况。</w:t>
      </w:r>
    </w:p>
    <w:p w:rsidR="00092652" w:rsidRDefault="0039522B">
      <w:pPr>
        <w:adjustRightInd w:val="0"/>
        <w:snapToGrid w:val="0"/>
        <w:spacing w:line="520" w:lineRule="exact"/>
        <w:ind w:firstLineChars="200" w:firstLine="602"/>
        <w:rPr>
          <w:rFonts w:ascii="仿宋_GB2312" w:eastAsia="仿宋_GB2312" w:hAnsi="ˎ̥" w:hint="eastAsia"/>
          <w:color w:val="000000"/>
          <w:sz w:val="30"/>
          <w:szCs w:val="30"/>
        </w:rPr>
      </w:pPr>
      <w:r>
        <w:rPr>
          <w:rFonts w:ascii="仿宋_GB2312" w:eastAsia="仿宋_GB2312" w:hAnsi="ˎ̥" w:hint="eastAsia"/>
          <w:b/>
          <w:color w:val="000000"/>
          <w:sz w:val="30"/>
          <w:szCs w:val="30"/>
        </w:rPr>
        <w:t>二是推动董事会、高级管理层有效落实监管要求。</w:t>
      </w:r>
      <w:r>
        <w:rPr>
          <w:rFonts w:ascii="仿宋_GB2312" w:eastAsia="仿宋_GB2312" w:hAnsi="ˎ̥" w:hint="eastAsia"/>
          <w:color w:val="000000"/>
          <w:sz w:val="30"/>
          <w:szCs w:val="30"/>
        </w:rPr>
        <w:t>监事会对照近年有关法律法规、监管规定对商业银行董事会、高级管理层的有关履职要求，持续推动董事会、高级管理层积极履行相应职责，审议、听取相关事项的议案和报告。</w:t>
      </w:r>
    </w:p>
    <w:p w:rsidR="00092652" w:rsidRDefault="0039522B">
      <w:pPr>
        <w:adjustRightInd w:val="0"/>
        <w:snapToGrid w:val="0"/>
        <w:spacing w:line="520" w:lineRule="exact"/>
        <w:ind w:firstLineChars="200" w:firstLine="602"/>
        <w:rPr>
          <w:rFonts w:ascii="仿宋_GB2312" w:eastAsia="仿宋_GB2312"/>
          <w:kern w:val="0"/>
          <w:sz w:val="30"/>
          <w:szCs w:val="30"/>
        </w:rPr>
      </w:pPr>
      <w:r>
        <w:rPr>
          <w:rFonts w:ascii="仿宋_GB2312" w:eastAsia="仿宋_GB2312" w:hAnsi="ˎ̥" w:hint="eastAsia"/>
          <w:b/>
          <w:color w:val="000000"/>
          <w:sz w:val="30"/>
          <w:szCs w:val="30"/>
        </w:rPr>
        <w:t>三是开展董事、高管履职评价。</w:t>
      </w:r>
      <w:r>
        <w:rPr>
          <w:rFonts w:ascii="仿宋_GB2312" w:eastAsia="仿宋_GB2312" w:hAnsi="ˎ̥" w:hint="eastAsia"/>
          <w:color w:val="000000"/>
          <w:sz w:val="30"/>
          <w:szCs w:val="30"/>
        </w:rPr>
        <w:t>监事会成员通过列席历次董事会会议，对董事参会、发言等情况进行现场评价；监事会要求独立董事提交年度述职报告，对每位董事的履职情况分别提出评价意见；开展董事、高级管理人员年度履职评价工作，综合日常监督档案、履职问卷调查情况及战略、财务、风险管理、内部控制等方面监督信息，形成监事会对董事、高级管理人员年度履职情况的评价报告，并向股东大会、董事会、高级管理层进行通报。</w:t>
      </w:r>
    </w:p>
    <w:p w:rsidR="00092652" w:rsidRDefault="0039522B">
      <w:pPr>
        <w:adjustRightInd w:val="0"/>
        <w:snapToGrid w:val="0"/>
        <w:spacing w:line="520" w:lineRule="exact"/>
        <w:ind w:firstLineChars="200" w:firstLine="602"/>
        <w:rPr>
          <w:rFonts w:ascii="仿宋_GB2312" w:eastAsia="仿宋_GB2312"/>
          <w:b/>
          <w:bCs/>
          <w:sz w:val="30"/>
          <w:szCs w:val="30"/>
        </w:rPr>
      </w:pPr>
      <w:r>
        <w:rPr>
          <w:rFonts w:ascii="仿宋_GB2312" w:eastAsia="仿宋_GB2312" w:hint="eastAsia"/>
          <w:b/>
          <w:bCs/>
          <w:sz w:val="30"/>
          <w:szCs w:val="30"/>
        </w:rPr>
        <w:t>（五）加强监事会自身建设，提升监督水平</w:t>
      </w:r>
    </w:p>
    <w:p w:rsidR="00092652" w:rsidRDefault="0039522B">
      <w:pPr>
        <w:adjustRightInd w:val="0"/>
        <w:snapToGrid w:val="0"/>
        <w:spacing w:line="520" w:lineRule="exact"/>
        <w:ind w:firstLineChars="200" w:firstLine="600"/>
        <w:rPr>
          <w:rFonts w:ascii="仿宋_GB2312" w:eastAsia="仿宋_GB2312" w:hAnsi="ˎ̥" w:hint="eastAsia"/>
          <w:color w:val="000000"/>
          <w:sz w:val="30"/>
          <w:szCs w:val="30"/>
        </w:rPr>
      </w:pPr>
      <w:r>
        <w:rPr>
          <w:rFonts w:ascii="仿宋_GB2312" w:eastAsia="仿宋_GB2312" w:hAnsi="ˎ̥" w:hint="eastAsia"/>
          <w:color w:val="000000"/>
          <w:sz w:val="30"/>
          <w:szCs w:val="30"/>
        </w:rPr>
        <w:t>2020年，监事会通过监事履职评价、组织开展学习与培训等方式，持续加强监事会自身建设，不断提升监督水平。</w:t>
      </w:r>
    </w:p>
    <w:p w:rsidR="00092652" w:rsidRDefault="0039522B">
      <w:pPr>
        <w:spacing w:line="520" w:lineRule="exact"/>
        <w:ind w:firstLineChars="200" w:firstLine="602"/>
        <w:rPr>
          <w:rFonts w:ascii="仿宋_GB2312" w:eastAsia="仿宋_GB2312"/>
          <w:color w:val="000000"/>
          <w:sz w:val="30"/>
          <w:szCs w:val="30"/>
        </w:rPr>
      </w:pPr>
      <w:r>
        <w:rPr>
          <w:rFonts w:ascii="仿宋_GB2312" w:eastAsia="仿宋_GB2312" w:hint="eastAsia"/>
          <w:b/>
          <w:color w:val="000000"/>
          <w:sz w:val="30"/>
          <w:szCs w:val="30"/>
        </w:rPr>
        <w:t>持续加强监事履职评价工作。</w:t>
      </w:r>
      <w:r>
        <w:rPr>
          <w:rFonts w:ascii="仿宋_GB2312" w:eastAsia="仿宋_GB2312" w:hint="eastAsia"/>
          <w:color w:val="000000"/>
          <w:sz w:val="30"/>
          <w:szCs w:val="30"/>
        </w:rPr>
        <w:t>在评价内容上，综合考虑疫情影响等外部因素，着重考察监事的诚信勤勉义务履行情况，考核监事亲自参加会议及调研活动出席率、监事对本行经营管理及监事会工作提出合理意见或建议情况等，促进监事勤勉履职。在评</w:t>
      </w:r>
      <w:r>
        <w:rPr>
          <w:rFonts w:ascii="仿宋_GB2312" w:eastAsia="仿宋_GB2312" w:hint="eastAsia"/>
          <w:color w:val="000000"/>
          <w:sz w:val="30"/>
          <w:szCs w:val="30"/>
        </w:rPr>
        <w:lastRenderedPageBreak/>
        <w:t>价程序上，建立全面的监事日常履职档案，在年度结束后由各监事对年度履职情况进行自我评价和相互评价，在此基础上依据相关履职评价制度形成对监事的年度考评意见，经监事会审议后向股东大会通报。</w:t>
      </w:r>
    </w:p>
    <w:p w:rsidR="00092652" w:rsidRDefault="0039522B">
      <w:pPr>
        <w:adjustRightInd w:val="0"/>
        <w:snapToGrid w:val="0"/>
        <w:spacing w:line="520" w:lineRule="exact"/>
        <w:ind w:firstLineChars="200" w:firstLine="602"/>
        <w:rPr>
          <w:rFonts w:ascii="仿宋_GB2312" w:eastAsia="仿宋_GB2312"/>
          <w:color w:val="000000"/>
          <w:sz w:val="30"/>
          <w:szCs w:val="30"/>
        </w:rPr>
      </w:pPr>
      <w:r>
        <w:rPr>
          <w:rFonts w:ascii="仿宋_GB2312" w:eastAsia="仿宋_GB2312" w:hint="eastAsia"/>
          <w:b/>
          <w:color w:val="000000"/>
          <w:sz w:val="30"/>
          <w:szCs w:val="30"/>
        </w:rPr>
        <w:t>组织开展学习与培训。</w:t>
      </w:r>
      <w:r>
        <w:rPr>
          <w:rFonts w:ascii="仿宋_GB2312" w:eastAsia="仿宋_GB2312" w:hint="eastAsia"/>
          <w:color w:val="000000"/>
          <w:sz w:val="30"/>
          <w:szCs w:val="30"/>
        </w:rPr>
        <w:t>为增强监事会成员履职能力，提高监督水平，2020年监事会结合客观情况，以线上方式为主，持续组织开展培训和学习：及时向监事发送相关财经资讯和监管文件等信息，组织监事学习最新银行经营管理动态和监管法规</w:t>
      </w:r>
      <w:r>
        <w:rPr>
          <w:rFonts w:ascii="仿宋_GB2312" w:eastAsia="仿宋_GB2312" w:cs="_GB2312" w:hint="eastAsia"/>
          <w:color w:val="000000"/>
          <w:kern w:val="0"/>
          <w:sz w:val="30"/>
          <w:szCs w:val="30"/>
        </w:rPr>
        <w:t>；监事会主席参加上市公司协会监事会主席系列培训；部分监事还参加了福建证监局新《证券法》培训。</w:t>
      </w:r>
    </w:p>
    <w:p w:rsidR="00092652" w:rsidRDefault="0039522B">
      <w:pPr>
        <w:pStyle w:val="af5"/>
        <w:adjustRightInd w:val="0"/>
        <w:snapToGrid w:val="0"/>
        <w:spacing w:before="0" w:beforeAutospacing="0" w:after="0" w:afterAutospacing="0" w:line="520" w:lineRule="exact"/>
        <w:ind w:firstLineChars="200" w:firstLine="602"/>
        <w:rPr>
          <w:rFonts w:ascii="仿宋_GB2312" w:eastAsia="仿宋_GB2312"/>
          <w:b/>
          <w:bCs/>
          <w:sz w:val="30"/>
          <w:szCs w:val="30"/>
        </w:rPr>
      </w:pPr>
      <w:r>
        <w:rPr>
          <w:rFonts w:ascii="仿宋_GB2312" w:eastAsia="仿宋_GB2312" w:hint="eastAsia"/>
          <w:b/>
          <w:bCs/>
          <w:sz w:val="30"/>
          <w:szCs w:val="30"/>
        </w:rPr>
        <w:t>二、监事会就有关事项发表的独立意见</w:t>
      </w:r>
    </w:p>
    <w:p w:rsidR="00092652" w:rsidRDefault="0039522B">
      <w:pPr>
        <w:adjustRightInd w:val="0"/>
        <w:snapToGrid w:val="0"/>
        <w:spacing w:line="52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（一）依法经营情况</w:t>
      </w:r>
    </w:p>
    <w:p w:rsidR="00092652" w:rsidRDefault="0039522B">
      <w:pPr>
        <w:adjustRightInd w:val="0"/>
        <w:snapToGrid w:val="0"/>
        <w:spacing w:line="52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报告期内，</w:t>
      </w:r>
      <w:r>
        <w:rPr>
          <w:rFonts w:ascii="仿宋_GB2312" w:eastAsia="仿宋_GB2312" w:hint="eastAsia"/>
          <w:color w:val="000000"/>
          <w:sz w:val="30"/>
          <w:szCs w:val="30"/>
        </w:rPr>
        <w:t>董事会和高级管理层严格依照法律法规、公司章程以及相关监管文件的规定，全面切实履行有关公司治理、经营管理、资本管理、风险管理、并表管理、流动性管理、压力测试、案件防控、数据治理、消费者权益保护、反洗钱等职责，</w:t>
      </w:r>
      <w:r>
        <w:rPr>
          <w:rFonts w:ascii="仿宋_GB2312" w:eastAsia="仿宋_GB2312" w:hAnsi="宋体" w:hint="eastAsia"/>
          <w:color w:val="000000"/>
          <w:kern w:val="0"/>
          <w:sz w:val="30"/>
          <w:szCs w:val="30"/>
        </w:rPr>
        <w:t>公司经营稳健、管理规范，经营业绩客观真实，经营决策程序合法。董事和高级管理层成员认真、勤勉履职，未发现董事和高级管理层成员履行职责时有违反法律、法规、公司章程以及其他损害股东和公司利益的情形。</w:t>
      </w:r>
    </w:p>
    <w:p w:rsidR="00092652" w:rsidRDefault="0039522B">
      <w:pPr>
        <w:adjustRightInd w:val="0"/>
        <w:snapToGrid w:val="0"/>
        <w:spacing w:line="52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（二）财务报告检查情况</w:t>
      </w:r>
    </w:p>
    <w:p w:rsidR="00092652" w:rsidRDefault="0039522B">
      <w:pPr>
        <w:adjustRightInd w:val="0"/>
        <w:snapToGrid w:val="0"/>
        <w:spacing w:line="52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报告期内，公司年度财务报告真实、公允、完整地反映了公司的财务状况和经营成果。年度财务报告经负责本行</w:t>
      </w:r>
      <w:r>
        <w:rPr>
          <w:rFonts w:ascii="仿宋_GB2312" w:eastAsia="仿宋_GB2312" w:hAnsi="宋体" w:hint="eastAsia"/>
          <w:color w:val="000000"/>
          <w:sz w:val="30"/>
          <w:szCs w:val="30"/>
        </w:rPr>
        <w:t>年度审计的会计师事务所</w:t>
      </w:r>
      <w:r>
        <w:rPr>
          <w:rFonts w:ascii="仿宋_GB2312" w:eastAsia="仿宋_GB2312" w:hAnsi="宋体" w:hint="eastAsia"/>
          <w:color w:val="000000"/>
          <w:kern w:val="0"/>
          <w:sz w:val="30"/>
          <w:szCs w:val="30"/>
        </w:rPr>
        <w:t>审计并出具了标准无保留意见的审计报告。</w:t>
      </w:r>
    </w:p>
    <w:p w:rsidR="00092652" w:rsidRDefault="0039522B">
      <w:pPr>
        <w:adjustRightInd w:val="0"/>
        <w:snapToGrid w:val="0"/>
        <w:spacing w:line="52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（三）公司收购、出售资产情况</w:t>
      </w:r>
    </w:p>
    <w:p w:rsidR="00092652" w:rsidRDefault="0039522B">
      <w:pPr>
        <w:adjustRightInd w:val="0"/>
        <w:snapToGrid w:val="0"/>
        <w:spacing w:line="52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报告期内，未发现公司收购、出售资产中有内幕交易、损害</w:t>
      </w:r>
      <w:r>
        <w:rPr>
          <w:rFonts w:ascii="仿宋_GB2312" w:eastAsia="仿宋_GB2312" w:hAnsi="宋体" w:hint="eastAsia"/>
          <w:color w:val="000000"/>
          <w:kern w:val="0"/>
          <w:sz w:val="30"/>
          <w:szCs w:val="30"/>
        </w:rPr>
        <w:lastRenderedPageBreak/>
        <w:t>股东权益或造成公司资产流失的行为。</w:t>
      </w:r>
    </w:p>
    <w:p w:rsidR="00092652" w:rsidRDefault="0039522B">
      <w:pPr>
        <w:adjustRightInd w:val="0"/>
        <w:snapToGrid w:val="0"/>
        <w:spacing w:line="52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（四）年度利润分配情况</w:t>
      </w:r>
    </w:p>
    <w:p w:rsidR="00092652" w:rsidRDefault="0039522B">
      <w:pPr>
        <w:adjustRightInd w:val="0"/>
        <w:snapToGrid w:val="0"/>
        <w:spacing w:line="52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 xml:space="preserve">报告期内，公司制定并经2019年年度股东大会审议通过的《2019年度利润分配预案》符合有关规章、规定，公司年度实际利润分配方案与《2019年度利润分配预案》内容一致。 </w:t>
      </w:r>
    </w:p>
    <w:p w:rsidR="00092652" w:rsidRDefault="0039522B">
      <w:pPr>
        <w:adjustRightInd w:val="0"/>
        <w:snapToGrid w:val="0"/>
        <w:spacing w:line="52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（五）募集资金使用情况</w:t>
      </w:r>
    </w:p>
    <w:p w:rsidR="00092652" w:rsidRDefault="0039522B">
      <w:pPr>
        <w:pStyle w:val="af5"/>
        <w:adjustRightInd w:val="0"/>
        <w:snapToGrid w:val="0"/>
        <w:spacing w:before="0" w:beforeAutospacing="0" w:after="0" w:afterAutospacing="0" w:line="5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报告期内，公司募集资金的使用与募集说明书承诺的用途一致，募集资金的存放与使用情况符合中国证监会和上海证券交易所关于募集资金管理的相关规定。</w:t>
      </w:r>
    </w:p>
    <w:p w:rsidR="00092652" w:rsidRDefault="0039522B">
      <w:pPr>
        <w:adjustRightInd w:val="0"/>
        <w:snapToGrid w:val="0"/>
        <w:spacing w:line="52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（六）关联交易情况</w:t>
      </w:r>
    </w:p>
    <w:p w:rsidR="00092652" w:rsidRDefault="0039522B">
      <w:pPr>
        <w:adjustRightInd w:val="0"/>
        <w:snapToGrid w:val="0"/>
        <w:spacing w:line="52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报告期内，公司关联交易管理严格遵循有关规章、规定，交易过程公平、公正，交易结果公允，未发现有违背公允性原则或损害股东及公司利益的情形。</w:t>
      </w:r>
    </w:p>
    <w:p w:rsidR="00092652" w:rsidRDefault="0039522B">
      <w:pPr>
        <w:adjustRightInd w:val="0"/>
        <w:snapToGrid w:val="0"/>
        <w:spacing w:line="52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（七）内部控制制度情况</w:t>
      </w:r>
    </w:p>
    <w:p w:rsidR="00092652" w:rsidRDefault="0039522B">
      <w:pPr>
        <w:adjustRightInd w:val="0"/>
        <w:snapToGrid w:val="0"/>
        <w:spacing w:line="52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 xml:space="preserve">报告期内，监事会对《2019年度内部控制评价报告》进行了审议，监事会对报告无异议。 </w:t>
      </w:r>
    </w:p>
    <w:p w:rsidR="00092652" w:rsidRDefault="0039522B">
      <w:pPr>
        <w:adjustRightInd w:val="0"/>
        <w:snapToGrid w:val="0"/>
        <w:spacing w:line="52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（八）股东大会决议执行情况</w:t>
      </w:r>
    </w:p>
    <w:p w:rsidR="00092652" w:rsidRDefault="0039522B">
      <w:pPr>
        <w:adjustRightInd w:val="0"/>
        <w:snapToGrid w:val="0"/>
        <w:spacing w:line="520" w:lineRule="exact"/>
        <w:ind w:firstLineChars="200" w:firstLine="600"/>
        <w:rPr>
          <w:rFonts w:ascii="仿宋_GB2312" w:eastAsia="仿宋_GB2312" w:hAnsi="宋体"/>
          <w:kern w:val="0"/>
          <w:sz w:val="30"/>
          <w:szCs w:val="30"/>
        </w:rPr>
      </w:pPr>
      <w:r>
        <w:rPr>
          <w:rFonts w:ascii="仿宋_GB2312" w:eastAsia="仿宋_GB2312" w:hint="eastAsia"/>
          <w:kern w:val="0"/>
          <w:sz w:val="30"/>
          <w:szCs w:val="30"/>
        </w:rPr>
        <w:t>报告期内</w:t>
      </w:r>
      <w:r>
        <w:rPr>
          <w:rFonts w:ascii="仿宋_GB2312" w:eastAsia="仿宋_GB2312" w:hAnsi="宋体" w:hint="eastAsia"/>
          <w:kern w:val="0"/>
          <w:sz w:val="30"/>
          <w:szCs w:val="30"/>
        </w:rPr>
        <w:t>，监事会成员依法出席股东大会，监事会对提交股东大会审议的各项议案没有异议。监事会对股东大会决议的执行情况进行了监督，认为董事会认真执行了股东大会的有关决议。</w:t>
      </w:r>
    </w:p>
    <w:p w:rsidR="00092652" w:rsidRDefault="0039522B">
      <w:pPr>
        <w:adjustRightInd w:val="0"/>
        <w:snapToGrid w:val="0"/>
        <w:spacing w:line="520" w:lineRule="exact"/>
        <w:ind w:firstLineChars="200" w:firstLine="600"/>
        <w:rPr>
          <w:rFonts w:ascii="仿宋_GB2312" w:eastAsia="仿宋_GB2312" w:hAnsi="宋体"/>
          <w:kern w:val="0"/>
          <w:sz w:val="30"/>
          <w:szCs w:val="30"/>
        </w:rPr>
      </w:pPr>
      <w:r>
        <w:rPr>
          <w:rFonts w:ascii="仿宋_GB2312" w:eastAsia="仿宋_GB2312" w:hAnsi="宋体" w:hint="eastAsia"/>
          <w:kern w:val="0"/>
          <w:sz w:val="30"/>
          <w:szCs w:val="30"/>
        </w:rPr>
        <w:t>专此报告，请予审议。</w:t>
      </w:r>
    </w:p>
    <w:p w:rsidR="00092652" w:rsidRDefault="00092652">
      <w:pPr>
        <w:widowControl/>
        <w:jc w:val="center"/>
        <w:rPr>
          <w:rFonts w:ascii="黑体" w:eastAsia="黑体"/>
          <w:sz w:val="32"/>
          <w:szCs w:val="32"/>
        </w:rPr>
      </w:pPr>
    </w:p>
    <w:p w:rsidR="00092652" w:rsidRDefault="0039522B">
      <w:pPr>
        <w:tabs>
          <w:tab w:val="left" w:pos="416"/>
          <w:tab w:val="left" w:pos="1086"/>
          <w:tab w:val="center" w:pos="4156"/>
        </w:tabs>
        <w:spacing w:line="500" w:lineRule="exact"/>
        <w:ind w:firstLineChars="200" w:firstLine="420"/>
      </w:pPr>
      <w:r>
        <w:br w:type="page"/>
      </w:r>
    </w:p>
    <w:p w:rsidR="00092652" w:rsidRDefault="00C4392E">
      <w:pPr>
        <w:widowControl/>
        <w:spacing w:line="560" w:lineRule="exact"/>
        <w:jc w:val="center"/>
        <w:rPr>
          <w:rFonts w:ascii="黑体" w:eastAsia="黑体"/>
          <w:sz w:val="32"/>
          <w:szCs w:val="32"/>
        </w:rPr>
      </w:pPr>
      <w:r>
        <w:rPr>
          <w:rFonts w:ascii="黑体" w:eastAsia="黑体"/>
          <w:noProof/>
          <w:sz w:val="32"/>
          <w:szCs w:val="32"/>
        </w:rPr>
        <w:lastRenderedPageBreak/>
        <mc:AlternateContent>
          <mc:Choice Requires="wps">
            <w:drawing>
              <wp:anchor distT="0" distB="0" distL="114300" distR="114300" simplePos="0" relativeHeight="251662336" behindDoc="0" locked="0" layoutInCell="1" allowOverlap="1" wp14:anchorId="55C84A8F" wp14:editId="7FE1400A">
                <wp:simplePos x="0" y="0"/>
                <wp:positionH relativeFrom="column">
                  <wp:posOffset>-6350</wp:posOffset>
                </wp:positionH>
                <wp:positionV relativeFrom="paragraph">
                  <wp:posOffset>9525</wp:posOffset>
                </wp:positionV>
                <wp:extent cx="1426210" cy="594360"/>
                <wp:effectExtent l="0" t="0" r="3175" b="0"/>
                <wp:wrapSquare wrapText="bothSides"/>
                <wp:docPr id="22" name="文本框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621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15BAA" w:rsidRDefault="00115BAA">
                            <w:pPr>
                              <w:spacing w:line="400" w:lineRule="exact"/>
                              <w:jc w:val="center"/>
                              <w:rPr>
                                <w:rFonts w:ascii="宋体"/>
                                <w:color w:val="000000"/>
                                <w:szCs w:val="21"/>
                              </w:rPr>
                            </w:pPr>
                            <w:r>
                              <w:rPr>
                                <w:rFonts w:ascii="宋体" w:hint="eastAsia"/>
                                <w:color w:val="000000"/>
                                <w:szCs w:val="21"/>
                              </w:rPr>
                              <w:t>2020年年度股东大会</w:t>
                            </w:r>
                          </w:p>
                          <w:p w:rsidR="00115BAA" w:rsidRDefault="00115BAA">
                            <w:pPr>
                              <w:spacing w:line="400" w:lineRule="exact"/>
                              <w:jc w:val="center"/>
                              <w:rPr>
                                <w:rFonts w:ascii="宋体"/>
                                <w:color w:val="000000"/>
                                <w:szCs w:val="21"/>
                              </w:rPr>
                            </w:pPr>
                            <w:r>
                              <w:rPr>
                                <w:rFonts w:ascii="宋体" w:hint="eastAsia"/>
                                <w:color w:val="000000"/>
                                <w:szCs w:val="21"/>
                              </w:rPr>
                              <w:t>文件三　审议议案</w:t>
                            </w:r>
                          </w:p>
                          <w:p w:rsidR="00115BAA" w:rsidRDefault="00115BAA">
                            <w:pPr>
                              <w:rPr>
                                <w:szCs w:val="21"/>
                              </w:rPr>
                            </w:pPr>
                          </w:p>
                        </w:txbxContent>
                      </wps:txbx>
                      <wps:bodyPr wrap="none"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_x0000_s1029" type="#_x0000_t202" style="position:absolute;left:0;text-align:left;margin-left:-.5pt;margin-top:.75pt;width:112.3pt;height:46.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">
                <v:path arrowok="t"/>
                <v:textbox>
                  <w:txbxContent>
                    <w:p w:rsidR="00115BAA" w:rsidRDefault="00115BAA">
                      <w:pPr>
                        <w:spacing w:line="400" w:lineRule="exact"/>
                        <w:jc w:val="center"/>
                        <w:rPr>
                          <w:rFonts w:ascii="宋体"/>
                          <w:color w:val="000000"/>
                          <w:szCs w:val="21"/>
                        </w:rPr>
                      </w:pPr>
                      <w:r>
                        <w:rPr>
                          <w:rFonts w:ascii="宋体" w:hint="eastAsia"/>
                          <w:color w:val="000000"/>
                          <w:szCs w:val="21"/>
                        </w:rPr>
                        <w:t>2020年年度股东大会</w:t>
                      </w:r>
                    </w:p>
                    <w:p w:rsidR="00115BAA" w:rsidRDefault="00115BAA">
                      <w:pPr>
                        <w:spacing w:line="400" w:lineRule="exact"/>
                        <w:jc w:val="center"/>
                        <w:rPr>
                          <w:rFonts w:ascii="宋体"/>
                          <w:color w:val="000000"/>
                          <w:szCs w:val="21"/>
                        </w:rPr>
                      </w:pPr>
                      <w:r>
                        <w:rPr>
                          <w:rFonts w:ascii="宋体" w:hint="eastAsia"/>
                          <w:color w:val="000000"/>
                          <w:szCs w:val="21"/>
                        </w:rPr>
                        <w:t>文件三　审议议案</w:t>
                      </w:r>
                    </w:p>
                    <w:p w:rsidR="00115BAA" w:rsidRDefault="00115BAA">
                      <w:pPr>
                        <w:rPr>
                          <w:szCs w:val="21"/>
                        </w:rPr>
                      </w:pPr>
                    </w:p>
                  </w:txbxContent>
                </v:textbox>
                <w10:wrap type="square"/>
              </v:shape>
            </w:pict>
          </mc:Fallback>
        </mc:AlternateContent>
      </w:r>
    </w:p>
    <w:p w:rsidR="00092652" w:rsidRDefault="00092652">
      <w:pPr>
        <w:widowControl/>
        <w:spacing w:line="560" w:lineRule="exact"/>
        <w:jc w:val="center"/>
        <w:rPr>
          <w:rFonts w:ascii="黑体" w:eastAsia="黑体"/>
          <w:sz w:val="32"/>
          <w:szCs w:val="32"/>
        </w:rPr>
      </w:pPr>
    </w:p>
    <w:p w:rsidR="00092652" w:rsidRDefault="0039522B">
      <w:pPr>
        <w:widowControl/>
        <w:spacing w:line="520" w:lineRule="exact"/>
        <w:jc w:val="center"/>
        <w:rPr>
          <w:rFonts w:ascii="黑体" w:eastAsia="黑体"/>
          <w:sz w:val="32"/>
          <w:szCs w:val="32"/>
        </w:rPr>
      </w:pPr>
      <w:r>
        <w:rPr>
          <w:rFonts w:ascii="黑体" w:eastAsia="黑体" w:hint="eastAsia"/>
          <w:sz w:val="32"/>
          <w:szCs w:val="32"/>
        </w:rPr>
        <w:t>兴业银行股份有限公司</w:t>
      </w:r>
    </w:p>
    <w:p w:rsidR="00092652" w:rsidRDefault="0039522B">
      <w:pPr>
        <w:pStyle w:val="1"/>
        <w:spacing w:before="0" w:after="0" w:line="520" w:lineRule="exact"/>
        <w:rPr>
          <w:szCs w:val="32"/>
        </w:rPr>
      </w:pPr>
      <w:bookmarkStart w:id="5" w:name="_Toc72437649"/>
      <w:r>
        <w:rPr>
          <w:rFonts w:hint="eastAsia"/>
          <w:szCs w:val="32"/>
        </w:rPr>
        <w:t>2020年年度报告及摘要</w:t>
      </w:r>
      <w:bookmarkEnd w:id="5"/>
    </w:p>
    <w:p w:rsidR="00092652" w:rsidRDefault="0039522B">
      <w:pPr>
        <w:overflowPunct w:val="0"/>
        <w:snapToGrid w:val="0"/>
        <w:spacing w:line="520" w:lineRule="exact"/>
        <w:jc w:val="center"/>
        <w:rPr>
          <w:rFonts w:ascii="仿宋_GB2312" w:eastAsia="仿宋_GB2312"/>
          <w:sz w:val="30"/>
          <w:szCs w:val="28"/>
        </w:rPr>
      </w:pPr>
      <w:r>
        <w:rPr>
          <w:rFonts w:ascii="仿宋_GB2312" w:eastAsia="仿宋_GB2312" w:hint="eastAsia"/>
          <w:sz w:val="30"/>
          <w:szCs w:val="28"/>
        </w:rPr>
        <w:t>董事、董事会秘书：陈信健</w:t>
      </w:r>
    </w:p>
    <w:p w:rsidR="00092652" w:rsidRDefault="00092652">
      <w:pPr>
        <w:overflowPunct w:val="0"/>
        <w:snapToGrid w:val="0"/>
        <w:spacing w:line="520" w:lineRule="exact"/>
        <w:jc w:val="center"/>
        <w:rPr>
          <w:rFonts w:ascii="仿宋_GB2312" w:eastAsia="仿宋_GB2312"/>
          <w:sz w:val="30"/>
          <w:szCs w:val="28"/>
        </w:rPr>
      </w:pPr>
    </w:p>
    <w:p w:rsidR="00092652" w:rsidRDefault="0039522B">
      <w:pPr>
        <w:overflowPunct w:val="0"/>
        <w:snapToGrid w:val="0"/>
        <w:spacing w:line="500" w:lineRule="exact"/>
        <w:rPr>
          <w:rFonts w:ascii="仿宋_GB2312" w:eastAsia="仿宋_GB2312"/>
          <w:sz w:val="30"/>
          <w:szCs w:val="28"/>
        </w:rPr>
      </w:pPr>
      <w:r>
        <w:rPr>
          <w:rFonts w:ascii="仿宋_GB2312" w:eastAsia="仿宋_GB2312" w:hint="eastAsia"/>
          <w:sz w:val="30"/>
          <w:szCs w:val="28"/>
        </w:rPr>
        <w:t>各位股东：</w:t>
      </w:r>
    </w:p>
    <w:p w:rsidR="00092652" w:rsidRDefault="0039522B">
      <w:pPr>
        <w:spacing w:line="520" w:lineRule="exact"/>
        <w:ind w:firstLineChars="200" w:firstLine="600"/>
        <w:rPr>
          <w:rFonts w:ascii="仿宋_GB2312" w:eastAsia="仿宋_GB2312" w:hAnsi="仿宋" w:cs="Courier New"/>
          <w:sz w:val="30"/>
          <w:szCs w:val="30"/>
        </w:rPr>
      </w:pPr>
      <w:r>
        <w:rPr>
          <w:rFonts w:ascii="仿宋_GB2312" w:eastAsia="仿宋_GB2312" w:hAnsi="仿宋" w:cs="Courier New" w:hint="eastAsia"/>
          <w:sz w:val="30"/>
          <w:szCs w:val="30"/>
        </w:rPr>
        <w:t>根据上海证券交易所《关于做好主板上市公司2020年年度报告披露工作的通知》，以及中国银保监会、中国证监会、上海证券交易所有关年报编制规范，本行已编制并披露2020年年度报告及摘要，其中年度财务报告已经毕马威华振会计师事务所（特殊普通合伙）根据国内审计准则审计，并出具标准无保留意见的审计报告。</w:t>
      </w:r>
    </w:p>
    <w:p w:rsidR="00092652" w:rsidRDefault="0039522B">
      <w:pPr>
        <w:spacing w:line="520" w:lineRule="exact"/>
        <w:ind w:firstLineChars="200" w:firstLine="600"/>
        <w:rPr>
          <w:rFonts w:ascii="仿宋_GB2312" w:eastAsia="仿宋_GB2312" w:hAnsi="仿宋" w:cs="Courier New"/>
          <w:sz w:val="30"/>
          <w:szCs w:val="30"/>
        </w:rPr>
      </w:pPr>
      <w:r>
        <w:rPr>
          <w:rFonts w:ascii="仿宋_GB2312" w:eastAsia="仿宋_GB2312" w:hAnsi="仿宋" w:cs="Courier New" w:hint="eastAsia"/>
          <w:sz w:val="30"/>
          <w:szCs w:val="30"/>
        </w:rPr>
        <w:t>专此报告，请予审议。</w:t>
      </w:r>
    </w:p>
    <w:p w:rsidR="00092652" w:rsidRDefault="00092652">
      <w:pPr>
        <w:spacing w:line="520" w:lineRule="exact"/>
        <w:ind w:firstLineChars="200" w:firstLine="600"/>
        <w:rPr>
          <w:rFonts w:eastAsia="仿宋_GB2312"/>
          <w:bCs/>
          <w:color w:val="000000"/>
          <w:kern w:val="0"/>
          <w:sz w:val="30"/>
          <w:szCs w:val="30"/>
        </w:rPr>
      </w:pPr>
    </w:p>
    <w:p w:rsidR="00092652" w:rsidRDefault="0039522B">
      <w:pPr>
        <w:spacing w:line="520" w:lineRule="exact"/>
        <w:ind w:firstLineChars="200" w:firstLine="600"/>
        <w:rPr>
          <w:rFonts w:ascii="仿宋_GB2312" w:eastAsia="仿宋_GB2312" w:hAnsi="仿宋" w:cs="Courier New"/>
          <w:sz w:val="30"/>
          <w:szCs w:val="30"/>
        </w:rPr>
      </w:pPr>
      <w:r>
        <w:rPr>
          <w:rFonts w:ascii="仿宋_GB2312" w:eastAsia="仿宋_GB2312" w:hAnsi="仿宋" w:cs="Courier New" w:hint="eastAsia"/>
          <w:sz w:val="30"/>
          <w:szCs w:val="30"/>
        </w:rPr>
        <w:t>附件：2020年年度报告及摘要</w:t>
      </w:r>
      <w:r>
        <w:rPr>
          <w:rFonts w:ascii="仿宋_GB2312" w:eastAsia="仿宋_GB2312" w:hAnsi="仿宋" w:cs="Courier New" w:hint="eastAsia"/>
          <w:color w:val="000000" w:themeColor="text1"/>
          <w:sz w:val="30"/>
          <w:szCs w:val="30"/>
        </w:rPr>
        <w:t>（见上海证券交易所网站）</w:t>
      </w:r>
    </w:p>
    <w:p w:rsidR="00092652" w:rsidRDefault="00092652">
      <w:pPr>
        <w:spacing w:line="520" w:lineRule="exact"/>
        <w:ind w:firstLineChars="200" w:firstLine="600"/>
        <w:rPr>
          <w:rFonts w:ascii="仿宋_GB2312" w:eastAsia="仿宋_GB2312" w:hAnsi="仿宋" w:cs="Courier New"/>
          <w:sz w:val="30"/>
          <w:szCs w:val="30"/>
        </w:rPr>
      </w:pPr>
    </w:p>
    <w:p w:rsidR="00092652" w:rsidRDefault="00092652">
      <w:pPr>
        <w:widowControl/>
        <w:spacing w:line="520" w:lineRule="exact"/>
        <w:jc w:val="left"/>
        <w:rPr>
          <w:rFonts w:eastAsia="仿宋_GB2312"/>
          <w:sz w:val="30"/>
          <w:szCs w:val="30"/>
        </w:rPr>
      </w:pPr>
    </w:p>
    <w:p w:rsidR="00092652" w:rsidRDefault="0039522B">
      <w:pPr>
        <w:widowControl/>
        <w:jc w:val="left"/>
        <w:rPr>
          <w:rFonts w:ascii="黑体" w:eastAsia="黑体"/>
          <w:sz w:val="32"/>
          <w:szCs w:val="32"/>
        </w:rPr>
      </w:pPr>
      <w:r>
        <w:rPr>
          <w:rFonts w:ascii="黑体" w:eastAsia="黑体"/>
          <w:sz w:val="32"/>
          <w:szCs w:val="32"/>
        </w:rPr>
        <w:br w:type="page"/>
      </w:r>
    </w:p>
    <w:p w:rsidR="00092652" w:rsidRDefault="00C4392E">
      <w:pPr>
        <w:tabs>
          <w:tab w:val="left" w:pos="416"/>
          <w:tab w:val="left" w:pos="1086"/>
          <w:tab w:val="center" w:pos="4156"/>
        </w:tabs>
        <w:spacing w:line="500" w:lineRule="exact"/>
        <w:ind w:firstLineChars="200" w:firstLine="640"/>
      </w:pPr>
      <w:r>
        <w:rPr>
          <w:rFonts w:ascii="黑体" w:eastAsia="黑体"/>
          <w:noProof/>
          <w:sz w:val="32"/>
          <w:szCs w:val="32"/>
        </w:rPr>
        <w:lastRenderedPageBreak/>
        <mc:AlternateContent>
          <mc:Choice Requires="wps">
            <w:drawing>
              <wp:anchor distT="0" distB="0" distL="114300" distR="114300" simplePos="0" relativeHeight="251663360" behindDoc="0" locked="0" layoutInCell="1" allowOverlap="1" wp14:anchorId="7F62B5A4" wp14:editId="08DF5815">
                <wp:simplePos x="0" y="0"/>
                <wp:positionH relativeFrom="column">
                  <wp:posOffset>-15875</wp:posOffset>
                </wp:positionH>
                <wp:positionV relativeFrom="paragraph">
                  <wp:posOffset>0</wp:posOffset>
                </wp:positionV>
                <wp:extent cx="1426210" cy="594360"/>
                <wp:effectExtent l="0" t="0" r="3175" b="0"/>
                <wp:wrapSquare wrapText="bothSides"/>
                <wp:docPr id="21" name="文本框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621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15BAA" w:rsidRDefault="00115BAA">
                            <w:pPr>
                              <w:spacing w:line="400" w:lineRule="exact"/>
                              <w:jc w:val="center"/>
                              <w:rPr>
                                <w:rFonts w:ascii="宋体"/>
                                <w:color w:val="000000"/>
                                <w:szCs w:val="21"/>
                              </w:rPr>
                            </w:pPr>
                            <w:r>
                              <w:rPr>
                                <w:rFonts w:ascii="宋体" w:hint="eastAsia"/>
                                <w:color w:val="000000"/>
                                <w:szCs w:val="21"/>
                              </w:rPr>
                              <w:t>2020年年度股东大会</w:t>
                            </w:r>
                          </w:p>
                          <w:p w:rsidR="00115BAA" w:rsidRDefault="00115BAA">
                            <w:pPr>
                              <w:spacing w:line="400" w:lineRule="exact"/>
                              <w:jc w:val="center"/>
                              <w:rPr>
                                <w:rFonts w:ascii="宋体"/>
                                <w:color w:val="000000"/>
                                <w:szCs w:val="21"/>
                              </w:rPr>
                            </w:pPr>
                            <w:r>
                              <w:rPr>
                                <w:rFonts w:ascii="宋体" w:hint="eastAsia"/>
                                <w:color w:val="000000"/>
                                <w:szCs w:val="21"/>
                              </w:rPr>
                              <w:t>文件四　审议议案</w:t>
                            </w:r>
                          </w:p>
                          <w:p w:rsidR="00115BAA" w:rsidRDefault="00115BAA">
                            <w:pPr>
                              <w:rPr>
                                <w:szCs w:val="21"/>
                              </w:rPr>
                            </w:pPr>
                          </w:p>
                        </w:txbxContent>
                      </wps:txbx>
                      <wps:bodyPr wrap="none"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_x0000_s1030" type="#_x0000_t202" style="position:absolute;left:0;text-align:left;margin-left:-1.25pt;margin-top:0;width:112.3pt;height:46.8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">
                <v:path arrowok="t"/>
                <v:textbox>
                  <w:txbxContent>
                    <w:p w:rsidR="00115BAA" w:rsidRDefault="00115BAA">
                      <w:pPr>
                        <w:spacing w:line="400" w:lineRule="exact"/>
                        <w:jc w:val="center"/>
                        <w:rPr>
                          <w:rFonts w:ascii="宋体"/>
                          <w:color w:val="000000"/>
                          <w:szCs w:val="21"/>
                        </w:rPr>
                      </w:pPr>
                      <w:r>
                        <w:rPr>
                          <w:rFonts w:ascii="宋体" w:hint="eastAsia"/>
                          <w:color w:val="000000"/>
                          <w:szCs w:val="21"/>
                        </w:rPr>
                        <w:t>2020年年度股东大会</w:t>
                      </w:r>
                    </w:p>
                    <w:p w:rsidR="00115BAA" w:rsidRDefault="00115BAA">
                      <w:pPr>
                        <w:spacing w:line="400" w:lineRule="exact"/>
                        <w:jc w:val="center"/>
                        <w:rPr>
                          <w:rFonts w:ascii="宋体"/>
                          <w:color w:val="000000"/>
                          <w:szCs w:val="21"/>
                        </w:rPr>
                      </w:pPr>
                      <w:r>
                        <w:rPr>
                          <w:rFonts w:ascii="宋体" w:hint="eastAsia"/>
                          <w:color w:val="000000"/>
                          <w:szCs w:val="21"/>
                        </w:rPr>
                        <w:t>文件四　审议议案</w:t>
                      </w:r>
                    </w:p>
                    <w:p w:rsidR="00115BAA" w:rsidRDefault="00115BAA">
                      <w:pPr>
                        <w:rPr>
                          <w:szCs w:val="21"/>
                        </w:rPr>
                      </w:pPr>
                    </w:p>
                  </w:txbxContent>
                </v:textbox>
                <w10:wrap type="square"/>
              </v:shape>
            </w:pict>
          </mc:Fallback>
        </mc:AlternateContent>
      </w:r>
    </w:p>
    <w:p w:rsidR="00092652" w:rsidRDefault="00092652">
      <w:pPr>
        <w:widowControl/>
        <w:spacing w:line="560" w:lineRule="exact"/>
        <w:jc w:val="center"/>
        <w:rPr>
          <w:rFonts w:ascii="黑体" w:eastAsia="黑体"/>
          <w:sz w:val="32"/>
          <w:szCs w:val="32"/>
        </w:rPr>
      </w:pPr>
    </w:p>
    <w:p w:rsidR="00092652" w:rsidRDefault="0039522B">
      <w:pPr>
        <w:widowControl/>
        <w:spacing w:line="520" w:lineRule="exact"/>
        <w:jc w:val="center"/>
        <w:rPr>
          <w:rFonts w:ascii="黑体" w:eastAsia="黑体"/>
          <w:sz w:val="32"/>
          <w:szCs w:val="32"/>
        </w:rPr>
      </w:pPr>
      <w:r>
        <w:rPr>
          <w:rFonts w:ascii="黑体" w:eastAsia="黑体" w:hint="eastAsia"/>
          <w:sz w:val="32"/>
          <w:szCs w:val="32"/>
        </w:rPr>
        <w:t>兴业银行股份有限公司</w:t>
      </w:r>
    </w:p>
    <w:p w:rsidR="00092652" w:rsidRDefault="0039522B">
      <w:pPr>
        <w:pStyle w:val="1"/>
        <w:spacing w:before="0" w:after="0" w:line="520" w:lineRule="exact"/>
        <w:rPr>
          <w:szCs w:val="32"/>
        </w:rPr>
      </w:pPr>
      <w:bookmarkStart w:id="6" w:name="_Toc72437650"/>
      <w:r>
        <w:rPr>
          <w:rFonts w:hint="eastAsia"/>
          <w:szCs w:val="32"/>
        </w:rPr>
        <w:t>2020年度财务决算报告及2021年度财务预算方案</w:t>
      </w:r>
      <w:bookmarkEnd w:id="6"/>
    </w:p>
    <w:p w:rsidR="00092652" w:rsidRDefault="0039522B">
      <w:pPr>
        <w:overflowPunct w:val="0"/>
        <w:snapToGrid w:val="0"/>
        <w:spacing w:line="520" w:lineRule="exact"/>
        <w:jc w:val="center"/>
        <w:rPr>
          <w:rFonts w:ascii="仿宋_GB2312" w:eastAsia="仿宋_GB2312"/>
          <w:sz w:val="30"/>
          <w:szCs w:val="28"/>
        </w:rPr>
      </w:pPr>
      <w:r>
        <w:rPr>
          <w:rFonts w:ascii="仿宋_GB2312" w:eastAsia="仿宋_GB2312" w:hint="eastAsia"/>
          <w:sz w:val="30"/>
          <w:szCs w:val="28"/>
        </w:rPr>
        <w:t>报告人：赖富荣</w:t>
      </w:r>
    </w:p>
    <w:p w:rsidR="00092652" w:rsidRDefault="00092652">
      <w:pPr>
        <w:overflowPunct w:val="0"/>
        <w:snapToGrid w:val="0"/>
        <w:spacing w:line="520" w:lineRule="exact"/>
        <w:jc w:val="center"/>
        <w:rPr>
          <w:rFonts w:ascii="仿宋_GB2312" w:eastAsia="仿宋_GB2312"/>
          <w:sz w:val="30"/>
          <w:szCs w:val="28"/>
        </w:rPr>
      </w:pPr>
    </w:p>
    <w:p w:rsidR="00092652" w:rsidRDefault="0039522B">
      <w:pPr>
        <w:overflowPunct w:val="0"/>
        <w:snapToGrid w:val="0"/>
        <w:spacing w:line="500" w:lineRule="exact"/>
        <w:rPr>
          <w:rFonts w:ascii="仿宋_GB2312" w:eastAsia="仿宋_GB2312"/>
          <w:sz w:val="30"/>
          <w:szCs w:val="28"/>
        </w:rPr>
      </w:pPr>
      <w:r>
        <w:rPr>
          <w:rFonts w:ascii="仿宋_GB2312" w:eastAsia="仿宋_GB2312" w:hint="eastAsia"/>
          <w:sz w:val="30"/>
          <w:szCs w:val="28"/>
        </w:rPr>
        <w:t>各位股东：</w:t>
      </w:r>
    </w:p>
    <w:p w:rsidR="00092652" w:rsidRDefault="0039522B">
      <w:pPr>
        <w:spacing w:line="520" w:lineRule="exact"/>
        <w:ind w:firstLineChars="200" w:firstLine="600"/>
        <w:rPr>
          <w:rFonts w:ascii="仿宋_GB2312" w:eastAsia="仿宋_GB2312"/>
          <w:b/>
          <w:color w:val="000000"/>
          <w:sz w:val="30"/>
          <w:szCs w:val="30"/>
        </w:rPr>
      </w:pPr>
      <w:r>
        <w:rPr>
          <w:rFonts w:ascii="仿宋_GB2312" w:eastAsia="仿宋_GB2312" w:hint="eastAsia"/>
          <w:color w:val="000000"/>
          <w:sz w:val="30"/>
          <w:szCs w:val="30"/>
        </w:rPr>
        <w:t>现将</w:t>
      </w:r>
      <w:r>
        <w:rPr>
          <w:rFonts w:ascii="仿宋_GB2312" w:eastAsia="仿宋_GB2312"/>
          <w:color w:val="000000"/>
          <w:sz w:val="30"/>
          <w:szCs w:val="30"/>
        </w:rPr>
        <w:t>20</w:t>
      </w:r>
      <w:r>
        <w:rPr>
          <w:rFonts w:ascii="仿宋_GB2312" w:eastAsia="仿宋_GB2312" w:hint="eastAsia"/>
          <w:color w:val="000000"/>
          <w:sz w:val="30"/>
          <w:szCs w:val="30"/>
        </w:rPr>
        <w:t>20年度财务决算报告及</w:t>
      </w:r>
      <w:r>
        <w:rPr>
          <w:rFonts w:ascii="仿宋_GB2312" w:eastAsia="仿宋_GB2312"/>
          <w:color w:val="000000"/>
          <w:sz w:val="30"/>
          <w:szCs w:val="30"/>
        </w:rPr>
        <w:t>202</w:t>
      </w:r>
      <w:r>
        <w:rPr>
          <w:rFonts w:ascii="仿宋_GB2312" w:eastAsia="仿宋_GB2312" w:hint="eastAsia"/>
          <w:color w:val="000000"/>
          <w:sz w:val="30"/>
          <w:szCs w:val="30"/>
        </w:rPr>
        <w:t>1年度财务预算方案报告如下：</w:t>
      </w:r>
      <w:r>
        <w:rPr>
          <w:rFonts w:ascii="仿宋_GB2312" w:eastAsia="仿宋_GB2312"/>
          <w:b/>
          <w:color w:val="000000"/>
          <w:sz w:val="30"/>
          <w:szCs w:val="30"/>
        </w:rPr>
        <w:t xml:space="preserve"> </w:t>
      </w:r>
    </w:p>
    <w:p w:rsidR="00092652" w:rsidRDefault="0039522B">
      <w:pPr>
        <w:spacing w:line="520" w:lineRule="exact"/>
        <w:ind w:firstLineChars="200" w:firstLine="600"/>
        <w:rPr>
          <w:rFonts w:ascii="仿宋_GB2312" w:eastAsia="仿宋_GB2312" w:hAnsi="仿宋" w:cs="仿宋_GB2312"/>
          <w:sz w:val="30"/>
          <w:szCs w:val="30"/>
        </w:rPr>
      </w:pPr>
      <w:r>
        <w:rPr>
          <w:rFonts w:ascii="仿宋_GB2312" w:eastAsia="仿宋_GB2312" w:hAnsi="仿宋_GB2312" w:cs="仿宋_GB2312"/>
          <w:sz w:val="30"/>
          <w:szCs w:val="30"/>
        </w:rPr>
        <w:t>20</w:t>
      </w:r>
      <w:r>
        <w:rPr>
          <w:rFonts w:ascii="仿宋_GB2312" w:eastAsia="仿宋_GB2312" w:hAnsi="仿宋_GB2312" w:cs="仿宋_GB2312" w:hint="eastAsia"/>
          <w:sz w:val="30"/>
          <w:szCs w:val="30"/>
        </w:rPr>
        <w:t>20</w:t>
      </w:r>
      <w:r>
        <w:rPr>
          <w:rFonts w:ascii="仿宋_GB2312" w:eastAsia="仿宋_GB2312" w:hAnsi="仿宋_GB2312" w:cs="仿宋_GB2312"/>
          <w:sz w:val="30"/>
          <w:szCs w:val="30"/>
        </w:rPr>
        <w:t>年全行</w:t>
      </w:r>
      <w:r>
        <w:rPr>
          <w:rFonts w:ascii="仿宋_GB2312" w:eastAsia="仿宋_GB2312" w:hAnsi="仿宋_GB2312" w:cs="仿宋_GB2312" w:hint="eastAsia"/>
          <w:sz w:val="30"/>
          <w:szCs w:val="30"/>
        </w:rPr>
        <w:t>认真贯彻落实“</w:t>
      </w:r>
      <w:r>
        <w:rPr>
          <w:rFonts w:ascii="仿宋_GB2312" w:eastAsia="仿宋_GB2312" w:hAnsi="仿宋_GB2312" w:cs="仿宋_GB2312"/>
          <w:sz w:val="30"/>
          <w:szCs w:val="30"/>
        </w:rPr>
        <w:t>1234”战略，</w:t>
      </w:r>
      <w:r>
        <w:rPr>
          <w:rFonts w:ascii="仿宋_GB2312" w:eastAsia="仿宋_GB2312" w:hAnsi="仿宋_GB2312" w:cs="仿宋_GB2312" w:hint="eastAsia"/>
          <w:sz w:val="30"/>
          <w:szCs w:val="30"/>
        </w:rPr>
        <w:t>积极主动应对外部形势变化，深入推进经营转型，大力夯实发展基础，资产负债结构持续优化，各项业务平稳健康发展，全面完成全年各项经营目标。</w:t>
      </w:r>
    </w:p>
    <w:p w:rsidR="00092652" w:rsidRDefault="0039522B">
      <w:pPr>
        <w:snapToGrid w:val="0"/>
        <w:spacing w:line="520" w:lineRule="exact"/>
        <w:ind w:firstLineChars="200" w:firstLine="602"/>
        <w:rPr>
          <w:rFonts w:ascii="仿宋_GB2312" w:eastAsia="仿宋_GB2312" w:hAnsi="仿宋_GB2312" w:cs="仿宋_GB2312"/>
          <w:sz w:val="30"/>
          <w:szCs w:val="30"/>
        </w:rPr>
      </w:pPr>
      <w:r>
        <w:rPr>
          <w:rFonts w:ascii="仿宋_GB2312" w:eastAsia="仿宋_GB2312" w:hAnsi="仿宋" w:cs="仿宋_GB2312" w:hint="eastAsia"/>
          <w:b/>
          <w:sz w:val="30"/>
          <w:szCs w:val="30"/>
        </w:rPr>
        <w:t>业务规模保持稳健增长。</w:t>
      </w:r>
      <w:r>
        <w:rPr>
          <w:rFonts w:ascii="仿宋_GB2312" w:eastAsia="仿宋_GB2312" w:hAnsi="仿宋_GB2312" w:cs="仿宋_GB2312" w:hint="eastAsia"/>
          <w:sz w:val="30"/>
          <w:szCs w:val="30"/>
        </w:rPr>
        <w:t>截至</w:t>
      </w:r>
      <w:r>
        <w:rPr>
          <w:rFonts w:ascii="仿宋_GB2312" w:eastAsia="仿宋_GB2312" w:hAnsi="仿宋_GB2312" w:cs="仿宋_GB2312"/>
          <w:sz w:val="30"/>
          <w:szCs w:val="30"/>
        </w:rPr>
        <w:t>20</w:t>
      </w:r>
      <w:r>
        <w:rPr>
          <w:rFonts w:ascii="仿宋_GB2312" w:eastAsia="仿宋_GB2312" w:hAnsi="仿宋_GB2312" w:cs="仿宋_GB2312" w:hint="eastAsia"/>
          <w:sz w:val="30"/>
          <w:szCs w:val="30"/>
        </w:rPr>
        <w:t>20</w:t>
      </w:r>
      <w:r>
        <w:rPr>
          <w:rFonts w:ascii="仿宋_GB2312" w:eastAsia="仿宋_GB2312" w:hAnsi="仿宋_GB2312" w:cs="仿宋_GB2312"/>
          <w:sz w:val="30"/>
          <w:szCs w:val="30"/>
        </w:rPr>
        <w:t>年末，集团总资产7.</w:t>
      </w:r>
      <w:r>
        <w:rPr>
          <w:rFonts w:ascii="仿宋_GB2312" w:eastAsia="仿宋_GB2312" w:hAnsi="仿宋_GB2312" w:cs="仿宋_GB2312" w:hint="eastAsia"/>
          <w:sz w:val="30"/>
          <w:szCs w:val="30"/>
        </w:rPr>
        <w:t>89万亿元，比年初增加7483.19</w:t>
      </w:r>
      <w:r>
        <w:rPr>
          <w:rFonts w:ascii="仿宋_GB2312" w:eastAsia="仿宋_GB2312" w:hAnsi="仿宋_GB2312" w:cs="仿宋_GB2312"/>
          <w:sz w:val="30"/>
          <w:szCs w:val="30"/>
        </w:rPr>
        <w:t>亿元，</w:t>
      </w:r>
      <w:r>
        <w:rPr>
          <w:rFonts w:ascii="仿宋_GB2312" w:eastAsia="仿宋_GB2312" w:hAnsi="仿宋_GB2312" w:cs="仿宋_GB2312" w:hint="eastAsia"/>
          <w:sz w:val="30"/>
          <w:szCs w:val="30"/>
        </w:rPr>
        <w:t>增长10.47</w:t>
      </w:r>
      <w:r>
        <w:rPr>
          <w:rFonts w:ascii="仿宋_GB2312" w:eastAsia="仿宋_GB2312" w:hAnsi="仿宋_GB2312" w:cs="仿宋_GB2312"/>
          <w:sz w:val="30"/>
          <w:szCs w:val="30"/>
        </w:rPr>
        <w:t>%；集团总负债</w:t>
      </w:r>
      <w:r>
        <w:rPr>
          <w:rFonts w:ascii="仿宋_GB2312" w:eastAsia="仿宋_GB2312" w:hAnsi="仿宋_GB2312" w:cs="仿宋_GB2312" w:hint="eastAsia"/>
          <w:sz w:val="30"/>
          <w:szCs w:val="30"/>
        </w:rPr>
        <w:t>7.27万亿元，比年初增加6731.68亿元，增长10.21</w:t>
      </w:r>
      <w:r>
        <w:rPr>
          <w:rFonts w:ascii="仿宋_GB2312" w:eastAsia="仿宋_GB2312" w:hAnsi="仿宋_GB2312" w:cs="仿宋_GB2312"/>
          <w:sz w:val="30"/>
          <w:szCs w:val="30"/>
        </w:rPr>
        <w:t>%。其中：各项贷款余额3.</w:t>
      </w:r>
      <w:r>
        <w:rPr>
          <w:rFonts w:ascii="仿宋_GB2312" w:eastAsia="仿宋_GB2312" w:hAnsi="仿宋_GB2312" w:cs="仿宋_GB2312" w:hint="eastAsia"/>
          <w:sz w:val="30"/>
          <w:szCs w:val="30"/>
        </w:rPr>
        <w:t>97万亿元，比年初增加5242.23亿元，增长15.23</w:t>
      </w:r>
      <w:r>
        <w:rPr>
          <w:rFonts w:ascii="仿宋_GB2312" w:eastAsia="仿宋_GB2312" w:hAnsi="仿宋_GB2312" w:cs="仿宋_GB2312"/>
          <w:sz w:val="30"/>
          <w:szCs w:val="30"/>
        </w:rPr>
        <w:t>%；各项存款余额突破</w:t>
      </w:r>
      <w:r>
        <w:rPr>
          <w:rFonts w:ascii="仿宋_GB2312" w:eastAsia="仿宋_GB2312" w:hAnsi="仿宋_GB2312" w:cs="仿宋_GB2312" w:hint="eastAsia"/>
          <w:sz w:val="30"/>
          <w:szCs w:val="30"/>
        </w:rPr>
        <w:t>4万亿元，比年初增加2838.11亿元，增长7.55</w:t>
      </w:r>
      <w:r>
        <w:rPr>
          <w:rFonts w:ascii="仿宋_GB2312" w:eastAsia="仿宋_GB2312" w:hAnsi="仿宋_GB2312" w:cs="仿宋_GB2312"/>
          <w:sz w:val="30"/>
          <w:szCs w:val="30"/>
        </w:rPr>
        <w:t>%。</w:t>
      </w:r>
    </w:p>
    <w:p w:rsidR="00092652" w:rsidRDefault="0039522B">
      <w:pPr>
        <w:snapToGrid w:val="0"/>
        <w:spacing w:line="520" w:lineRule="exact"/>
        <w:ind w:firstLineChars="200" w:firstLine="602"/>
        <w:rPr>
          <w:rFonts w:ascii="仿宋_GB2312" w:eastAsia="仿宋_GB2312" w:hAnsi="仿宋" w:cs="仿宋_GB2312"/>
          <w:sz w:val="30"/>
          <w:szCs w:val="30"/>
        </w:rPr>
      </w:pPr>
      <w:r>
        <w:rPr>
          <w:rFonts w:ascii="仿宋_GB2312" w:eastAsia="仿宋_GB2312" w:hAnsi="仿宋" w:cs="仿宋_GB2312" w:hint="eastAsia"/>
          <w:b/>
          <w:sz w:val="30"/>
          <w:szCs w:val="30"/>
        </w:rPr>
        <w:t>资产质量和风险抵补能力持续稳定。</w:t>
      </w:r>
      <w:r>
        <w:rPr>
          <w:rFonts w:ascii="仿宋_GB2312" w:eastAsia="仿宋_GB2312" w:hAnsi="仿宋" w:cs="仿宋_GB2312" w:hint="eastAsia"/>
          <w:sz w:val="30"/>
          <w:szCs w:val="30"/>
        </w:rPr>
        <w:t>截至</w:t>
      </w:r>
      <w:r>
        <w:rPr>
          <w:rFonts w:ascii="仿宋_GB2312" w:eastAsia="仿宋_GB2312" w:hAnsi="仿宋" w:cs="仿宋_GB2312"/>
          <w:sz w:val="30"/>
          <w:szCs w:val="30"/>
        </w:rPr>
        <w:t>2</w:t>
      </w:r>
      <w:r>
        <w:rPr>
          <w:rFonts w:ascii="仿宋_GB2312" w:eastAsia="仿宋_GB2312" w:hAnsi="仿宋" w:cs="仿宋_GB2312" w:hint="eastAsia"/>
          <w:sz w:val="30"/>
          <w:szCs w:val="30"/>
        </w:rPr>
        <w:t>020年末，集团不良贷款比率</w:t>
      </w:r>
      <w:r>
        <w:rPr>
          <w:rFonts w:ascii="仿宋_GB2312" w:eastAsia="仿宋_GB2312" w:hAnsi="仿宋" w:cs="仿宋_GB2312"/>
          <w:sz w:val="30"/>
          <w:szCs w:val="30"/>
        </w:rPr>
        <w:t>1.</w:t>
      </w:r>
      <w:r>
        <w:rPr>
          <w:rFonts w:ascii="仿宋_GB2312" w:eastAsia="仿宋_GB2312" w:hAnsi="仿宋" w:cs="仿宋_GB2312" w:hint="eastAsia"/>
          <w:sz w:val="30"/>
          <w:szCs w:val="30"/>
        </w:rPr>
        <w:t>25</w:t>
      </w:r>
      <w:r>
        <w:rPr>
          <w:rFonts w:ascii="仿宋_GB2312" w:eastAsia="仿宋_GB2312" w:hAnsi="仿宋" w:cs="仿宋_GB2312"/>
          <w:sz w:val="30"/>
          <w:szCs w:val="30"/>
        </w:rPr>
        <w:t>%，比年初下降0.</w:t>
      </w:r>
      <w:r>
        <w:rPr>
          <w:rFonts w:ascii="仿宋_GB2312" w:eastAsia="仿宋_GB2312" w:hAnsi="仿宋" w:cs="仿宋_GB2312" w:hint="eastAsia"/>
          <w:sz w:val="30"/>
          <w:szCs w:val="30"/>
        </w:rPr>
        <w:t>29</w:t>
      </w:r>
      <w:r>
        <w:rPr>
          <w:rFonts w:ascii="仿宋_GB2312" w:eastAsia="仿宋_GB2312" w:hAnsi="仿宋" w:cs="仿宋_GB2312"/>
          <w:sz w:val="30"/>
          <w:szCs w:val="30"/>
        </w:rPr>
        <w:t>个百分点，不良贷款余额</w:t>
      </w:r>
      <w:r>
        <w:rPr>
          <w:rFonts w:ascii="仿宋_GB2312" w:eastAsia="仿宋_GB2312" w:hAnsi="仿宋" w:cs="仿宋_GB2312" w:hint="eastAsia"/>
          <w:sz w:val="30"/>
          <w:szCs w:val="30"/>
        </w:rPr>
        <w:t>496.56亿，较年初减少33.66亿，近五年来首次实现双降。拨备覆盖率218.83</w:t>
      </w:r>
      <w:r>
        <w:rPr>
          <w:rFonts w:ascii="仿宋_GB2312" w:eastAsia="仿宋_GB2312" w:hAnsi="仿宋" w:cs="仿宋_GB2312"/>
          <w:sz w:val="30"/>
          <w:szCs w:val="30"/>
        </w:rPr>
        <w:t>%，高于年初董事会计划</w:t>
      </w:r>
      <w:r>
        <w:rPr>
          <w:rFonts w:ascii="仿宋_GB2312" w:eastAsia="仿宋_GB2312" w:hAnsi="仿宋" w:cs="仿宋_GB2312" w:hint="eastAsia"/>
          <w:sz w:val="30"/>
          <w:szCs w:val="30"/>
        </w:rPr>
        <w:t>31.83</w:t>
      </w:r>
      <w:r>
        <w:rPr>
          <w:rFonts w:ascii="仿宋_GB2312" w:eastAsia="仿宋_GB2312" w:hAnsi="仿宋" w:cs="仿宋_GB2312"/>
          <w:sz w:val="30"/>
          <w:szCs w:val="30"/>
        </w:rPr>
        <w:t>个百分点，贷款拨贷比</w:t>
      </w:r>
      <w:r>
        <w:rPr>
          <w:rFonts w:ascii="仿宋_GB2312" w:eastAsia="仿宋_GB2312" w:hAnsi="仿宋" w:cs="仿宋_GB2312" w:hint="eastAsia"/>
          <w:sz w:val="30"/>
          <w:szCs w:val="30"/>
        </w:rPr>
        <w:t>2.74</w:t>
      </w:r>
      <w:r>
        <w:rPr>
          <w:rFonts w:ascii="仿宋_GB2312" w:eastAsia="仿宋_GB2312" w:hAnsi="仿宋" w:cs="仿宋_GB2312"/>
          <w:sz w:val="30"/>
          <w:szCs w:val="30"/>
        </w:rPr>
        <w:t>%，较上年末下降</w:t>
      </w:r>
      <w:r>
        <w:rPr>
          <w:rFonts w:ascii="仿宋_GB2312" w:eastAsia="仿宋_GB2312" w:hAnsi="仿宋" w:cs="仿宋_GB2312" w:hint="eastAsia"/>
          <w:sz w:val="30"/>
          <w:szCs w:val="30"/>
        </w:rPr>
        <w:t>0.33个百分点，非标拨贷比4.08%，</w:t>
      </w:r>
      <w:r>
        <w:rPr>
          <w:rFonts w:ascii="仿宋_GB2312" w:eastAsia="仿宋_GB2312" w:hAnsi="仿宋" w:cs="仿宋_GB2312"/>
          <w:sz w:val="30"/>
          <w:szCs w:val="30"/>
        </w:rPr>
        <w:t>较上年末提高</w:t>
      </w:r>
      <w:r>
        <w:rPr>
          <w:rFonts w:ascii="仿宋_GB2312" w:eastAsia="仿宋_GB2312" w:hAnsi="仿宋" w:cs="仿宋_GB2312" w:hint="eastAsia"/>
          <w:sz w:val="30"/>
          <w:szCs w:val="30"/>
        </w:rPr>
        <w:t>0.81个百分点</w:t>
      </w:r>
      <w:r>
        <w:rPr>
          <w:rFonts w:ascii="仿宋_GB2312" w:eastAsia="仿宋_GB2312" w:hAnsi="仿宋" w:cs="仿宋_GB2312"/>
          <w:sz w:val="30"/>
          <w:szCs w:val="30"/>
        </w:rPr>
        <w:t>；</w:t>
      </w:r>
      <w:r>
        <w:rPr>
          <w:rFonts w:ascii="仿宋_GB2312" w:eastAsia="仿宋_GB2312" w:hAnsi="仿宋" w:cs="仿宋_GB2312" w:hint="eastAsia"/>
          <w:sz w:val="30"/>
          <w:szCs w:val="30"/>
        </w:rPr>
        <w:t>集团核心一级资本充足率</w:t>
      </w:r>
      <w:r>
        <w:rPr>
          <w:rFonts w:ascii="仿宋_GB2312" w:eastAsia="仿宋_GB2312" w:hAnsi="仿宋" w:cs="仿宋_GB2312"/>
          <w:sz w:val="30"/>
          <w:szCs w:val="30"/>
        </w:rPr>
        <w:t>9.</w:t>
      </w:r>
      <w:r>
        <w:rPr>
          <w:rFonts w:ascii="仿宋_GB2312" w:eastAsia="仿宋_GB2312" w:hAnsi="仿宋" w:cs="仿宋_GB2312" w:hint="eastAsia"/>
          <w:sz w:val="30"/>
          <w:szCs w:val="30"/>
        </w:rPr>
        <w:t>33</w:t>
      </w:r>
      <w:r>
        <w:rPr>
          <w:rFonts w:ascii="仿宋_GB2312" w:eastAsia="仿宋_GB2312" w:hAnsi="仿宋" w:cs="仿宋_GB2312"/>
          <w:sz w:val="30"/>
          <w:szCs w:val="30"/>
        </w:rPr>
        <w:t>%</w:t>
      </w:r>
      <w:r>
        <w:rPr>
          <w:rFonts w:ascii="仿宋_GB2312" w:eastAsia="仿宋_GB2312" w:hAnsi="仿宋" w:cs="仿宋_GB2312" w:hint="eastAsia"/>
          <w:sz w:val="30"/>
          <w:szCs w:val="30"/>
        </w:rPr>
        <w:t>，一级资本充足率</w:t>
      </w:r>
      <w:r>
        <w:rPr>
          <w:rFonts w:ascii="仿宋_GB2312" w:eastAsia="仿宋_GB2312" w:hAnsi="仿宋" w:cs="仿宋_GB2312"/>
          <w:sz w:val="30"/>
          <w:szCs w:val="30"/>
        </w:rPr>
        <w:t>10.</w:t>
      </w:r>
      <w:r>
        <w:rPr>
          <w:rFonts w:ascii="仿宋_GB2312" w:eastAsia="仿宋_GB2312" w:hAnsi="仿宋" w:cs="仿宋_GB2312" w:hint="eastAsia"/>
          <w:sz w:val="30"/>
          <w:szCs w:val="30"/>
        </w:rPr>
        <w:t>85</w:t>
      </w:r>
      <w:r>
        <w:rPr>
          <w:rFonts w:ascii="仿宋_GB2312" w:eastAsia="仿宋_GB2312" w:hAnsi="仿宋" w:cs="仿宋_GB2312"/>
          <w:sz w:val="30"/>
          <w:szCs w:val="30"/>
        </w:rPr>
        <w:t>%，资本充足率 13.</w:t>
      </w:r>
      <w:r>
        <w:rPr>
          <w:rFonts w:ascii="仿宋_GB2312" w:eastAsia="仿宋_GB2312" w:hAnsi="仿宋" w:cs="仿宋_GB2312" w:hint="eastAsia"/>
          <w:sz w:val="30"/>
          <w:szCs w:val="30"/>
        </w:rPr>
        <w:t>47</w:t>
      </w:r>
      <w:r>
        <w:rPr>
          <w:rFonts w:ascii="仿宋_GB2312" w:eastAsia="仿宋_GB2312" w:hAnsi="仿宋" w:cs="仿宋_GB2312"/>
          <w:sz w:val="30"/>
          <w:szCs w:val="30"/>
        </w:rPr>
        <w:t>%，</w:t>
      </w:r>
      <w:r>
        <w:rPr>
          <w:rFonts w:ascii="仿宋_GB2312" w:eastAsia="仿宋_GB2312" w:hAnsi="仿宋" w:cs="仿宋_GB2312" w:hint="eastAsia"/>
          <w:sz w:val="30"/>
          <w:szCs w:val="30"/>
        </w:rPr>
        <w:t>符合</w:t>
      </w:r>
      <w:r>
        <w:rPr>
          <w:rFonts w:ascii="仿宋_GB2312" w:eastAsia="仿宋_GB2312" w:hAnsi="仿宋" w:cs="仿宋_GB2312"/>
          <w:sz w:val="30"/>
          <w:szCs w:val="30"/>
        </w:rPr>
        <w:t>年初董事会</w:t>
      </w:r>
      <w:r>
        <w:rPr>
          <w:rFonts w:ascii="仿宋_GB2312" w:eastAsia="仿宋_GB2312" w:hAnsi="仿宋" w:cs="仿宋_GB2312"/>
          <w:sz w:val="30"/>
          <w:szCs w:val="30"/>
        </w:rPr>
        <w:lastRenderedPageBreak/>
        <w:t>确定的目标水平。</w:t>
      </w:r>
    </w:p>
    <w:p w:rsidR="00092652" w:rsidRDefault="0039522B">
      <w:pPr>
        <w:snapToGrid w:val="0"/>
        <w:spacing w:line="520" w:lineRule="exact"/>
        <w:ind w:firstLineChars="200" w:firstLine="602"/>
        <w:rPr>
          <w:rFonts w:ascii="仿宋_GB2312" w:eastAsia="仿宋_GB2312" w:hAnsi="宋体"/>
          <w:b/>
          <w:color w:val="000000"/>
          <w:sz w:val="30"/>
          <w:szCs w:val="30"/>
          <w:lang w:val="zh-CN"/>
        </w:rPr>
      </w:pPr>
      <w:r>
        <w:rPr>
          <w:rFonts w:ascii="仿宋_GB2312" w:eastAsia="仿宋_GB2312" w:hAnsi="仿宋_GB2312" w:cs="仿宋_GB2312" w:hint="eastAsia"/>
          <w:b/>
          <w:color w:val="000000"/>
          <w:sz w:val="30"/>
          <w:szCs w:val="30"/>
        </w:rPr>
        <w:t>盈利能力保持较好水平。</w:t>
      </w:r>
      <w:r>
        <w:rPr>
          <w:rFonts w:ascii="仿宋_GB2312" w:eastAsia="仿宋_GB2312" w:hAnsi="仿宋_GB2312" w:cs="仿宋_GB2312" w:hint="eastAsia"/>
          <w:sz w:val="30"/>
          <w:szCs w:val="30"/>
        </w:rPr>
        <w:t>集团全年累计实现归属于母公司股东净利润</w:t>
      </w:r>
      <w:r>
        <w:rPr>
          <w:rFonts w:ascii="仿宋_GB2312" w:eastAsia="仿宋_GB2312" w:hAnsi="仿宋_GB2312" w:cs="仿宋_GB2312"/>
          <w:sz w:val="30"/>
          <w:szCs w:val="30"/>
        </w:rPr>
        <w:t>6</w:t>
      </w:r>
      <w:r>
        <w:rPr>
          <w:rFonts w:ascii="仿宋_GB2312" w:eastAsia="仿宋_GB2312" w:hAnsi="仿宋_GB2312" w:cs="仿宋_GB2312" w:hint="eastAsia"/>
          <w:sz w:val="30"/>
          <w:szCs w:val="30"/>
        </w:rPr>
        <w:t>66.26亿元，同比增加7.5</w:t>
      </w:r>
      <w:r>
        <w:rPr>
          <w:rFonts w:ascii="仿宋_GB2312" w:eastAsia="仿宋_GB2312" w:hAnsi="仿宋_GB2312" w:cs="仿宋_GB2312"/>
          <w:sz w:val="30"/>
          <w:szCs w:val="30"/>
        </w:rPr>
        <w:t>8</w:t>
      </w:r>
      <w:r>
        <w:rPr>
          <w:rFonts w:ascii="仿宋_GB2312" w:eastAsia="仿宋_GB2312" w:hAnsi="仿宋_GB2312" w:cs="仿宋_GB2312" w:hint="eastAsia"/>
          <w:sz w:val="30"/>
          <w:szCs w:val="30"/>
        </w:rPr>
        <w:t>亿元，增长1.15</w:t>
      </w:r>
      <w:r>
        <w:rPr>
          <w:rFonts w:ascii="仿宋_GB2312" w:eastAsia="仿宋_GB2312" w:hAnsi="仿宋_GB2312" w:cs="仿宋_GB2312"/>
          <w:sz w:val="30"/>
          <w:szCs w:val="30"/>
        </w:rPr>
        <w:t>%，其中，银行实现</w:t>
      </w:r>
      <w:r>
        <w:rPr>
          <w:rFonts w:ascii="仿宋_GB2312" w:eastAsia="仿宋_GB2312" w:hAnsi="仿宋_GB2312" w:cs="仿宋_GB2312" w:hint="eastAsia"/>
          <w:sz w:val="30"/>
          <w:szCs w:val="30"/>
        </w:rPr>
        <w:t>净利润608.56亿元，同比减少14.43亿元，下降2.32</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。集团实现拨备前利润1519.74亿，同比增长14.82%。集团净资产收益率</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2.6</w:t>
      </w:r>
      <w:r>
        <w:rPr>
          <w:rFonts w:ascii="仿宋_GB2312" w:eastAsia="仿宋_GB2312" w:hAnsi="仿宋_GB2312" w:cs="仿宋_GB2312"/>
          <w:sz w:val="30"/>
          <w:szCs w:val="30"/>
        </w:rPr>
        <w:t>2%</w:t>
      </w:r>
      <w:r>
        <w:rPr>
          <w:rFonts w:ascii="仿宋_GB2312" w:eastAsia="仿宋_GB2312" w:hAnsi="仿宋_GB2312" w:cs="仿宋_GB2312" w:hint="eastAsia"/>
          <w:sz w:val="30"/>
          <w:szCs w:val="30"/>
        </w:rPr>
        <w:t>。</w:t>
      </w:r>
    </w:p>
    <w:p w:rsidR="00092652" w:rsidRDefault="0039522B">
      <w:pPr>
        <w:snapToGrid w:val="0"/>
        <w:spacing w:line="520" w:lineRule="exact"/>
        <w:ind w:firstLineChars="200" w:firstLine="600"/>
        <w:rPr>
          <w:rFonts w:ascii="仿宋_GB2312" w:eastAsia="仿宋_GB2312" w:hAnsi="宋体"/>
          <w:bCs/>
          <w:color w:val="000000"/>
          <w:kern w:val="0"/>
          <w:sz w:val="30"/>
          <w:szCs w:val="30"/>
        </w:rPr>
      </w:pPr>
      <w:r>
        <w:rPr>
          <w:rFonts w:ascii="仿宋_GB2312" w:eastAsia="仿宋_GB2312" w:hAnsi="宋体"/>
          <w:bCs/>
          <w:color w:val="000000"/>
          <w:kern w:val="0"/>
          <w:sz w:val="30"/>
          <w:szCs w:val="30"/>
        </w:rPr>
        <w:t>2</w:t>
      </w:r>
      <w:r>
        <w:rPr>
          <w:rFonts w:ascii="仿宋_GB2312" w:eastAsia="仿宋_GB2312" w:hAnsi="宋体"/>
          <w:color w:val="000000"/>
          <w:sz w:val="30"/>
          <w:szCs w:val="30"/>
          <w:lang w:val="zh-CN"/>
        </w:rPr>
        <w:t>02</w:t>
      </w:r>
      <w:r>
        <w:rPr>
          <w:rFonts w:ascii="仿宋_GB2312" w:eastAsia="仿宋_GB2312" w:hAnsi="宋体" w:hint="eastAsia"/>
          <w:color w:val="000000"/>
          <w:sz w:val="30"/>
          <w:szCs w:val="30"/>
          <w:lang w:val="zh-CN"/>
        </w:rPr>
        <w:t>1</w:t>
      </w:r>
      <w:r>
        <w:rPr>
          <w:rFonts w:ascii="仿宋_GB2312" w:eastAsia="仿宋_GB2312" w:hAnsi="宋体"/>
          <w:color w:val="000000"/>
          <w:sz w:val="30"/>
          <w:szCs w:val="30"/>
          <w:lang w:val="zh-CN"/>
        </w:rPr>
        <w:t>年预算安排</w:t>
      </w:r>
      <w:r>
        <w:rPr>
          <w:rFonts w:ascii="仿宋_GB2312" w:eastAsia="仿宋_GB2312" w:hAnsi="宋体" w:hint="eastAsia"/>
          <w:color w:val="000000"/>
          <w:sz w:val="30"/>
          <w:szCs w:val="30"/>
          <w:lang w:val="zh-CN"/>
        </w:rPr>
        <w:t>总体思路是贯彻落实集团新一轮五年规划战略要求，保持“1234”战略定力，突出轻资本、轻资产转型战略，擦亮投资银行、财富银行、绿色银行品牌，围绕以客户为中心推动全行高质量发展，</w:t>
      </w:r>
      <w:r>
        <w:rPr>
          <w:rFonts w:ascii="仿宋_GB2312" w:eastAsia="仿宋_GB2312" w:hAnsi="宋体" w:hint="eastAsia"/>
          <w:color w:val="000000"/>
          <w:sz w:val="30"/>
          <w:szCs w:val="30"/>
        </w:rPr>
        <w:t>为新一轮五年规划起好步、开好局</w:t>
      </w:r>
      <w:r>
        <w:rPr>
          <w:rFonts w:ascii="仿宋_GB2312" w:eastAsia="仿宋_GB2312" w:hAnsi="宋体" w:hint="eastAsia"/>
          <w:color w:val="000000"/>
          <w:sz w:val="30"/>
          <w:szCs w:val="30"/>
          <w:lang w:val="zh-CN"/>
        </w:rPr>
        <w:t>。</w:t>
      </w:r>
      <w:r>
        <w:rPr>
          <w:rFonts w:ascii="仿宋_GB2312" w:eastAsia="仿宋_GB2312" w:hAnsi="宋体" w:hint="eastAsia"/>
          <w:b/>
          <w:color w:val="000000"/>
          <w:sz w:val="30"/>
          <w:szCs w:val="30"/>
          <w:lang w:val="zh-CN"/>
        </w:rPr>
        <w:t>一是</w:t>
      </w:r>
      <w:r>
        <w:rPr>
          <w:rFonts w:ascii="仿宋_GB2312" w:eastAsia="仿宋_GB2312" w:hAnsi="宋体" w:hint="eastAsia"/>
          <w:color w:val="000000"/>
          <w:sz w:val="30"/>
          <w:szCs w:val="30"/>
          <w:lang w:val="zh-CN"/>
        </w:rPr>
        <w:t>擦亮绿色银行品牌，紧密结合国家生态文明发展战略，推动绿色金融业务快速发展，进一步巩固和增强本行绿色品牌地位。</w:t>
      </w:r>
      <w:r>
        <w:rPr>
          <w:rFonts w:ascii="仿宋_GB2312" w:eastAsia="仿宋_GB2312" w:hAnsi="宋体" w:hint="eastAsia"/>
          <w:b/>
          <w:color w:val="000000"/>
          <w:sz w:val="30"/>
          <w:szCs w:val="30"/>
          <w:lang w:val="zh-CN"/>
        </w:rPr>
        <w:t>二是</w:t>
      </w:r>
      <w:r>
        <w:rPr>
          <w:rFonts w:ascii="仿宋_GB2312" w:eastAsia="仿宋_GB2312" w:hAnsi="宋体" w:hint="eastAsia"/>
          <w:color w:val="000000"/>
          <w:sz w:val="30"/>
          <w:szCs w:val="30"/>
          <w:lang w:val="zh-CN"/>
        </w:rPr>
        <w:t>擦亮投资银行品牌，构建投行生态圈，畅通募投管退业务链条，完善大流转体系，带动商行业务发展。</w:t>
      </w:r>
      <w:r>
        <w:rPr>
          <w:rFonts w:ascii="仿宋_GB2312" w:eastAsia="仿宋_GB2312" w:hAnsi="宋体" w:hint="eastAsia"/>
          <w:b/>
          <w:color w:val="000000"/>
          <w:sz w:val="30"/>
          <w:szCs w:val="30"/>
          <w:lang w:val="zh-CN"/>
        </w:rPr>
        <w:t>三是</w:t>
      </w:r>
      <w:r>
        <w:rPr>
          <w:rFonts w:ascii="仿宋_GB2312" w:eastAsia="仿宋_GB2312" w:hAnsi="宋体" w:hint="eastAsia"/>
          <w:color w:val="000000"/>
          <w:sz w:val="30"/>
          <w:szCs w:val="30"/>
          <w:lang w:val="zh-CN"/>
        </w:rPr>
        <w:t>擦亮财富银行品牌，以兴银理财作为“商行+投行”的核心枢纽，做强资产管理业务，持续提升财富销售能力，聚焦高净值客户群体，促进理财与财富业务快速发展。</w:t>
      </w:r>
      <w:r>
        <w:rPr>
          <w:rFonts w:ascii="仿宋_GB2312" w:eastAsia="仿宋_GB2312" w:hAnsi="宋体" w:hint="eastAsia"/>
          <w:b/>
          <w:color w:val="000000"/>
          <w:sz w:val="30"/>
          <w:szCs w:val="30"/>
          <w:lang w:val="zh-CN"/>
        </w:rPr>
        <w:t>四是</w:t>
      </w:r>
      <w:r>
        <w:rPr>
          <w:rFonts w:ascii="仿宋_GB2312" w:eastAsia="仿宋_GB2312" w:hAnsi="宋体" w:hint="eastAsia"/>
          <w:color w:val="000000"/>
          <w:sz w:val="30"/>
          <w:szCs w:val="30"/>
          <w:lang w:val="zh-CN"/>
        </w:rPr>
        <w:t>聚焦结算性存款，以客户旅程为抓手，提升客户服务体验，加强平台、系统、场景等长效机制建设，通过数字化工具拓展低成本结算性存款。</w:t>
      </w:r>
      <w:r>
        <w:rPr>
          <w:rFonts w:ascii="仿宋_GB2312" w:eastAsia="仿宋_GB2312" w:hAnsi="宋体" w:hint="eastAsia"/>
          <w:b/>
          <w:color w:val="000000"/>
          <w:sz w:val="30"/>
          <w:szCs w:val="30"/>
          <w:lang w:val="zh-CN"/>
        </w:rPr>
        <w:t>五是</w:t>
      </w:r>
      <w:r>
        <w:rPr>
          <w:rFonts w:ascii="仿宋_GB2312" w:eastAsia="仿宋_GB2312" w:hAnsi="宋体"/>
          <w:color w:val="000000"/>
          <w:sz w:val="30"/>
          <w:szCs w:val="30"/>
          <w:lang w:val="zh-CN"/>
        </w:rPr>
        <w:t>围绕以客户为中心，夯实客户基础，持续强化客户增长。</w:t>
      </w:r>
      <w:r>
        <w:rPr>
          <w:rFonts w:ascii="仿宋_GB2312" w:eastAsia="仿宋_GB2312" w:hAnsi="宋体"/>
          <w:b/>
          <w:color w:val="000000"/>
          <w:sz w:val="30"/>
          <w:szCs w:val="30"/>
          <w:lang w:val="zh-CN"/>
        </w:rPr>
        <w:t>六是</w:t>
      </w:r>
      <w:r>
        <w:rPr>
          <w:rFonts w:ascii="仿宋_GB2312" w:eastAsia="仿宋_GB2312" w:hAnsi="宋体" w:hint="eastAsia"/>
          <w:color w:val="000000"/>
          <w:sz w:val="30"/>
          <w:szCs w:val="30"/>
          <w:lang w:val="zh-CN"/>
        </w:rPr>
        <w:t>严格落实监管要求，服务实体经济，推动普惠小微业务健康发展。</w:t>
      </w:r>
    </w:p>
    <w:p w:rsidR="00092652" w:rsidRDefault="0039522B">
      <w:pPr>
        <w:autoSpaceDE w:val="0"/>
        <w:autoSpaceDN w:val="0"/>
        <w:adjustRightInd w:val="0"/>
        <w:spacing w:line="520" w:lineRule="exact"/>
        <w:ind w:firstLineChars="200" w:firstLine="600"/>
        <w:jc w:val="left"/>
        <w:rPr>
          <w:rFonts w:ascii="仿宋_GB2312" w:eastAsia="仿宋_GB2312" w:hAnsi="Calibri"/>
          <w:sz w:val="30"/>
          <w:szCs w:val="30"/>
        </w:rPr>
      </w:pPr>
      <w:r>
        <w:rPr>
          <w:rFonts w:ascii="仿宋_GB2312" w:eastAsia="仿宋_GB2312" w:hAnsi="Calibri" w:hint="eastAsia"/>
          <w:sz w:val="30"/>
          <w:szCs w:val="30"/>
        </w:rPr>
        <w:t>根据上述总体思路，安排业务经营与发展的主要目标如下:</w:t>
      </w:r>
    </w:p>
    <w:p w:rsidR="00092652" w:rsidRDefault="0039522B">
      <w:pPr>
        <w:autoSpaceDE w:val="0"/>
        <w:autoSpaceDN w:val="0"/>
        <w:adjustRightInd w:val="0"/>
        <w:spacing w:line="520" w:lineRule="exact"/>
        <w:ind w:firstLineChars="200" w:firstLine="600"/>
        <w:jc w:val="left"/>
        <w:rPr>
          <w:rFonts w:ascii="仿宋_GB2312" w:eastAsia="仿宋_GB2312" w:hAnsi="Calibri"/>
          <w:sz w:val="30"/>
          <w:szCs w:val="30"/>
        </w:rPr>
      </w:pPr>
      <w:r>
        <w:rPr>
          <w:rFonts w:ascii="仿宋_GB2312" w:eastAsia="仿宋_GB2312" w:hAnsi="Calibri" w:hint="eastAsia"/>
          <w:sz w:val="30"/>
          <w:szCs w:val="30"/>
        </w:rPr>
        <w:t>1、</w:t>
      </w:r>
      <w:r>
        <w:rPr>
          <w:rFonts w:ascii="仿宋_GB2312" w:eastAsia="仿宋_GB2312" w:hAnsi="Calibri"/>
          <w:sz w:val="30"/>
          <w:szCs w:val="30"/>
        </w:rPr>
        <w:t>202</w:t>
      </w:r>
      <w:r>
        <w:rPr>
          <w:rFonts w:ascii="仿宋_GB2312" w:eastAsia="仿宋_GB2312" w:hAnsi="Calibri" w:hint="eastAsia"/>
          <w:sz w:val="30"/>
          <w:szCs w:val="30"/>
        </w:rPr>
        <w:t>1年集团及银行总资产规模保持合理增长，</w:t>
      </w:r>
      <w:r>
        <w:rPr>
          <w:rFonts w:ascii="仿宋_GB2312" w:eastAsia="仿宋_GB2312" w:hAnsi="Calibri"/>
          <w:sz w:val="30"/>
          <w:szCs w:val="30"/>
        </w:rPr>
        <w:t>202</w:t>
      </w:r>
      <w:r>
        <w:rPr>
          <w:rFonts w:ascii="仿宋_GB2312" w:eastAsia="仿宋_GB2312" w:hAnsi="Calibri" w:hint="eastAsia"/>
          <w:sz w:val="30"/>
          <w:szCs w:val="30"/>
        </w:rPr>
        <w:t>1年末集团总资产8.4万亿元，较年初增长6.1%。</w:t>
      </w:r>
    </w:p>
    <w:p w:rsidR="00092652" w:rsidRDefault="0039522B">
      <w:pPr>
        <w:autoSpaceDE w:val="0"/>
        <w:autoSpaceDN w:val="0"/>
        <w:adjustRightInd w:val="0"/>
        <w:spacing w:line="520" w:lineRule="exact"/>
        <w:ind w:firstLineChars="200" w:firstLine="600"/>
        <w:jc w:val="left"/>
        <w:rPr>
          <w:rFonts w:ascii="仿宋_GB2312" w:eastAsia="仿宋_GB2312" w:hAnsi="Calibri"/>
          <w:sz w:val="30"/>
          <w:szCs w:val="30"/>
        </w:rPr>
      </w:pPr>
      <w:r>
        <w:rPr>
          <w:rFonts w:ascii="仿宋_GB2312" w:eastAsia="仿宋_GB2312" w:hAnsi="Calibri" w:hint="eastAsia"/>
          <w:sz w:val="30"/>
          <w:szCs w:val="30"/>
        </w:rPr>
        <w:t>2、营业收入与非息净收入持续保持增长。</w:t>
      </w:r>
    </w:p>
    <w:p w:rsidR="00092652" w:rsidRDefault="0039522B">
      <w:pPr>
        <w:spacing w:line="520" w:lineRule="exact"/>
        <w:ind w:firstLineChars="200" w:firstLine="600"/>
        <w:jc w:val="left"/>
        <w:rPr>
          <w:rFonts w:ascii="仿宋_GB2312" w:eastAsia="仿宋_GB2312" w:hAnsi="Calibri"/>
          <w:sz w:val="30"/>
          <w:szCs w:val="30"/>
        </w:rPr>
      </w:pPr>
      <w:r>
        <w:rPr>
          <w:rFonts w:ascii="仿宋_GB2312" w:eastAsia="仿宋_GB2312" w:hAnsi="Calibri" w:hint="eastAsia"/>
          <w:sz w:val="30"/>
          <w:szCs w:val="30"/>
        </w:rPr>
        <w:t>3、资产质量继续保持同类型银行较好水平，年末拨备覆盖</w:t>
      </w:r>
      <w:r>
        <w:rPr>
          <w:rFonts w:ascii="仿宋_GB2312" w:eastAsia="仿宋_GB2312" w:hAnsi="Calibri" w:hint="eastAsia"/>
          <w:sz w:val="30"/>
          <w:szCs w:val="30"/>
        </w:rPr>
        <w:lastRenderedPageBreak/>
        <w:t>率充足。</w:t>
      </w:r>
    </w:p>
    <w:p w:rsidR="00092652" w:rsidRDefault="0039522B">
      <w:pPr>
        <w:spacing w:line="520" w:lineRule="exact"/>
        <w:ind w:firstLineChars="200" w:firstLine="600"/>
        <w:jc w:val="left"/>
        <w:rPr>
          <w:rFonts w:ascii="仿宋_GB2312" w:eastAsia="仿宋_GB2312" w:hAnsi="Calibri"/>
          <w:sz w:val="30"/>
          <w:szCs w:val="30"/>
        </w:rPr>
      </w:pPr>
      <w:r>
        <w:rPr>
          <w:rFonts w:ascii="仿宋_GB2312" w:eastAsia="仿宋_GB2312" w:hAnsi="Calibri" w:hint="eastAsia"/>
          <w:sz w:val="30"/>
          <w:szCs w:val="30"/>
        </w:rPr>
        <w:t>4、</w:t>
      </w:r>
      <w:r>
        <w:rPr>
          <w:rFonts w:ascii="仿宋_GB2312" w:eastAsia="仿宋_GB2312" w:hAnsi="Calibri"/>
          <w:sz w:val="30"/>
          <w:szCs w:val="30"/>
        </w:rPr>
        <w:t>202</w:t>
      </w:r>
      <w:r>
        <w:rPr>
          <w:rFonts w:ascii="仿宋_GB2312" w:eastAsia="仿宋_GB2312" w:hAnsi="Calibri" w:hint="eastAsia"/>
          <w:sz w:val="30"/>
          <w:szCs w:val="30"/>
        </w:rPr>
        <w:t>1年计划集团实现归属于母公司的净利润同比增长5.0%。</w:t>
      </w:r>
    </w:p>
    <w:p w:rsidR="00092652" w:rsidRDefault="0039522B">
      <w:pPr>
        <w:widowControl/>
        <w:spacing w:line="520" w:lineRule="exact"/>
        <w:ind w:firstLineChars="189" w:firstLine="567"/>
        <w:jc w:val="left"/>
        <w:rPr>
          <w:rFonts w:ascii="仿宋_GB2312" w:eastAsia="仿宋_GB2312"/>
          <w:sz w:val="30"/>
          <w:szCs w:val="30"/>
        </w:rPr>
      </w:pPr>
      <w:r>
        <w:rPr>
          <w:rFonts w:ascii="仿宋_GB2312" w:eastAsia="仿宋_GB2312" w:hAnsi="Calibri" w:hint="eastAsia"/>
          <w:sz w:val="30"/>
          <w:szCs w:val="30"/>
        </w:rPr>
        <w:t>专此报告，请审议。</w:t>
      </w:r>
    </w:p>
    <w:p w:rsidR="00092652" w:rsidRDefault="0039522B" w:rsidP="008C186B">
      <w:pPr>
        <w:widowControl/>
        <w:ind w:firstLineChars="189" w:firstLine="605"/>
        <w:jc w:val="left"/>
        <w:rPr>
          <w:rFonts w:ascii="黑体" w:eastAsia="黑体"/>
          <w:sz w:val="32"/>
          <w:szCs w:val="32"/>
        </w:rPr>
      </w:pPr>
      <w:r>
        <w:rPr>
          <w:rFonts w:ascii="黑体" w:eastAsia="黑体"/>
          <w:sz w:val="32"/>
          <w:szCs w:val="32"/>
        </w:rPr>
        <w:br w:type="page"/>
      </w:r>
    </w:p>
    <w:p w:rsidR="00092652" w:rsidRDefault="00C4392E">
      <w:pPr>
        <w:tabs>
          <w:tab w:val="left" w:pos="416"/>
          <w:tab w:val="left" w:pos="1086"/>
          <w:tab w:val="center" w:pos="4156"/>
        </w:tabs>
        <w:spacing w:line="500" w:lineRule="exact"/>
        <w:ind w:firstLineChars="200" w:firstLine="640"/>
      </w:pPr>
      <w:r>
        <w:rPr>
          <w:rFonts w:ascii="黑体" w:eastAsia="黑体"/>
          <w:noProof/>
          <w:sz w:val="32"/>
          <w:szCs w:val="32"/>
        </w:rPr>
        <w:lastRenderedPageBreak/>
        <mc:AlternateContent>
          <mc:Choice Requires="wps">
            <w:drawing>
              <wp:anchor distT="0" distB="0" distL="114300" distR="114300" simplePos="0" relativeHeight="251664384" behindDoc="0" locked="0" layoutInCell="1" allowOverlap="1" wp14:anchorId="7B42C8B6" wp14:editId="4C1AD8F7">
                <wp:simplePos x="0" y="0"/>
                <wp:positionH relativeFrom="column">
                  <wp:posOffset>-15875</wp:posOffset>
                </wp:positionH>
                <wp:positionV relativeFrom="paragraph">
                  <wp:posOffset>0</wp:posOffset>
                </wp:positionV>
                <wp:extent cx="1426210" cy="594360"/>
                <wp:effectExtent l="0" t="0" r="3175" b="0"/>
                <wp:wrapSquare wrapText="bothSides"/>
                <wp:docPr id="19" name="文本框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621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15BAA" w:rsidRDefault="00115BAA">
                            <w:pPr>
                              <w:spacing w:line="400" w:lineRule="exact"/>
                              <w:jc w:val="center"/>
                              <w:rPr>
                                <w:rFonts w:ascii="宋体"/>
                                <w:color w:val="000000"/>
                                <w:szCs w:val="21"/>
                              </w:rPr>
                            </w:pPr>
                            <w:r>
                              <w:rPr>
                                <w:rFonts w:ascii="宋体" w:hint="eastAsia"/>
                                <w:color w:val="000000"/>
                                <w:szCs w:val="21"/>
                              </w:rPr>
                              <w:t>2020年年度股东大会</w:t>
                            </w:r>
                          </w:p>
                          <w:p w:rsidR="00115BAA" w:rsidRDefault="00115BAA">
                            <w:pPr>
                              <w:spacing w:line="400" w:lineRule="exact"/>
                              <w:jc w:val="center"/>
                              <w:rPr>
                                <w:rFonts w:ascii="宋体"/>
                                <w:color w:val="000000"/>
                                <w:szCs w:val="21"/>
                              </w:rPr>
                            </w:pPr>
                            <w:r>
                              <w:rPr>
                                <w:rFonts w:ascii="宋体" w:hint="eastAsia"/>
                                <w:color w:val="000000"/>
                                <w:szCs w:val="21"/>
                              </w:rPr>
                              <w:t>文件五　审议议案</w:t>
                            </w:r>
                          </w:p>
                          <w:p w:rsidR="00115BAA" w:rsidRDefault="00115BAA">
                            <w:pPr>
                              <w:rPr>
                                <w:szCs w:val="21"/>
                              </w:rPr>
                            </w:pPr>
                          </w:p>
                        </w:txbxContent>
                      </wps:txbx>
                      <wps:bodyPr wrap="none"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_x0000_s1031" type="#_x0000_t202" style="position:absolute;left:0;text-align:left;margin-left:-1.25pt;margin-top:0;width:112.3pt;height:46.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">
                <v:path arrowok="t"/>
                <v:textbox>
                  <w:txbxContent>
                    <w:p w:rsidR="00115BAA" w:rsidRDefault="00115BAA">
                      <w:pPr>
                        <w:spacing w:line="400" w:lineRule="exact"/>
                        <w:jc w:val="center"/>
                        <w:rPr>
                          <w:rFonts w:ascii="宋体"/>
                          <w:color w:val="000000"/>
                          <w:szCs w:val="21"/>
                        </w:rPr>
                      </w:pPr>
                      <w:r>
                        <w:rPr>
                          <w:rFonts w:ascii="宋体" w:hint="eastAsia"/>
                          <w:color w:val="000000"/>
                          <w:szCs w:val="21"/>
                        </w:rPr>
                        <w:t>2020年年度股东大会</w:t>
                      </w:r>
                    </w:p>
                    <w:p w:rsidR="00115BAA" w:rsidRDefault="00115BAA">
                      <w:pPr>
                        <w:spacing w:line="400" w:lineRule="exact"/>
                        <w:jc w:val="center"/>
                        <w:rPr>
                          <w:rFonts w:ascii="宋体"/>
                          <w:color w:val="000000"/>
                          <w:szCs w:val="21"/>
                        </w:rPr>
                      </w:pPr>
                      <w:r>
                        <w:rPr>
                          <w:rFonts w:ascii="宋体" w:hint="eastAsia"/>
                          <w:color w:val="000000"/>
                          <w:szCs w:val="21"/>
                        </w:rPr>
                        <w:t>文件五　审议议案</w:t>
                      </w:r>
                    </w:p>
                    <w:p w:rsidR="00115BAA" w:rsidRDefault="00115BAA">
                      <w:pPr>
                        <w:rPr>
                          <w:szCs w:val="21"/>
                        </w:rPr>
                      </w:pPr>
                    </w:p>
                  </w:txbxContent>
                </v:textbox>
                <w10:wrap type="square"/>
              </v:shape>
            </w:pict>
          </mc:Fallback>
        </mc:AlternateContent>
      </w:r>
    </w:p>
    <w:p w:rsidR="00092652" w:rsidRDefault="00092652">
      <w:pPr>
        <w:widowControl/>
        <w:spacing w:line="560" w:lineRule="exact"/>
        <w:jc w:val="center"/>
        <w:rPr>
          <w:rFonts w:ascii="黑体" w:eastAsia="黑体"/>
          <w:sz w:val="32"/>
          <w:szCs w:val="32"/>
        </w:rPr>
      </w:pPr>
    </w:p>
    <w:p w:rsidR="00092652" w:rsidRDefault="0039522B">
      <w:pPr>
        <w:widowControl/>
        <w:spacing w:line="520" w:lineRule="exact"/>
        <w:jc w:val="center"/>
        <w:rPr>
          <w:rFonts w:ascii="黑体" w:eastAsia="黑体"/>
          <w:sz w:val="32"/>
          <w:szCs w:val="32"/>
        </w:rPr>
      </w:pPr>
      <w:r>
        <w:rPr>
          <w:rFonts w:ascii="黑体" w:eastAsia="黑体" w:hint="eastAsia"/>
          <w:sz w:val="32"/>
          <w:szCs w:val="32"/>
        </w:rPr>
        <w:t>兴业银行股份有限公司</w:t>
      </w:r>
    </w:p>
    <w:p w:rsidR="00092652" w:rsidRDefault="0039522B">
      <w:pPr>
        <w:pStyle w:val="1"/>
        <w:spacing w:before="0" w:after="0" w:line="520" w:lineRule="exact"/>
        <w:rPr>
          <w:szCs w:val="32"/>
        </w:rPr>
      </w:pPr>
      <w:bookmarkStart w:id="7" w:name="_Toc72437651"/>
      <w:r>
        <w:rPr>
          <w:rFonts w:hint="eastAsia"/>
          <w:szCs w:val="32"/>
        </w:rPr>
        <w:t>2020年度利润分配预案</w:t>
      </w:r>
      <w:bookmarkEnd w:id="7"/>
    </w:p>
    <w:p w:rsidR="00092652" w:rsidRDefault="0039522B">
      <w:pPr>
        <w:overflowPunct w:val="0"/>
        <w:snapToGrid w:val="0"/>
        <w:spacing w:line="520" w:lineRule="exact"/>
        <w:jc w:val="center"/>
        <w:rPr>
          <w:rFonts w:ascii="仿宋_GB2312" w:eastAsia="仿宋_GB2312"/>
          <w:sz w:val="30"/>
          <w:szCs w:val="28"/>
        </w:rPr>
      </w:pPr>
      <w:r>
        <w:rPr>
          <w:rFonts w:ascii="仿宋_GB2312" w:eastAsia="仿宋_GB2312" w:hint="eastAsia"/>
          <w:sz w:val="30"/>
          <w:szCs w:val="28"/>
        </w:rPr>
        <w:t>报告人：赖富荣</w:t>
      </w:r>
    </w:p>
    <w:p w:rsidR="00092652" w:rsidRDefault="00092652">
      <w:pPr>
        <w:overflowPunct w:val="0"/>
        <w:snapToGrid w:val="0"/>
        <w:spacing w:line="520" w:lineRule="exact"/>
        <w:jc w:val="center"/>
        <w:rPr>
          <w:rFonts w:ascii="仿宋_GB2312" w:eastAsia="仿宋_GB2312"/>
          <w:sz w:val="30"/>
          <w:szCs w:val="28"/>
        </w:rPr>
      </w:pPr>
    </w:p>
    <w:p w:rsidR="00092652" w:rsidRDefault="0039522B">
      <w:pPr>
        <w:overflowPunct w:val="0"/>
        <w:snapToGrid w:val="0"/>
        <w:spacing w:line="500" w:lineRule="exact"/>
        <w:rPr>
          <w:rFonts w:ascii="仿宋_GB2312" w:eastAsia="仿宋_GB2312"/>
          <w:sz w:val="30"/>
          <w:szCs w:val="28"/>
        </w:rPr>
      </w:pPr>
      <w:r>
        <w:rPr>
          <w:rFonts w:ascii="仿宋_GB2312" w:eastAsia="仿宋_GB2312" w:hint="eastAsia"/>
          <w:sz w:val="30"/>
          <w:szCs w:val="28"/>
        </w:rPr>
        <w:t>各位股东：</w:t>
      </w:r>
    </w:p>
    <w:p w:rsidR="00092652" w:rsidRDefault="0039522B">
      <w:pPr>
        <w:spacing w:line="520" w:lineRule="exact"/>
        <w:ind w:firstLineChars="200" w:firstLine="600"/>
        <w:rPr>
          <w:rFonts w:ascii="仿宋_GB2312" w:eastAsia="仿宋_GB2312"/>
          <w:color w:val="000000"/>
          <w:sz w:val="30"/>
          <w:szCs w:val="30"/>
        </w:rPr>
      </w:pPr>
      <w:r>
        <w:rPr>
          <w:rFonts w:ascii="仿宋_GB2312" w:eastAsia="仿宋_GB2312" w:cs="仿宋_GB2312" w:hint="eastAsia"/>
          <w:kern w:val="0"/>
          <w:sz w:val="30"/>
          <w:szCs w:val="30"/>
        </w:rPr>
        <w:t>2020年法人银行净利润608.56亿元，</w:t>
      </w:r>
      <w:r>
        <w:rPr>
          <w:rFonts w:ascii="仿宋_GB2312" w:eastAsia="仿宋_GB2312" w:hint="eastAsia"/>
          <w:color w:val="000000"/>
          <w:sz w:val="30"/>
          <w:szCs w:val="30"/>
        </w:rPr>
        <w:t>建议2020年度利润分配方案如下：</w:t>
      </w:r>
    </w:p>
    <w:p w:rsidR="00092652" w:rsidRDefault="0039522B">
      <w:pPr>
        <w:spacing w:line="5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一、提取法定盈余公积。2020年末我行法定盈余公积已达注册资本的百分之五十，按照公司法规定不再提取。</w:t>
      </w:r>
    </w:p>
    <w:p w:rsidR="00092652" w:rsidRDefault="0039522B">
      <w:pPr>
        <w:tabs>
          <w:tab w:val="left" w:pos="3686"/>
        </w:tabs>
        <w:spacing w:line="5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根据《中华人民共和国公司法》规定，“第一百六十六条　公司分配当年税后利润时，应当提取利润的百分之十列入公司法定公积金。公司法定公积金累计额为公司注册资本的百分之五十以上的，可以不再提取。”2020年末，我行法定盈余公积余额已经达到注册资本的百分之五十，不再提取。</w:t>
      </w:r>
    </w:p>
    <w:p w:rsidR="00092652" w:rsidRDefault="0039522B">
      <w:pPr>
        <w:autoSpaceDE w:val="0"/>
        <w:autoSpaceDN w:val="0"/>
        <w:adjustRightInd w:val="0"/>
        <w:spacing w:line="5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二、提取一般准备。2020年末提取一般准备85.53</w:t>
      </w:r>
      <w:r>
        <w:rPr>
          <w:rFonts w:ascii="仿宋_GB2312" w:eastAsia="仿宋_GB2312" w:cs="仿宋_GB2312" w:hint="eastAsia"/>
          <w:color w:val="000000"/>
          <w:kern w:val="0"/>
          <w:sz w:val="30"/>
          <w:szCs w:val="30"/>
        </w:rPr>
        <w:t>亿</w:t>
      </w:r>
      <w:r>
        <w:rPr>
          <w:rFonts w:ascii="仿宋_GB2312" w:eastAsia="仿宋_GB2312" w:hint="eastAsia"/>
          <w:color w:val="000000"/>
          <w:sz w:val="30"/>
          <w:szCs w:val="30"/>
        </w:rPr>
        <w:t>元。</w:t>
      </w:r>
    </w:p>
    <w:p w:rsidR="00092652" w:rsidRDefault="0039522B">
      <w:pPr>
        <w:autoSpaceDE w:val="0"/>
        <w:autoSpaceDN w:val="0"/>
        <w:adjustRightInd w:val="0"/>
        <w:spacing w:line="520" w:lineRule="exact"/>
        <w:ind w:firstLineChars="200" w:firstLine="600"/>
        <w:rPr>
          <w:rFonts w:ascii="仿宋_GB2312" w:eastAsia="仿宋_GB2312" w:cs="仿宋_GB2312"/>
          <w:kern w:val="0"/>
          <w:sz w:val="30"/>
          <w:szCs w:val="30"/>
        </w:rPr>
      </w:pPr>
      <w:r>
        <w:rPr>
          <w:rFonts w:ascii="仿宋_GB2312" w:eastAsia="仿宋_GB2312" w:cs="仿宋_GB2312" w:hint="eastAsia"/>
          <w:kern w:val="0"/>
          <w:sz w:val="30"/>
          <w:szCs w:val="30"/>
        </w:rPr>
        <w:t>根据财政部《金融企业准备金计提管理办法》（财金 [2012] 20号）的规定，金融企业应当于每年年度终了对承担风险和损失的资产计提一般准备，一般准备余额原则上不得低于风险资产期末余额的1.5%。</w:t>
      </w:r>
    </w:p>
    <w:p w:rsidR="00092652" w:rsidRDefault="0039522B">
      <w:pPr>
        <w:autoSpaceDE w:val="0"/>
        <w:autoSpaceDN w:val="0"/>
        <w:adjustRightInd w:val="0"/>
        <w:spacing w:line="520" w:lineRule="exact"/>
        <w:ind w:firstLineChars="200" w:firstLine="600"/>
        <w:rPr>
          <w:rFonts w:ascii="仿宋_GB2312" w:eastAsia="仿宋_GB2312" w:cs="仿宋_GB2312"/>
          <w:kern w:val="0"/>
          <w:sz w:val="30"/>
          <w:szCs w:val="30"/>
        </w:rPr>
      </w:pPr>
      <w:r>
        <w:rPr>
          <w:rFonts w:ascii="仿宋_GB2312" w:eastAsia="仿宋_GB2312" w:cs="仿宋_GB2312" w:hint="eastAsia"/>
          <w:kern w:val="0"/>
          <w:sz w:val="30"/>
          <w:szCs w:val="30"/>
        </w:rPr>
        <w:t>2020年末</w:t>
      </w:r>
      <w:r>
        <w:rPr>
          <w:rFonts w:ascii="仿宋_GB2312" w:eastAsia="仿宋_GB2312" w:hint="eastAsia"/>
          <w:color w:val="000000"/>
          <w:sz w:val="30"/>
          <w:szCs w:val="30"/>
        </w:rPr>
        <w:t>本行</w:t>
      </w:r>
      <w:r>
        <w:rPr>
          <w:rFonts w:ascii="仿宋_GB2312" w:eastAsia="仿宋_GB2312" w:cs="仿宋_GB2312" w:hint="eastAsia"/>
          <w:kern w:val="0"/>
          <w:sz w:val="30"/>
          <w:szCs w:val="30"/>
        </w:rPr>
        <w:t>风险资产余额为5,558,780,124,403.04元，应提一般准备83,381,701,866.05元，截止2019年末已计提一般准备余额74,828,836,170.00元，本年应计提8,552,865,696.05元。</w:t>
      </w:r>
    </w:p>
    <w:p w:rsidR="00092652" w:rsidRDefault="0039522B">
      <w:pPr>
        <w:autoSpaceDE w:val="0"/>
        <w:autoSpaceDN w:val="0"/>
        <w:adjustRightInd w:val="0"/>
        <w:spacing w:line="520" w:lineRule="exact"/>
        <w:ind w:firstLineChars="200" w:firstLine="600"/>
        <w:rPr>
          <w:rFonts w:ascii="仿宋_GB2312" w:eastAsia="仿宋_GB2312"/>
          <w:color w:val="FF0000"/>
          <w:sz w:val="30"/>
          <w:szCs w:val="30"/>
          <w:u w:val="single"/>
        </w:rPr>
      </w:pPr>
      <w:r>
        <w:rPr>
          <w:rFonts w:ascii="仿宋_GB2312" w:eastAsia="仿宋_GB2312" w:hint="eastAsia"/>
          <w:color w:val="000000"/>
          <w:sz w:val="30"/>
          <w:szCs w:val="30"/>
        </w:rPr>
        <w:t>三、</w:t>
      </w:r>
      <w:r>
        <w:rPr>
          <w:rFonts w:ascii="仿宋_GB2312" w:eastAsia="仿宋_GB2312" w:hint="eastAsia"/>
          <w:sz w:val="30"/>
          <w:szCs w:val="30"/>
        </w:rPr>
        <w:t>支付优先股股息28.41</w:t>
      </w:r>
      <w:r>
        <w:rPr>
          <w:rFonts w:ascii="仿宋_GB2312" w:eastAsia="仿宋_GB2312" w:cs="仿宋_GB2312" w:hint="eastAsia"/>
          <w:color w:val="000000"/>
          <w:kern w:val="0"/>
          <w:sz w:val="30"/>
          <w:szCs w:val="30"/>
        </w:rPr>
        <w:t>亿</w:t>
      </w:r>
      <w:r>
        <w:rPr>
          <w:rFonts w:ascii="仿宋_GB2312" w:eastAsia="仿宋_GB2312" w:hint="eastAsia"/>
          <w:color w:val="000000"/>
          <w:sz w:val="30"/>
          <w:szCs w:val="30"/>
        </w:rPr>
        <w:t>元。</w:t>
      </w:r>
    </w:p>
    <w:p w:rsidR="00092652" w:rsidRDefault="0039522B">
      <w:pPr>
        <w:autoSpaceDE w:val="0"/>
        <w:autoSpaceDN w:val="0"/>
        <w:adjustRightInd w:val="0"/>
        <w:spacing w:line="520" w:lineRule="exact"/>
        <w:ind w:firstLineChars="200" w:firstLine="600"/>
        <w:rPr>
          <w:rFonts w:ascii="仿宋_GB2312" w:eastAsia="仿宋_GB2312"/>
          <w:sz w:val="30"/>
          <w:szCs w:val="30"/>
        </w:rPr>
      </w:pPr>
      <w:r>
        <w:rPr>
          <w:rFonts w:ascii="仿宋_GB2312" w:eastAsia="仿宋_GB2312" w:hint="eastAsia"/>
          <w:color w:val="000000"/>
          <w:sz w:val="30"/>
          <w:szCs w:val="30"/>
        </w:rPr>
        <w:t>本行</w:t>
      </w:r>
      <w:r>
        <w:rPr>
          <w:rFonts w:ascii="仿宋_GB2312" w:eastAsia="仿宋_GB2312" w:hint="eastAsia"/>
          <w:sz w:val="30"/>
          <w:szCs w:val="30"/>
        </w:rPr>
        <w:t>以非公开方式</w:t>
      </w:r>
      <w:r>
        <w:rPr>
          <w:rFonts w:ascii="仿宋_GB2312" w:eastAsia="仿宋_GB2312" w:hint="eastAsia"/>
          <w:color w:val="000000"/>
          <w:sz w:val="30"/>
          <w:szCs w:val="30"/>
        </w:rPr>
        <w:t>发行三期</w:t>
      </w:r>
      <w:r>
        <w:rPr>
          <w:rFonts w:ascii="仿宋_GB2312" w:eastAsia="仿宋_GB2312" w:hint="eastAsia"/>
          <w:sz w:val="30"/>
          <w:szCs w:val="30"/>
        </w:rPr>
        <w:t>优先股，合计560亿元，2020年</w:t>
      </w:r>
      <w:r>
        <w:rPr>
          <w:rFonts w:ascii="仿宋_GB2312" w:eastAsia="仿宋_GB2312" w:hint="eastAsia"/>
          <w:sz w:val="30"/>
          <w:szCs w:val="30"/>
        </w:rPr>
        <w:lastRenderedPageBreak/>
        <w:t>度应付优先股股息2,841,262,021.86</w:t>
      </w:r>
      <w:r>
        <w:rPr>
          <w:rFonts w:ascii="仿宋_GB2312" w:eastAsia="仿宋_GB2312" w:hint="eastAsia"/>
          <w:color w:val="000000"/>
          <w:sz w:val="30"/>
          <w:szCs w:val="30"/>
        </w:rPr>
        <w:t>元</w:t>
      </w:r>
      <w:r>
        <w:rPr>
          <w:rFonts w:ascii="仿宋_GB2312" w:eastAsia="仿宋_GB2312" w:hint="eastAsia"/>
          <w:sz w:val="30"/>
          <w:szCs w:val="30"/>
        </w:rPr>
        <w:t>。</w:t>
      </w:r>
    </w:p>
    <w:p w:rsidR="00092652" w:rsidRDefault="0039522B">
      <w:pPr>
        <w:autoSpaceDE w:val="0"/>
        <w:autoSpaceDN w:val="0"/>
        <w:adjustRightInd w:val="0"/>
        <w:spacing w:line="520" w:lineRule="exact"/>
        <w:ind w:firstLineChars="200" w:firstLine="600"/>
        <w:rPr>
          <w:rFonts w:ascii="仿宋_GB2312" w:eastAsia="仿宋_GB2312"/>
          <w:color w:val="FF0000"/>
          <w:sz w:val="30"/>
          <w:szCs w:val="30"/>
          <w:u w:val="single"/>
        </w:rPr>
      </w:pPr>
      <w:r>
        <w:rPr>
          <w:rFonts w:ascii="仿宋_GB2312" w:eastAsia="仿宋_GB2312" w:hint="eastAsia"/>
          <w:color w:val="000000"/>
          <w:sz w:val="30"/>
          <w:szCs w:val="30"/>
        </w:rPr>
        <w:t>四、分配普通股股利，</w:t>
      </w:r>
      <w:r>
        <w:rPr>
          <w:rFonts w:ascii="仿宋_GB2312" w:eastAsia="仿宋_GB2312" w:cs="仿宋_GB2312" w:hint="eastAsia"/>
          <w:kern w:val="0"/>
          <w:sz w:val="30"/>
          <w:szCs w:val="30"/>
        </w:rPr>
        <w:t>拟</w:t>
      </w:r>
      <w:r>
        <w:rPr>
          <w:rFonts w:ascii="仿宋_GB2312" w:eastAsia="仿宋_GB2312" w:hint="eastAsia"/>
          <w:color w:val="000000"/>
          <w:sz w:val="30"/>
          <w:szCs w:val="30"/>
        </w:rPr>
        <w:t>派发现金股利166.61</w:t>
      </w:r>
      <w:r>
        <w:rPr>
          <w:rFonts w:ascii="仿宋_GB2312" w:eastAsia="仿宋_GB2312" w:cs="仿宋_GB2312" w:hint="eastAsia"/>
          <w:color w:val="000000"/>
          <w:kern w:val="0"/>
          <w:sz w:val="30"/>
          <w:szCs w:val="30"/>
        </w:rPr>
        <w:t>亿</w:t>
      </w:r>
      <w:r>
        <w:rPr>
          <w:rFonts w:ascii="仿宋_GB2312" w:eastAsia="仿宋_GB2312" w:hint="eastAsia"/>
          <w:color w:val="000000"/>
          <w:sz w:val="30"/>
          <w:szCs w:val="30"/>
        </w:rPr>
        <w:t>元。</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根据公司章程对利润分配的有关规定，综合考虑监管机构对资本充足率的要求以及本行业务可持续发展等因素，拟以普通股总股本20,774,190,751股为基数，</w:t>
      </w:r>
      <w:r>
        <w:rPr>
          <w:rFonts w:ascii="仿宋_GB2312" w:eastAsia="仿宋_GB2312" w:cs="仿宋_GB2312" w:hint="eastAsia"/>
          <w:kern w:val="0"/>
          <w:sz w:val="30"/>
          <w:szCs w:val="30"/>
        </w:rPr>
        <w:t>每10股派发现金股利8.02元（含税），共分配现金红利</w:t>
      </w:r>
      <w:r>
        <w:rPr>
          <w:rFonts w:ascii="仿宋_GB2312" w:eastAsia="仿宋_GB2312" w:hint="eastAsia"/>
          <w:color w:val="000000"/>
          <w:sz w:val="30"/>
          <w:szCs w:val="30"/>
        </w:rPr>
        <w:t>16,660,900,982.30</w:t>
      </w:r>
      <w:r>
        <w:rPr>
          <w:rFonts w:ascii="仿宋_GB2312" w:eastAsia="仿宋_GB2312" w:cs="仿宋_GB2312" w:hint="eastAsia"/>
          <w:kern w:val="0"/>
          <w:sz w:val="30"/>
          <w:szCs w:val="30"/>
        </w:rPr>
        <w:t>元</w:t>
      </w:r>
      <w:r>
        <w:rPr>
          <w:rFonts w:ascii="仿宋_GB2312" w:eastAsia="仿宋_GB2312" w:hint="eastAsia"/>
          <w:sz w:val="30"/>
          <w:szCs w:val="30"/>
        </w:rPr>
        <w:t xml:space="preserve">。          </w:t>
      </w:r>
    </w:p>
    <w:p w:rsidR="00092652" w:rsidRDefault="0039522B">
      <w:pPr>
        <w:autoSpaceDE w:val="0"/>
        <w:autoSpaceDN w:val="0"/>
        <w:adjustRightInd w:val="0"/>
        <w:spacing w:line="520" w:lineRule="exact"/>
        <w:ind w:firstLineChars="200" w:firstLine="600"/>
        <w:rPr>
          <w:rFonts w:ascii="仿宋_GB2312" w:eastAsia="仿宋_GB2312"/>
          <w:sz w:val="30"/>
          <w:szCs w:val="30"/>
        </w:rPr>
      </w:pPr>
      <w:r>
        <w:rPr>
          <w:rFonts w:ascii="仿宋_GB2312" w:eastAsia="仿宋_GB2312" w:hint="eastAsia"/>
          <w:sz w:val="30"/>
          <w:szCs w:val="30"/>
        </w:rPr>
        <w:t>上述分配方案执行后，余下未分配利润结转下年度。</w:t>
      </w:r>
    </w:p>
    <w:p w:rsidR="00092652" w:rsidRDefault="0039522B">
      <w:pPr>
        <w:spacing w:line="520" w:lineRule="exact"/>
        <w:ind w:firstLineChars="200" w:firstLine="600"/>
        <w:rPr>
          <w:rFonts w:ascii="仿宋_GB2312" w:eastAsia="仿宋_GB2312" w:hAnsi="仿宋" w:cs="Courier New"/>
          <w:sz w:val="30"/>
          <w:szCs w:val="30"/>
        </w:rPr>
      </w:pPr>
      <w:r>
        <w:rPr>
          <w:rFonts w:ascii="仿宋_GB2312" w:eastAsia="仿宋_GB2312" w:hint="eastAsia"/>
          <w:sz w:val="30"/>
          <w:szCs w:val="30"/>
        </w:rPr>
        <w:t>专此报告，请予审议。</w:t>
      </w:r>
    </w:p>
    <w:p w:rsidR="00092652" w:rsidRDefault="00092652">
      <w:pPr>
        <w:widowControl/>
        <w:spacing w:line="520" w:lineRule="exact"/>
        <w:jc w:val="left"/>
        <w:rPr>
          <w:rFonts w:eastAsia="仿宋_GB2312"/>
          <w:sz w:val="30"/>
          <w:szCs w:val="30"/>
        </w:rPr>
      </w:pPr>
    </w:p>
    <w:p w:rsidR="00092652" w:rsidRDefault="0039522B">
      <w:pPr>
        <w:widowControl/>
        <w:jc w:val="left"/>
        <w:rPr>
          <w:rFonts w:ascii="黑体" w:eastAsia="黑体"/>
          <w:sz w:val="32"/>
          <w:szCs w:val="32"/>
        </w:rPr>
      </w:pPr>
      <w:r>
        <w:rPr>
          <w:rFonts w:ascii="黑体" w:eastAsia="黑体"/>
          <w:sz w:val="32"/>
          <w:szCs w:val="32"/>
        </w:rPr>
        <w:br w:type="page"/>
      </w:r>
    </w:p>
    <w:p w:rsidR="00092652" w:rsidRDefault="00C4392E">
      <w:pPr>
        <w:tabs>
          <w:tab w:val="left" w:pos="416"/>
          <w:tab w:val="left" w:pos="1086"/>
          <w:tab w:val="center" w:pos="4156"/>
        </w:tabs>
        <w:spacing w:line="500" w:lineRule="exact"/>
        <w:ind w:firstLineChars="200" w:firstLine="640"/>
      </w:pPr>
      <w:r>
        <w:rPr>
          <w:rFonts w:ascii="黑体" w:eastAsia="黑体"/>
          <w:noProof/>
          <w:sz w:val="32"/>
          <w:szCs w:val="32"/>
        </w:rPr>
        <w:lastRenderedPageBreak/>
        <mc:AlternateContent>
          <mc:Choice Requires="wps">
            <w:drawing>
              <wp:anchor distT="0" distB="0" distL="114300" distR="114300" simplePos="0" relativeHeight="251665408" behindDoc="0" locked="0" layoutInCell="1" allowOverlap="1" wp14:anchorId="3D025652" wp14:editId="1DB6526C">
                <wp:simplePos x="0" y="0"/>
                <wp:positionH relativeFrom="column">
                  <wp:posOffset>-15875</wp:posOffset>
                </wp:positionH>
                <wp:positionV relativeFrom="paragraph">
                  <wp:posOffset>0</wp:posOffset>
                </wp:positionV>
                <wp:extent cx="1426210" cy="594360"/>
                <wp:effectExtent l="0" t="0" r="3175" b="0"/>
                <wp:wrapSquare wrapText="bothSides"/>
                <wp:docPr id="18" name="文本框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621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15BAA" w:rsidRDefault="00115BAA">
                            <w:pPr>
                              <w:spacing w:line="400" w:lineRule="exact"/>
                              <w:jc w:val="center"/>
                              <w:rPr>
                                <w:rFonts w:ascii="宋体"/>
                                <w:color w:val="000000"/>
                                <w:szCs w:val="21"/>
                              </w:rPr>
                            </w:pPr>
                            <w:r>
                              <w:rPr>
                                <w:rFonts w:ascii="宋体" w:hint="eastAsia"/>
                                <w:color w:val="000000"/>
                                <w:szCs w:val="21"/>
                              </w:rPr>
                              <w:t>2020年年度股东大会</w:t>
                            </w:r>
                          </w:p>
                          <w:p w:rsidR="00115BAA" w:rsidRDefault="00115BAA">
                            <w:pPr>
                              <w:spacing w:line="400" w:lineRule="exact"/>
                              <w:jc w:val="center"/>
                              <w:rPr>
                                <w:rFonts w:ascii="宋体"/>
                                <w:color w:val="000000"/>
                                <w:szCs w:val="21"/>
                              </w:rPr>
                            </w:pPr>
                            <w:r>
                              <w:rPr>
                                <w:rFonts w:ascii="宋体" w:hint="eastAsia"/>
                                <w:color w:val="000000"/>
                                <w:szCs w:val="21"/>
                              </w:rPr>
                              <w:t>文件六　审议议案</w:t>
                            </w:r>
                          </w:p>
                          <w:p w:rsidR="00115BAA" w:rsidRDefault="00115BAA">
                            <w:pPr>
                              <w:rPr>
                                <w:szCs w:val="21"/>
                              </w:rPr>
                            </w:pPr>
                          </w:p>
                        </w:txbxContent>
                      </wps:txbx>
                      <wps:bodyPr wrap="none"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_x0000_s1032" type="#_x0000_t202" style="position:absolute;left:0;text-align:left;margin-left:-1.25pt;margin-top:0;width:112.3pt;height:46.8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">
                <v:path arrowok="t"/>
                <v:textbox>
                  <w:txbxContent>
                    <w:p w:rsidR="00115BAA" w:rsidRDefault="00115BAA">
                      <w:pPr>
                        <w:spacing w:line="400" w:lineRule="exact"/>
                        <w:jc w:val="center"/>
                        <w:rPr>
                          <w:rFonts w:ascii="宋体"/>
                          <w:color w:val="000000"/>
                          <w:szCs w:val="21"/>
                        </w:rPr>
                      </w:pPr>
                      <w:r>
                        <w:rPr>
                          <w:rFonts w:ascii="宋体" w:hint="eastAsia"/>
                          <w:color w:val="000000"/>
                          <w:szCs w:val="21"/>
                        </w:rPr>
                        <w:t>2020年年度股东大会</w:t>
                      </w:r>
                    </w:p>
                    <w:p w:rsidR="00115BAA" w:rsidRDefault="00115BAA">
                      <w:pPr>
                        <w:spacing w:line="400" w:lineRule="exact"/>
                        <w:jc w:val="center"/>
                        <w:rPr>
                          <w:rFonts w:ascii="宋体"/>
                          <w:color w:val="000000"/>
                          <w:szCs w:val="21"/>
                        </w:rPr>
                      </w:pPr>
                      <w:r>
                        <w:rPr>
                          <w:rFonts w:ascii="宋体" w:hint="eastAsia"/>
                          <w:color w:val="000000"/>
                          <w:szCs w:val="21"/>
                        </w:rPr>
                        <w:t>文件六　审议议案</w:t>
                      </w:r>
                    </w:p>
                    <w:p w:rsidR="00115BAA" w:rsidRDefault="00115BAA">
                      <w:pPr>
                        <w:rPr>
                          <w:szCs w:val="21"/>
                        </w:rPr>
                      </w:pPr>
                    </w:p>
                  </w:txbxContent>
                </v:textbox>
                <w10:wrap type="square"/>
              </v:shape>
            </w:pict>
          </mc:Fallback>
        </mc:AlternateContent>
      </w:r>
    </w:p>
    <w:p w:rsidR="00092652" w:rsidRDefault="00092652">
      <w:pPr>
        <w:widowControl/>
        <w:spacing w:line="560" w:lineRule="exact"/>
        <w:jc w:val="center"/>
        <w:rPr>
          <w:rFonts w:ascii="黑体" w:eastAsia="黑体"/>
          <w:sz w:val="32"/>
          <w:szCs w:val="32"/>
        </w:rPr>
      </w:pPr>
    </w:p>
    <w:p w:rsidR="00092652" w:rsidRDefault="0039522B">
      <w:pPr>
        <w:widowControl/>
        <w:spacing w:line="520" w:lineRule="exact"/>
        <w:jc w:val="center"/>
        <w:rPr>
          <w:rFonts w:ascii="黑体" w:eastAsia="黑体"/>
          <w:sz w:val="32"/>
          <w:szCs w:val="32"/>
        </w:rPr>
      </w:pPr>
      <w:r>
        <w:rPr>
          <w:rFonts w:ascii="黑体" w:eastAsia="黑体" w:hint="eastAsia"/>
          <w:sz w:val="32"/>
          <w:szCs w:val="32"/>
        </w:rPr>
        <w:t>兴业银行股份有限公司</w:t>
      </w:r>
    </w:p>
    <w:p w:rsidR="00092652" w:rsidRDefault="0039522B">
      <w:pPr>
        <w:pStyle w:val="1"/>
        <w:spacing w:before="0" w:after="0" w:line="520" w:lineRule="exact"/>
        <w:ind w:left="998" w:rightChars="290" w:right="609" w:firstLine="0"/>
        <w:rPr>
          <w:rFonts w:cs="黑体"/>
          <w:szCs w:val="32"/>
        </w:rPr>
      </w:pPr>
      <w:bookmarkStart w:id="8" w:name="_Toc72437652"/>
      <w:bookmarkStart w:id="9" w:name="_Toc58348846"/>
      <w:r>
        <w:rPr>
          <w:rFonts w:cs="黑体" w:hint="eastAsia"/>
          <w:szCs w:val="32"/>
        </w:rPr>
        <w:t>关于发行减记型二级资本债券的议案</w:t>
      </w:r>
      <w:bookmarkEnd w:id="8"/>
      <w:bookmarkEnd w:id="9"/>
    </w:p>
    <w:p w:rsidR="00092652" w:rsidRDefault="0039522B">
      <w:pPr>
        <w:spacing w:line="520" w:lineRule="exact"/>
        <w:jc w:val="center"/>
        <w:rPr>
          <w:rFonts w:ascii="仿宋_GB2312" w:eastAsia="仿宋_GB2312"/>
          <w:color w:val="000000"/>
          <w:sz w:val="30"/>
          <w:szCs w:val="30"/>
        </w:rPr>
      </w:pPr>
      <w:r>
        <w:rPr>
          <w:rFonts w:ascii="仿宋_GB2312" w:eastAsia="仿宋_GB2312" w:hint="eastAsia"/>
          <w:color w:val="000000"/>
          <w:sz w:val="30"/>
          <w:szCs w:val="30"/>
        </w:rPr>
        <w:t>报告人：赖富荣</w:t>
      </w:r>
    </w:p>
    <w:p w:rsidR="00092652" w:rsidRDefault="00092652">
      <w:pPr>
        <w:spacing w:line="520" w:lineRule="exact"/>
        <w:rPr>
          <w:rFonts w:ascii="仿宋_GB2312" w:eastAsia="仿宋_GB2312"/>
          <w:color w:val="000000"/>
          <w:sz w:val="30"/>
          <w:szCs w:val="30"/>
        </w:rPr>
      </w:pPr>
    </w:p>
    <w:p w:rsidR="00092652" w:rsidRDefault="0039522B">
      <w:pPr>
        <w:spacing w:line="520" w:lineRule="exact"/>
        <w:rPr>
          <w:rFonts w:ascii="仿宋_GB2312" w:eastAsia="仿宋_GB2312"/>
          <w:color w:val="000000"/>
          <w:sz w:val="30"/>
          <w:szCs w:val="30"/>
        </w:rPr>
      </w:pPr>
      <w:r>
        <w:rPr>
          <w:rFonts w:ascii="仿宋_GB2312" w:eastAsia="仿宋_GB2312" w:hint="eastAsia"/>
          <w:color w:val="000000"/>
          <w:sz w:val="30"/>
          <w:szCs w:val="30"/>
        </w:rPr>
        <w:t>各位股东：</w:t>
      </w:r>
    </w:p>
    <w:p w:rsidR="00092652" w:rsidRDefault="0039522B">
      <w:pPr>
        <w:spacing w:line="5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为满足日益严格的资本监管要求、支持业务可持续发展，结合本行存量二级资本工具的到期情况，同时考虑目前较为有利的资本补充外部监管环境，本行拟根据监管政策导向和市场情况，一次或分期在境内外市场发行不超过1000亿元等值人民币的合格二级资本债券，募集资金将用于充实二级资本，提高资本充足率水平。</w:t>
      </w:r>
    </w:p>
    <w:p w:rsidR="00092652" w:rsidRDefault="0039522B">
      <w:pPr>
        <w:spacing w:line="520" w:lineRule="exact"/>
        <w:ind w:firstLineChars="200" w:firstLine="602"/>
        <w:rPr>
          <w:rFonts w:ascii="仿宋_GB2312" w:eastAsia="仿宋_GB2312"/>
          <w:b/>
          <w:sz w:val="30"/>
          <w:szCs w:val="30"/>
        </w:rPr>
      </w:pPr>
      <w:r>
        <w:rPr>
          <w:rFonts w:ascii="仿宋_GB2312" w:eastAsia="仿宋_GB2312" w:hint="eastAsia"/>
          <w:b/>
          <w:sz w:val="30"/>
          <w:szCs w:val="30"/>
        </w:rPr>
        <w:t>一、发行二级资本债券补充资本的必要性</w:t>
      </w:r>
    </w:p>
    <w:p w:rsidR="00092652" w:rsidRDefault="0039522B">
      <w:pPr>
        <w:autoSpaceDE w:val="0"/>
        <w:autoSpaceDN w:val="0"/>
        <w:adjustRightInd w:val="0"/>
        <w:spacing w:line="520" w:lineRule="exact"/>
        <w:ind w:firstLineChars="200" w:firstLine="602"/>
        <w:jc w:val="left"/>
        <w:rPr>
          <w:rFonts w:ascii="仿宋_GB2312" w:eastAsia="仿宋_GB2312"/>
          <w:b/>
          <w:color w:val="000000"/>
          <w:sz w:val="30"/>
          <w:szCs w:val="30"/>
        </w:rPr>
      </w:pPr>
      <w:r>
        <w:rPr>
          <w:rFonts w:ascii="仿宋_GB2312" w:eastAsia="仿宋_GB2312" w:hint="eastAsia"/>
          <w:b/>
          <w:color w:val="000000"/>
          <w:sz w:val="30"/>
          <w:szCs w:val="30"/>
        </w:rPr>
        <w:t>（一）按照巴塞尔协议Ⅲ的规定，监管部门较大幅度提高商业银行的最低资本充足率要求</w:t>
      </w:r>
    </w:p>
    <w:p w:rsidR="00092652" w:rsidRDefault="0039522B">
      <w:pPr>
        <w:spacing w:line="5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银保监会原来确定的核心一级资本充足率不低于7.5%，一级资本充足率不低于8.5%，资本充足率不低于10.5%，是针对巴塞尔协议资本监管第一支柱提出的最低要求。在第一支柱之外，银保监会同时要求商业银行要满足第二支柱的资本监管要求，以及系统重要性银行附加资本、逆周期缓冲资本等要求，商业银行资本充足率监管标准有较大幅度提升。</w:t>
      </w:r>
    </w:p>
    <w:p w:rsidR="00092652" w:rsidRDefault="0039522B">
      <w:pPr>
        <w:spacing w:line="520" w:lineRule="exact"/>
        <w:ind w:firstLineChars="200" w:firstLine="602"/>
        <w:rPr>
          <w:rFonts w:ascii="仿宋_GB2312" w:eastAsia="仿宋_GB2312"/>
          <w:b/>
          <w:color w:val="000000"/>
          <w:sz w:val="30"/>
          <w:szCs w:val="30"/>
        </w:rPr>
      </w:pPr>
      <w:r>
        <w:rPr>
          <w:rFonts w:ascii="仿宋_GB2312" w:eastAsia="仿宋_GB2312" w:hint="eastAsia"/>
          <w:b/>
          <w:color w:val="000000"/>
          <w:sz w:val="30"/>
          <w:szCs w:val="30"/>
        </w:rPr>
        <w:t>（二）2021年上半年本行有二级资本工具到期，需要续发二级资本工具确保业务持续发展</w:t>
      </w:r>
    </w:p>
    <w:p w:rsidR="00092652" w:rsidRDefault="0039522B">
      <w:pPr>
        <w:spacing w:line="5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 xml:space="preserve"> 2021年上半年本行将有300亿二级资本债和100亿次级债到期，根据测算，二级资本工具到期将使得本行资本充足率指标</w:t>
      </w:r>
      <w:r>
        <w:rPr>
          <w:rFonts w:ascii="仿宋_GB2312" w:eastAsia="仿宋_GB2312" w:hint="eastAsia"/>
          <w:color w:val="000000"/>
          <w:sz w:val="30"/>
          <w:szCs w:val="30"/>
        </w:rPr>
        <w:lastRenderedPageBreak/>
        <w:t>下降约0.65个百分点。因此，为确保各项业务可持续发展，本行需要续发二级资本工具补充资本。</w:t>
      </w:r>
    </w:p>
    <w:p w:rsidR="00092652" w:rsidRDefault="0039522B">
      <w:pPr>
        <w:spacing w:line="520" w:lineRule="exact"/>
        <w:ind w:firstLineChars="200" w:firstLine="602"/>
        <w:rPr>
          <w:rFonts w:ascii="仿宋_GB2312" w:eastAsia="仿宋_GB2312"/>
          <w:b/>
          <w:sz w:val="30"/>
          <w:szCs w:val="30"/>
        </w:rPr>
      </w:pPr>
      <w:r>
        <w:rPr>
          <w:rFonts w:ascii="仿宋_GB2312" w:eastAsia="仿宋_GB2312" w:hint="eastAsia"/>
          <w:b/>
          <w:sz w:val="30"/>
          <w:szCs w:val="30"/>
        </w:rPr>
        <w:t>二、发行二级资本债券补充资本的可行性</w:t>
      </w:r>
    </w:p>
    <w:p w:rsidR="00092652" w:rsidRDefault="0039522B">
      <w:pPr>
        <w:spacing w:line="520" w:lineRule="exact"/>
        <w:ind w:firstLineChars="200" w:firstLine="602"/>
        <w:rPr>
          <w:rFonts w:ascii="仿宋_GB2312" w:eastAsia="仿宋_GB2312"/>
          <w:b/>
          <w:color w:val="000000"/>
          <w:sz w:val="30"/>
          <w:szCs w:val="30"/>
        </w:rPr>
      </w:pPr>
      <w:r>
        <w:rPr>
          <w:rFonts w:ascii="仿宋_GB2312" w:eastAsia="仿宋_GB2312" w:hint="eastAsia"/>
          <w:b/>
          <w:color w:val="000000"/>
          <w:sz w:val="30"/>
          <w:szCs w:val="30"/>
        </w:rPr>
        <w:t>（一）监管部门支持商业银行拓宽资本补充渠道，提高对实体经济的支持能力</w:t>
      </w:r>
    </w:p>
    <w:p w:rsidR="00092652" w:rsidRDefault="0039522B">
      <w:pPr>
        <w:spacing w:line="5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从监管政策角度，近年来人民银行、银保监会等监管部门多次发布关于支持商业银行外部资本补充的指导意见，支持商业银行在强化内源性资本积累的前提下，有效运用境内外市场资源，</w:t>
      </w:r>
      <w:r>
        <w:rPr>
          <w:rFonts w:ascii="仿宋_GB2312" w:eastAsia="仿宋_GB2312" w:hAnsi="Arial" w:cs="宋体" w:hint="eastAsia"/>
          <w:sz w:val="30"/>
          <w:szCs w:val="30"/>
        </w:rPr>
        <w:t>支持商业银行通过多种渠道发行资本工具。</w:t>
      </w:r>
      <w:r>
        <w:rPr>
          <w:rFonts w:ascii="仿宋_GB2312" w:eastAsia="仿宋_GB2312" w:hint="eastAsia"/>
          <w:color w:val="000000"/>
          <w:sz w:val="30"/>
          <w:szCs w:val="30"/>
        </w:rPr>
        <w:t>从实际执行情况看，近年来国有大行、股份制银行和部分城商行的二级资本债券发行申请都获得监管部门批准。</w:t>
      </w:r>
    </w:p>
    <w:p w:rsidR="00092652" w:rsidRDefault="0039522B">
      <w:pPr>
        <w:spacing w:line="520" w:lineRule="exact"/>
        <w:ind w:firstLineChars="200" w:firstLine="602"/>
        <w:rPr>
          <w:rFonts w:ascii="仿宋_GB2312" w:eastAsia="仿宋_GB2312"/>
          <w:b/>
          <w:color w:val="000000"/>
          <w:sz w:val="30"/>
          <w:szCs w:val="30"/>
        </w:rPr>
      </w:pPr>
      <w:r>
        <w:rPr>
          <w:rFonts w:ascii="仿宋_GB2312" w:eastAsia="仿宋_GB2312" w:hint="eastAsia"/>
          <w:b/>
          <w:color w:val="000000"/>
          <w:sz w:val="30"/>
          <w:szCs w:val="30"/>
        </w:rPr>
        <w:t>（二）二级资本债的发行成本可控，通过发行二级资本债补充资本有利于优化资本结构，提升股东回报水平</w:t>
      </w:r>
    </w:p>
    <w:p w:rsidR="00092652" w:rsidRDefault="0039522B">
      <w:pPr>
        <w:spacing w:line="52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二级资本债券期限较短，发行利率成本可控。过去几年，本行二级资本债的发行成本都较大幅度低于同时期权益类资本工具及银行的净资产收益率。从会计核算角度，二级资本债列为负债而非权益，因此通过发行二级资本债补充资本有利于发挥资本杠杆优势，提升股东回报水平。此外，二级资本债作为中长期负债来源，也有利于提高净稳定资金比率等流动性监管指标。</w:t>
      </w:r>
    </w:p>
    <w:p w:rsidR="00092652" w:rsidRDefault="0039522B">
      <w:pPr>
        <w:spacing w:line="520" w:lineRule="exact"/>
        <w:ind w:firstLineChars="200" w:firstLine="602"/>
        <w:rPr>
          <w:rFonts w:ascii="仿宋_GB2312" w:eastAsia="仿宋_GB2312"/>
          <w:b/>
          <w:sz w:val="30"/>
          <w:szCs w:val="30"/>
        </w:rPr>
      </w:pPr>
      <w:r>
        <w:rPr>
          <w:rFonts w:ascii="仿宋_GB2312" w:eastAsia="仿宋_GB2312" w:hint="eastAsia"/>
          <w:b/>
          <w:sz w:val="30"/>
          <w:szCs w:val="30"/>
        </w:rPr>
        <w:t>三、二级资本债券的发行额度、发行方式及其他发行要素</w:t>
      </w:r>
    </w:p>
    <w:p w:rsidR="00092652" w:rsidRDefault="0039522B">
      <w:pPr>
        <w:spacing w:line="520" w:lineRule="exact"/>
        <w:ind w:firstLineChars="200" w:firstLine="600"/>
        <w:rPr>
          <w:rFonts w:ascii="仿宋_GB2312" w:eastAsia="仿宋_GB2312"/>
          <w:sz w:val="30"/>
          <w:szCs w:val="30"/>
        </w:rPr>
      </w:pPr>
      <w:bookmarkStart w:id="10" w:name="OLE_LINK1"/>
      <w:r>
        <w:rPr>
          <w:rFonts w:ascii="仿宋_GB2312" w:eastAsia="仿宋_GB2312" w:hint="eastAsia"/>
          <w:color w:val="000000"/>
          <w:sz w:val="30"/>
          <w:szCs w:val="30"/>
        </w:rPr>
        <w:t>（一）发行总额：</w:t>
      </w:r>
      <w:r>
        <w:rPr>
          <w:rFonts w:ascii="仿宋_GB2312" w:eastAsia="仿宋_GB2312" w:hint="eastAsia"/>
          <w:sz w:val="30"/>
          <w:szCs w:val="30"/>
        </w:rPr>
        <w:t>根据监管部门关于资本充足率指标的监管要求，结合本行存量二级资本工具到期、未来风险加权资产增长、超额贷款损失准备可计入二级资本等预测因素，拟定本次二级资本债券发行额度不超过1000亿元</w:t>
      </w:r>
      <w:r>
        <w:rPr>
          <w:rFonts w:ascii="仿宋_GB2312" w:eastAsia="仿宋_GB2312" w:hint="eastAsia"/>
          <w:color w:val="000000"/>
          <w:sz w:val="30"/>
          <w:szCs w:val="30"/>
        </w:rPr>
        <w:t>等值人民币</w:t>
      </w:r>
      <w:r>
        <w:rPr>
          <w:rFonts w:ascii="仿宋_GB2312" w:eastAsia="仿宋_GB2312" w:hint="eastAsia"/>
          <w:sz w:val="30"/>
          <w:szCs w:val="30"/>
        </w:rPr>
        <w:t>；</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（二）工具类型：减记型合格二级资本工具，符合《商业银行资本管理办法（试行）》的相关规定，可用于补充商业银行的</w:t>
      </w:r>
      <w:r>
        <w:rPr>
          <w:rFonts w:ascii="仿宋_GB2312" w:eastAsia="仿宋_GB2312" w:hint="eastAsia"/>
          <w:sz w:val="30"/>
          <w:szCs w:val="30"/>
        </w:rPr>
        <w:lastRenderedPageBreak/>
        <w:t>资本；</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（三）发行市场：视监管导向及市场情况一次或分批在境内外市场发行；</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（四）期限：不少于5年期。根据市场情况选择 “5+5”或“10+5”，或其他组合方式；</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（五）损失吸收方式：根据合格二级资本工具减记触发事件要求（即</w:t>
      </w:r>
      <w:r>
        <w:rPr>
          <w:rFonts w:ascii="仿宋_GB2312" w:eastAsia="仿宋_GB2312" w:hint="eastAsia"/>
          <w:color w:val="000000"/>
          <w:sz w:val="30"/>
          <w:szCs w:val="30"/>
        </w:rPr>
        <w:t>以下两种情形的较早发生者：1、</w:t>
      </w:r>
      <w:r>
        <w:rPr>
          <w:rFonts w:ascii="仿宋_GB2312" w:eastAsia="仿宋_GB2312" w:hint="eastAsia"/>
          <w:sz w:val="30"/>
          <w:szCs w:val="30"/>
        </w:rPr>
        <w:t>银监会认定若不进行减记，该商业银行将无法生存；2、相关部门认定若不进行公共部门注资或提供同等效力的支持，该商业银行将无法生存），采用减记方式吸收损失；</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（六）发行利率：参照市场利率确定；</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（七）募集资金用途：募集资金将用于充实本行二级资本，提高资本充足率，以增强本行的运营实力，提高抗风险能力，支持业务稳健持续发展；</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（八）授权及决议有效期：请股东大会批准董事会授权管理层组织实施，授权有效期截至2023年12月31日。</w:t>
      </w:r>
    </w:p>
    <w:bookmarkEnd w:id="10"/>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本议案经股东大会审议通过后，尚需报中国银保监会和中国人民银行批准。</w:t>
      </w:r>
    </w:p>
    <w:p w:rsidR="00092652" w:rsidRDefault="0039522B">
      <w:pPr>
        <w:widowControl/>
        <w:spacing w:line="520" w:lineRule="exact"/>
        <w:ind w:firstLineChars="200" w:firstLine="600"/>
        <w:jc w:val="left"/>
        <w:rPr>
          <w:rFonts w:ascii="仿宋_GB2312" w:eastAsia="仿宋_GB2312"/>
          <w:sz w:val="30"/>
          <w:szCs w:val="30"/>
        </w:rPr>
      </w:pPr>
      <w:r>
        <w:rPr>
          <w:rFonts w:ascii="仿宋_GB2312" w:eastAsia="仿宋_GB2312" w:hint="eastAsia"/>
          <w:sz w:val="30"/>
          <w:szCs w:val="30"/>
        </w:rPr>
        <w:t>专此报告，请予审议。</w:t>
      </w:r>
    </w:p>
    <w:p w:rsidR="00092652" w:rsidRDefault="00092652">
      <w:pPr>
        <w:widowControl/>
        <w:spacing w:line="520" w:lineRule="exact"/>
        <w:jc w:val="center"/>
        <w:rPr>
          <w:rFonts w:ascii="黑体" w:eastAsia="黑体"/>
          <w:sz w:val="32"/>
          <w:szCs w:val="32"/>
        </w:rPr>
      </w:pPr>
    </w:p>
    <w:p w:rsidR="00092652" w:rsidRDefault="00092652">
      <w:pPr>
        <w:widowControl/>
        <w:spacing w:line="490" w:lineRule="exact"/>
        <w:ind w:firstLineChars="200" w:firstLine="600"/>
        <w:jc w:val="left"/>
        <w:rPr>
          <w:rFonts w:ascii="仿宋_GB2312" w:eastAsia="仿宋_GB2312"/>
          <w:sz w:val="30"/>
          <w:szCs w:val="30"/>
        </w:rPr>
      </w:pPr>
    </w:p>
    <w:p w:rsidR="00092652" w:rsidRDefault="00092652">
      <w:pPr>
        <w:widowControl/>
        <w:spacing w:line="490" w:lineRule="exact"/>
        <w:ind w:firstLineChars="200" w:firstLine="600"/>
        <w:jc w:val="left"/>
        <w:rPr>
          <w:rFonts w:ascii="仿宋_GB2312" w:eastAsia="仿宋_GB2312"/>
          <w:sz w:val="30"/>
          <w:szCs w:val="30"/>
        </w:rPr>
      </w:pPr>
    </w:p>
    <w:p w:rsidR="00092652" w:rsidRDefault="0039522B">
      <w:pPr>
        <w:widowControl/>
        <w:jc w:val="left"/>
        <w:rPr>
          <w:rFonts w:ascii="仿宋_GB2312" w:eastAsia="仿宋_GB2312"/>
          <w:sz w:val="30"/>
          <w:szCs w:val="30"/>
        </w:rPr>
      </w:pPr>
      <w:r>
        <w:rPr>
          <w:rFonts w:ascii="仿宋_GB2312" w:eastAsia="仿宋_GB2312"/>
          <w:sz w:val="30"/>
          <w:szCs w:val="30"/>
        </w:rPr>
        <w:br w:type="page"/>
      </w:r>
    </w:p>
    <w:p w:rsidR="00092652" w:rsidRDefault="00C4392E">
      <w:pPr>
        <w:widowControl/>
        <w:spacing w:line="490" w:lineRule="exact"/>
        <w:ind w:firstLineChars="200" w:firstLine="600"/>
        <w:jc w:val="left"/>
        <w:rPr>
          <w:rFonts w:ascii="仿宋_GB2312" w:eastAsia="仿宋_GB2312"/>
          <w:sz w:val="30"/>
          <w:szCs w:val="30"/>
        </w:rPr>
      </w:pPr>
      <w:r>
        <w:rPr>
          <w:rFonts w:ascii="仿宋_GB2312" w:eastAsia="仿宋_GB2312"/>
          <w:noProof/>
          <w:sz w:val="30"/>
          <w:szCs w:val="30"/>
        </w:rPr>
        <w:lastRenderedPageBreak/>
        <mc:AlternateContent>
          <mc:Choice Requires="wps">
            <w:drawing>
              <wp:anchor distT="0" distB="0" distL="114300" distR="114300" simplePos="0" relativeHeight="251670528" behindDoc="0" locked="0" layoutInCell="1" allowOverlap="1" wp14:anchorId="7684A969" wp14:editId="5A64197A">
                <wp:simplePos x="0" y="0"/>
                <wp:positionH relativeFrom="column">
                  <wp:posOffset>-7620</wp:posOffset>
                </wp:positionH>
                <wp:positionV relativeFrom="paragraph">
                  <wp:posOffset>8890</wp:posOffset>
                </wp:positionV>
                <wp:extent cx="1426210" cy="594360"/>
                <wp:effectExtent l="0" t="0" r="3175" b="0"/>
                <wp:wrapSquare wrapText="bothSides"/>
                <wp:docPr id="17" name="文本框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621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15BAA" w:rsidRDefault="00115BAA">
                            <w:pPr>
                              <w:spacing w:line="400" w:lineRule="exact"/>
                              <w:jc w:val="center"/>
                              <w:rPr>
                                <w:rFonts w:ascii="宋体"/>
                                <w:color w:val="000000"/>
                                <w:szCs w:val="21"/>
                              </w:rPr>
                            </w:pPr>
                            <w:r>
                              <w:rPr>
                                <w:rFonts w:ascii="宋体" w:hint="eastAsia"/>
                                <w:color w:val="000000"/>
                                <w:szCs w:val="21"/>
                              </w:rPr>
                              <w:t>2020年年度股东大会</w:t>
                            </w:r>
                          </w:p>
                          <w:p w:rsidR="00115BAA" w:rsidRDefault="00115BAA">
                            <w:pPr>
                              <w:spacing w:line="400" w:lineRule="exact"/>
                              <w:jc w:val="center"/>
                              <w:rPr>
                                <w:rFonts w:ascii="宋体"/>
                                <w:color w:val="000000"/>
                                <w:szCs w:val="21"/>
                              </w:rPr>
                            </w:pPr>
                            <w:r>
                              <w:rPr>
                                <w:rFonts w:ascii="宋体" w:hint="eastAsia"/>
                                <w:color w:val="000000"/>
                                <w:szCs w:val="21"/>
                              </w:rPr>
                              <w:t>文件七　审议议案</w:t>
                            </w:r>
                          </w:p>
                          <w:p w:rsidR="00115BAA" w:rsidRDefault="00115BAA">
                            <w:pPr>
                              <w:rPr>
                                <w:szCs w:val="21"/>
                              </w:rPr>
                            </w:pPr>
                          </w:p>
                        </w:txbxContent>
                      </wps:txbx>
                      <wps:bodyPr wrap="none"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_x0000_s1033" type="#_x0000_t202" style="position:absolute;left:0;text-align:left;margin-left:-.6pt;margin-top:.7pt;width:112.3pt;height:46.8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">
                <v:path arrowok="t"/>
                <v:textbox>
                  <w:txbxContent>
                    <w:p w:rsidR="00115BAA" w:rsidRDefault="00115BAA">
                      <w:pPr>
                        <w:spacing w:line="400" w:lineRule="exact"/>
                        <w:jc w:val="center"/>
                        <w:rPr>
                          <w:rFonts w:ascii="宋体"/>
                          <w:color w:val="000000"/>
                          <w:szCs w:val="21"/>
                        </w:rPr>
                      </w:pPr>
                      <w:r>
                        <w:rPr>
                          <w:rFonts w:ascii="宋体" w:hint="eastAsia"/>
                          <w:color w:val="000000"/>
                          <w:szCs w:val="21"/>
                        </w:rPr>
                        <w:t>2020年年度股东大会</w:t>
                      </w:r>
                    </w:p>
                    <w:p w:rsidR="00115BAA" w:rsidRDefault="00115BAA">
                      <w:pPr>
                        <w:spacing w:line="400" w:lineRule="exact"/>
                        <w:jc w:val="center"/>
                        <w:rPr>
                          <w:rFonts w:ascii="宋体"/>
                          <w:color w:val="000000"/>
                          <w:szCs w:val="21"/>
                        </w:rPr>
                      </w:pPr>
                      <w:r>
                        <w:rPr>
                          <w:rFonts w:ascii="宋体" w:hint="eastAsia"/>
                          <w:color w:val="000000"/>
                          <w:szCs w:val="21"/>
                        </w:rPr>
                        <w:t>文件七　审议议案</w:t>
                      </w:r>
                    </w:p>
                    <w:p w:rsidR="00115BAA" w:rsidRDefault="00115BAA">
                      <w:pPr>
                        <w:rPr>
                          <w:szCs w:val="21"/>
                        </w:rPr>
                      </w:pPr>
                    </w:p>
                  </w:txbxContent>
                </v:textbox>
                <w10:wrap type="square"/>
              </v:shape>
            </w:pict>
          </mc:Fallback>
        </mc:AlternateContent>
      </w:r>
    </w:p>
    <w:p w:rsidR="00092652" w:rsidRDefault="00092652">
      <w:pPr>
        <w:widowControl/>
        <w:spacing w:line="490" w:lineRule="exact"/>
        <w:ind w:firstLineChars="200" w:firstLine="600"/>
        <w:jc w:val="left"/>
        <w:rPr>
          <w:rFonts w:ascii="仿宋_GB2312" w:eastAsia="仿宋_GB2312"/>
          <w:sz w:val="30"/>
          <w:szCs w:val="30"/>
        </w:rPr>
      </w:pPr>
    </w:p>
    <w:p w:rsidR="00092652" w:rsidRDefault="0039522B">
      <w:pPr>
        <w:widowControl/>
        <w:spacing w:line="520" w:lineRule="exact"/>
        <w:jc w:val="center"/>
        <w:rPr>
          <w:rFonts w:ascii="黑体" w:eastAsia="黑体"/>
          <w:sz w:val="32"/>
          <w:szCs w:val="32"/>
        </w:rPr>
      </w:pPr>
      <w:r>
        <w:rPr>
          <w:rFonts w:ascii="黑体" w:eastAsia="黑体" w:hint="eastAsia"/>
          <w:sz w:val="32"/>
          <w:szCs w:val="32"/>
        </w:rPr>
        <w:t>兴业银行股份有限公司</w:t>
      </w:r>
    </w:p>
    <w:p w:rsidR="00092652" w:rsidRDefault="0039522B">
      <w:pPr>
        <w:pStyle w:val="1"/>
        <w:tabs>
          <w:tab w:val="clear" w:pos="432"/>
        </w:tabs>
        <w:spacing w:before="0" w:after="0" w:line="520" w:lineRule="exact"/>
        <w:ind w:left="567" w:rightChars="290" w:right="609" w:firstLine="0"/>
        <w:rPr>
          <w:rFonts w:cs="黑体"/>
          <w:szCs w:val="32"/>
        </w:rPr>
      </w:pPr>
      <w:bookmarkStart w:id="11" w:name="_Toc68195271"/>
      <w:bookmarkStart w:id="12" w:name="_Toc72437653"/>
      <w:r>
        <w:rPr>
          <w:rFonts w:cs="黑体" w:hint="eastAsia"/>
          <w:szCs w:val="32"/>
        </w:rPr>
        <w:t>关于发行金融债券的议案</w:t>
      </w:r>
      <w:bookmarkEnd w:id="11"/>
      <w:bookmarkEnd w:id="12"/>
    </w:p>
    <w:p w:rsidR="00092652" w:rsidRDefault="0039522B">
      <w:pPr>
        <w:overflowPunct w:val="0"/>
        <w:snapToGrid w:val="0"/>
        <w:spacing w:line="500" w:lineRule="exact"/>
        <w:jc w:val="center"/>
        <w:rPr>
          <w:rFonts w:asciiTheme="minorHAnsi" w:eastAsia="仿宋_GB2312" w:hAnsiTheme="minorHAnsi"/>
          <w:sz w:val="30"/>
          <w:szCs w:val="30"/>
        </w:rPr>
      </w:pPr>
      <w:r>
        <w:rPr>
          <w:rFonts w:asciiTheme="minorHAnsi" w:eastAsia="仿宋_GB2312" w:hAnsiTheme="minorHAnsi" w:hint="eastAsia"/>
          <w:sz w:val="30"/>
          <w:szCs w:val="30"/>
        </w:rPr>
        <w:t>报告人：赖富荣</w:t>
      </w:r>
    </w:p>
    <w:p w:rsidR="00092652" w:rsidRDefault="00092652">
      <w:pPr>
        <w:spacing w:line="560" w:lineRule="exact"/>
        <w:rPr>
          <w:rFonts w:ascii="仿宋_GB2312" w:eastAsia="仿宋_GB2312"/>
          <w:sz w:val="30"/>
          <w:szCs w:val="30"/>
        </w:rPr>
      </w:pPr>
    </w:p>
    <w:p w:rsidR="00092652" w:rsidRDefault="0039522B">
      <w:pPr>
        <w:spacing w:line="560" w:lineRule="exact"/>
        <w:rPr>
          <w:rFonts w:ascii="仿宋_GB2312" w:eastAsia="仿宋_GB2312"/>
          <w:sz w:val="30"/>
          <w:szCs w:val="30"/>
        </w:rPr>
      </w:pPr>
      <w:r>
        <w:rPr>
          <w:rFonts w:ascii="仿宋_GB2312" w:eastAsia="仿宋_GB2312" w:hint="eastAsia"/>
          <w:sz w:val="30"/>
          <w:szCs w:val="30"/>
        </w:rPr>
        <w:t>各位股东：</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2019年5月，本行2018年年度股东大会表决通过了发行不超过2000亿元金融债券的议案，批准董事会授权高级管理层组织实施，授权有效期截止2021年6月30日。</w:t>
      </w:r>
      <w:r>
        <w:rPr>
          <w:rFonts w:ascii="仿宋_GB2312" w:eastAsia="仿宋_GB2312" w:hAnsiTheme="minorHAnsi" w:cs="仿宋_GB2312" w:hint="eastAsia"/>
          <w:kern w:val="0"/>
          <w:sz w:val="30"/>
          <w:szCs w:val="30"/>
        </w:rPr>
        <w:t>因</w:t>
      </w:r>
      <w:r>
        <w:rPr>
          <w:rFonts w:ascii="仿宋_GB2312" w:eastAsia="仿宋_GB2312" w:hint="eastAsia"/>
          <w:sz w:val="30"/>
          <w:szCs w:val="30"/>
        </w:rPr>
        <w:t>授权有效期即将截止</w:t>
      </w:r>
      <w:r>
        <w:rPr>
          <w:rFonts w:ascii="仿宋_GB2312" w:eastAsia="仿宋_GB2312" w:hAnsiTheme="minorHAnsi" w:cs="仿宋_GB2312" w:hint="eastAsia"/>
          <w:kern w:val="0"/>
          <w:sz w:val="30"/>
          <w:szCs w:val="30"/>
        </w:rPr>
        <w:t>，现特向股东大会申请新的授权。</w:t>
      </w:r>
    </w:p>
    <w:p w:rsidR="00092652" w:rsidRDefault="0039522B">
      <w:pPr>
        <w:spacing w:line="520" w:lineRule="exact"/>
        <w:ind w:firstLineChars="200" w:firstLine="602"/>
        <w:rPr>
          <w:rFonts w:ascii="仿宋_GB2312" w:eastAsia="仿宋_GB2312"/>
          <w:b/>
          <w:sz w:val="30"/>
          <w:szCs w:val="30"/>
        </w:rPr>
      </w:pPr>
      <w:r>
        <w:rPr>
          <w:rFonts w:ascii="仿宋_GB2312" w:eastAsia="仿宋_GB2312" w:hint="eastAsia"/>
          <w:b/>
          <w:sz w:val="30"/>
          <w:szCs w:val="30"/>
        </w:rPr>
        <w:t>一、发行金融债券的必要性</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一）改善本行资产负债结构、缓解流动性指标压力。根据人民银行、银保监会的监管政策，商业银行发行金融债所筹集的资金不需要缴纳存款准备金，有利于提高净稳定资金比例（NSFR）等流动性指标，对于改善资产负债结构、防范流动性风险、确保资产负债平衡发展有重要作用。</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二）改善香港分行资产负债结构、满足流动性监管指标需要。香港金融管理局根据《巴塞尔协定Ⅲ》，要求在港金融机构符合净稳定资金比例和核心资金比例（CFR）的监管标准。发行金融债作为补充中长期负债最有效渠道，对香港分行在未来满足当地流动性监管要求至关重要。</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三）补充本行绿色金融、小微企业等业务发展的资金来源不足。本行目前存续期金融债大部分为绿色金融债、小微企业金融债，在未来两年都将陆续到期，因此未来仍有必要通过继续发行金融债支持绿色金融、小微企业等业务发展。</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lastRenderedPageBreak/>
        <w:t>二、</w:t>
      </w:r>
      <w:r>
        <w:rPr>
          <w:rFonts w:ascii="仿宋_GB2312" w:eastAsia="仿宋_GB2312" w:hint="eastAsia"/>
          <w:b/>
          <w:sz w:val="30"/>
          <w:szCs w:val="30"/>
        </w:rPr>
        <w:t>发行金融债券的可行性</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（一）发行金融债券支持绿色金融、小微企业等业务发展符合国家政策导向。</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绿色金融方面，从2015年12月人民银行正式推出绿色金融债券以来，主要国有银行、股份制银行都通过发行绿色金融债券支持绿色金融业务发展。从国家政策层面，环境保护、节能减排等绿色领域已经成为未来国家调结构、促转型的支持重点，利用绿色金融债券促进绿色产业发展符合国家政策导向。</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小微企业方面，近年来我国不断加强对小微企业发展的政策支持，特别是在加快转变经济发展方式、推进经济结构战略性调整的背景下，支持小微企业发展的各项政策还将进一步深化，比如人民银行通过定向下调存款准备金率，引导信贷资源向小微企业倾斜，并鼓励商业银行通过发行专项金融债为小微企业提供资金支持。</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（二）本行具备较好的金融债券发行条件，金融债券发行成本能够控制在合理范围。</w:t>
      </w:r>
    </w:p>
    <w:p w:rsidR="00092652" w:rsidRDefault="0039522B" w:rsidP="00511B34">
      <w:pPr>
        <w:spacing w:line="520" w:lineRule="exact"/>
        <w:ind w:firstLineChars="200" w:firstLine="600"/>
        <w:rPr>
          <w:rFonts w:ascii="仿宋_GB2312" w:eastAsia="仿宋_GB2312"/>
          <w:sz w:val="30"/>
          <w:szCs w:val="30"/>
        </w:rPr>
      </w:pPr>
      <w:r>
        <w:rPr>
          <w:rFonts w:ascii="仿宋_GB2312" w:eastAsia="仿宋_GB2312" w:hint="eastAsia"/>
          <w:sz w:val="30"/>
          <w:szCs w:val="30"/>
        </w:rPr>
        <w:t>根据上海新世纪最新信用评级报告，本行主体信用等级为AAA；根据穆迪最新出具的信用评级报告，本行主体信用等级为Baa2，境内外的信用等级都位于投资者认可的投资级区间。本行已制定《兴业银行绿色金融债券募集资金管理办法》《兴业银行小微企业金融债券募集资金管理办法》《兴业银行创新创业金融债募集资金管理办法》，已发行的金融债券都按照人民银行、银保监会、国家发改委等部门的有关规定管理金融债券募集资金。从历史经验看，此前本行由于把握了较好的发行时机，发行方式选择得当，已发行的金融债券利率成本都控制在合理范围，具备较好的境内外金融债券发行经验。</w:t>
      </w:r>
    </w:p>
    <w:p w:rsidR="00092652" w:rsidRDefault="0039522B">
      <w:pPr>
        <w:spacing w:line="520" w:lineRule="exact"/>
        <w:ind w:firstLineChars="200" w:firstLine="602"/>
        <w:rPr>
          <w:rFonts w:ascii="仿宋_GB2312" w:eastAsia="仿宋_GB2312"/>
          <w:b/>
          <w:sz w:val="30"/>
          <w:szCs w:val="30"/>
        </w:rPr>
      </w:pPr>
      <w:r>
        <w:rPr>
          <w:rFonts w:ascii="仿宋_GB2312" w:eastAsia="仿宋_GB2312" w:hint="eastAsia"/>
          <w:b/>
          <w:sz w:val="30"/>
          <w:szCs w:val="30"/>
        </w:rPr>
        <w:lastRenderedPageBreak/>
        <w:t>四、本次提请股东大会授权的金融债发行具体方案</w:t>
      </w:r>
    </w:p>
    <w:p w:rsidR="00092652" w:rsidRDefault="0039522B">
      <w:pPr>
        <w:tabs>
          <w:tab w:val="left" w:pos="2160"/>
        </w:tabs>
        <w:spacing w:line="520" w:lineRule="exact"/>
        <w:ind w:firstLineChars="200" w:firstLine="602"/>
        <w:rPr>
          <w:rFonts w:ascii="仿宋_GB2312" w:eastAsia="仿宋_GB2312"/>
          <w:sz w:val="30"/>
          <w:szCs w:val="30"/>
        </w:rPr>
      </w:pPr>
      <w:r>
        <w:rPr>
          <w:rFonts w:ascii="仿宋_GB2312" w:eastAsia="仿宋_GB2312" w:hint="eastAsia"/>
          <w:b/>
          <w:sz w:val="30"/>
          <w:szCs w:val="30"/>
        </w:rPr>
        <w:t>（一）发行规模：</w:t>
      </w:r>
      <w:r>
        <w:rPr>
          <w:rFonts w:ascii="仿宋_GB2312" w:eastAsia="仿宋_GB2312" w:hint="eastAsia"/>
          <w:sz w:val="30"/>
          <w:szCs w:val="30"/>
        </w:rPr>
        <w:t>本集团金融债发行余额不超过上年末集团总负债余额的10%。</w:t>
      </w:r>
    </w:p>
    <w:p w:rsidR="00092652" w:rsidRDefault="0039522B">
      <w:pPr>
        <w:tabs>
          <w:tab w:val="left" w:pos="2160"/>
        </w:tabs>
        <w:spacing w:line="520" w:lineRule="exact"/>
        <w:ind w:firstLineChars="200" w:firstLine="602"/>
        <w:rPr>
          <w:rFonts w:ascii="仿宋_GB2312" w:eastAsia="仿宋_GB2312"/>
          <w:kern w:val="0"/>
          <w:sz w:val="30"/>
          <w:szCs w:val="30"/>
        </w:rPr>
      </w:pPr>
      <w:r>
        <w:rPr>
          <w:rFonts w:ascii="仿宋_GB2312" w:eastAsia="仿宋_GB2312" w:hint="eastAsia"/>
          <w:b/>
          <w:sz w:val="30"/>
          <w:szCs w:val="30"/>
        </w:rPr>
        <w:t>（二）发行品种：</w:t>
      </w:r>
      <w:r>
        <w:rPr>
          <w:rFonts w:ascii="仿宋_GB2312" w:eastAsia="仿宋_GB2312" w:hint="eastAsia"/>
          <w:sz w:val="30"/>
          <w:szCs w:val="30"/>
        </w:rPr>
        <w:t>期限不超过10年的金融债券，包括</w:t>
      </w:r>
      <w:r>
        <w:rPr>
          <w:rFonts w:ascii="仿宋_GB2312" w:eastAsia="仿宋_GB2312" w:hint="eastAsia"/>
          <w:kern w:val="0"/>
          <w:sz w:val="30"/>
          <w:szCs w:val="30"/>
        </w:rPr>
        <w:t>普通金融债、小微企业金融债、绿色金融债，三农金融债、双创金融债、资产担保金融债券，以及监管部门批准的其他金融债券。不包括二级资本债券、可转换公司债券等补充资本性质的债券，不包括各类存款证（CD）、同业存单、资产证券化。</w:t>
      </w:r>
    </w:p>
    <w:p w:rsidR="00092652" w:rsidRDefault="0039522B">
      <w:pPr>
        <w:tabs>
          <w:tab w:val="left" w:pos="2160"/>
        </w:tabs>
        <w:spacing w:line="520" w:lineRule="exact"/>
        <w:ind w:firstLineChars="200" w:firstLine="602"/>
        <w:rPr>
          <w:rFonts w:ascii="仿宋_GB2312" w:eastAsia="仿宋_GB2312"/>
          <w:kern w:val="0"/>
          <w:sz w:val="30"/>
          <w:szCs w:val="30"/>
        </w:rPr>
      </w:pPr>
      <w:r>
        <w:rPr>
          <w:rFonts w:ascii="仿宋_GB2312" w:eastAsia="仿宋_GB2312" w:hint="eastAsia"/>
          <w:b/>
          <w:sz w:val="30"/>
          <w:szCs w:val="30"/>
        </w:rPr>
        <w:t>（三）</w:t>
      </w:r>
      <w:r>
        <w:rPr>
          <w:rFonts w:ascii="仿宋_GB2312" w:eastAsia="仿宋_GB2312" w:hint="eastAsia"/>
          <w:b/>
          <w:kern w:val="0"/>
          <w:sz w:val="30"/>
          <w:szCs w:val="30"/>
        </w:rPr>
        <w:t>募集资金用途：</w:t>
      </w:r>
      <w:r>
        <w:rPr>
          <w:rFonts w:ascii="仿宋_GB2312" w:eastAsia="仿宋_GB2312" w:hint="eastAsia"/>
          <w:kern w:val="0"/>
          <w:sz w:val="30"/>
          <w:szCs w:val="30"/>
        </w:rPr>
        <w:t>金融债券发行募集资金将用于补充中长期稳定资金，优化负债结构，重点用于支持绿色金融、小微企业等符合国家政策要求的境内外中长期业务发展。</w:t>
      </w:r>
    </w:p>
    <w:p w:rsidR="00092652" w:rsidRDefault="0039522B">
      <w:pPr>
        <w:tabs>
          <w:tab w:val="left" w:pos="2160"/>
        </w:tabs>
        <w:spacing w:line="520" w:lineRule="exact"/>
        <w:ind w:firstLineChars="200" w:firstLine="602"/>
        <w:rPr>
          <w:rFonts w:ascii="仿宋_GB2312" w:eastAsia="仿宋_GB2312"/>
          <w:sz w:val="30"/>
          <w:szCs w:val="30"/>
        </w:rPr>
      </w:pPr>
      <w:r>
        <w:rPr>
          <w:rFonts w:ascii="仿宋_GB2312" w:eastAsia="仿宋_GB2312" w:hint="eastAsia"/>
          <w:b/>
          <w:sz w:val="30"/>
          <w:szCs w:val="30"/>
        </w:rPr>
        <w:t>（四）</w:t>
      </w:r>
      <w:r>
        <w:rPr>
          <w:rFonts w:ascii="仿宋_GB2312" w:eastAsia="仿宋_GB2312" w:hint="eastAsia"/>
          <w:b/>
          <w:kern w:val="0"/>
          <w:sz w:val="30"/>
          <w:szCs w:val="30"/>
        </w:rPr>
        <w:t>授权事宜：</w:t>
      </w:r>
      <w:r>
        <w:rPr>
          <w:rFonts w:ascii="仿宋_GB2312" w:eastAsia="仿宋_GB2312" w:hint="eastAsia"/>
          <w:kern w:val="0"/>
          <w:sz w:val="30"/>
          <w:szCs w:val="30"/>
        </w:rPr>
        <w:t>提请股东大会授权董事会，并由董事会转授权高级管理层办理上述金融债券发行相关事宜，包括但不限于向相关监管机构报批，沟通及确定发行债券类型、具体发行批次和规模、发行时间、发行对象、发行方式、发行地点、发行条款、债券期限、债券利率、债券价格、债券币种、资金用途、申请债券上市流通、安排债券还本付息、签署相关法律文件等，根据监管机构要求对发行方案进行适当调整，并由高级管理层根据具体情况决定并办理上述金融债券发行相关的其他事宜。</w:t>
      </w:r>
    </w:p>
    <w:p w:rsidR="00092652" w:rsidRDefault="0039522B">
      <w:pPr>
        <w:tabs>
          <w:tab w:val="left" w:pos="2160"/>
        </w:tabs>
        <w:spacing w:line="520" w:lineRule="exact"/>
        <w:ind w:firstLineChars="200" w:firstLine="602"/>
        <w:rPr>
          <w:rFonts w:ascii="仿宋_GB2312" w:eastAsia="仿宋_GB2312"/>
          <w:sz w:val="30"/>
          <w:szCs w:val="30"/>
        </w:rPr>
      </w:pPr>
      <w:r>
        <w:rPr>
          <w:rFonts w:ascii="仿宋_GB2312" w:eastAsia="仿宋_GB2312" w:hint="eastAsia"/>
          <w:b/>
          <w:sz w:val="30"/>
          <w:szCs w:val="30"/>
        </w:rPr>
        <w:t>（五）决议有效期：</w:t>
      </w:r>
      <w:r>
        <w:rPr>
          <w:rFonts w:ascii="仿宋_GB2312" w:eastAsia="仿宋_GB2312" w:hint="eastAsia"/>
          <w:sz w:val="30"/>
          <w:szCs w:val="30"/>
        </w:rPr>
        <w:t>该授权有效期截止2025年12月31日。</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专此报告，请予审议。</w:t>
      </w:r>
    </w:p>
    <w:p w:rsidR="00092652" w:rsidRDefault="0039522B">
      <w:pPr>
        <w:widowControl/>
        <w:jc w:val="left"/>
        <w:rPr>
          <w:rFonts w:ascii="仿宋_GB2312" w:eastAsia="仿宋_GB2312"/>
          <w:sz w:val="30"/>
          <w:szCs w:val="30"/>
        </w:rPr>
      </w:pPr>
      <w:r>
        <w:rPr>
          <w:rFonts w:ascii="仿宋_GB2312" w:eastAsia="仿宋_GB2312"/>
          <w:sz w:val="30"/>
          <w:szCs w:val="30"/>
        </w:rPr>
        <w:br w:type="page"/>
      </w:r>
    </w:p>
    <w:p w:rsidR="00092652" w:rsidRDefault="00C4392E">
      <w:pPr>
        <w:widowControl/>
        <w:spacing w:line="490" w:lineRule="exact"/>
        <w:ind w:firstLineChars="200" w:firstLine="600"/>
        <w:jc w:val="left"/>
        <w:rPr>
          <w:rFonts w:ascii="仿宋_GB2312" w:eastAsia="仿宋_GB2312"/>
          <w:sz w:val="30"/>
          <w:szCs w:val="30"/>
        </w:rPr>
      </w:pPr>
      <w:r>
        <w:rPr>
          <w:rFonts w:ascii="仿宋_GB2312" w:eastAsia="仿宋_GB2312"/>
          <w:noProof/>
          <w:sz w:val="30"/>
          <w:szCs w:val="30"/>
        </w:rPr>
        <w:lastRenderedPageBreak/>
        <mc:AlternateContent>
          <mc:Choice Requires="wps">
            <w:drawing>
              <wp:anchor distT="0" distB="0" distL="114300" distR="114300" simplePos="0" relativeHeight="251671552" behindDoc="0" locked="0" layoutInCell="1" allowOverlap="1" wp14:anchorId="1FF931DD" wp14:editId="35FAA2A8">
                <wp:simplePos x="0" y="0"/>
                <wp:positionH relativeFrom="column">
                  <wp:posOffset>-7620</wp:posOffset>
                </wp:positionH>
                <wp:positionV relativeFrom="paragraph">
                  <wp:posOffset>8890</wp:posOffset>
                </wp:positionV>
                <wp:extent cx="1426210" cy="594360"/>
                <wp:effectExtent l="0" t="0" r="3175" b="0"/>
                <wp:wrapSquare wrapText="bothSides"/>
                <wp:docPr id="16" name="文本框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621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15BAA" w:rsidRDefault="00115BAA">
                            <w:pPr>
                              <w:spacing w:line="400" w:lineRule="exact"/>
                              <w:jc w:val="center"/>
                              <w:rPr>
                                <w:rFonts w:ascii="宋体"/>
                                <w:color w:val="000000"/>
                                <w:szCs w:val="21"/>
                              </w:rPr>
                            </w:pPr>
                            <w:r>
                              <w:rPr>
                                <w:rFonts w:ascii="宋体" w:hint="eastAsia"/>
                                <w:color w:val="000000"/>
                                <w:szCs w:val="21"/>
                              </w:rPr>
                              <w:t>2020年年度股东大会</w:t>
                            </w:r>
                          </w:p>
                          <w:p w:rsidR="00115BAA" w:rsidRDefault="00115BAA">
                            <w:pPr>
                              <w:spacing w:line="400" w:lineRule="exact"/>
                              <w:jc w:val="center"/>
                              <w:rPr>
                                <w:rFonts w:ascii="宋体"/>
                                <w:color w:val="000000"/>
                                <w:szCs w:val="21"/>
                              </w:rPr>
                            </w:pPr>
                            <w:r>
                              <w:rPr>
                                <w:rFonts w:ascii="宋体" w:hint="eastAsia"/>
                                <w:color w:val="000000"/>
                                <w:szCs w:val="21"/>
                              </w:rPr>
                              <w:t>文件八　审议议案</w:t>
                            </w:r>
                          </w:p>
                          <w:p w:rsidR="00115BAA" w:rsidRDefault="00115BAA">
                            <w:pPr>
                              <w:rPr>
                                <w:szCs w:val="21"/>
                              </w:rPr>
                            </w:pPr>
                          </w:p>
                        </w:txbxContent>
                      </wps:txbx>
                      <wps:bodyPr wrap="none"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_x0000_s1034" type="#_x0000_t202" style="position:absolute;left:0;text-align:left;margin-left:-.6pt;margin-top:.7pt;width:112.3pt;height:46.8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">
                <v:path arrowok="t"/>
                <v:textbox>
                  <w:txbxContent>
                    <w:p w:rsidR="00115BAA" w:rsidRDefault="00115BAA">
                      <w:pPr>
                        <w:spacing w:line="400" w:lineRule="exact"/>
                        <w:jc w:val="center"/>
                        <w:rPr>
                          <w:rFonts w:ascii="宋体"/>
                          <w:color w:val="000000"/>
                          <w:szCs w:val="21"/>
                        </w:rPr>
                      </w:pPr>
                      <w:r>
                        <w:rPr>
                          <w:rFonts w:ascii="宋体" w:hint="eastAsia"/>
                          <w:color w:val="000000"/>
                          <w:szCs w:val="21"/>
                        </w:rPr>
                        <w:t>2020年年度股东大会</w:t>
                      </w:r>
                    </w:p>
                    <w:p w:rsidR="00115BAA" w:rsidRDefault="00115BAA">
                      <w:pPr>
                        <w:spacing w:line="400" w:lineRule="exact"/>
                        <w:jc w:val="center"/>
                        <w:rPr>
                          <w:rFonts w:ascii="宋体"/>
                          <w:color w:val="000000"/>
                          <w:szCs w:val="21"/>
                        </w:rPr>
                      </w:pPr>
                      <w:r>
                        <w:rPr>
                          <w:rFonts w:ascii="宋体" w:hint="eastAsia"/>
                          <w:color w:val="000000"/>
                          <w:szCs w:val="21"/>
                        </w:rPr>
                        <w:t>文件八　审议议案</w:t>
                      </w:r>
                    </w:p>
                    <w:p w:rsidR="00115BAA" w:rsidRDefault="00115BAA">
                      <w:pPr>
                        <w:rPr>
                          <w:szCs w:val="21"/>
                        </w:rPr>
                      </w:pPr>
                    </w:p>
                  </w:txbxContent>
                </v:textbox>
                <w10:wrap type="square"/>
              </v:shape>
            </w:pict>
          </mc:Fallback>
        </mc:AlternateContent>
      </w:r>
    </w:p>
    <w:p w:rsidR="00092652" w:rsidRDefault="00092652">
      <w:pPr>
        <w:widowControl/>
        <w:spacing w:line="490" w:lineRule="exact"/>
        <w:ind w:firstLineChars="200" w:firstLine="600"/>
        <w:jc w:val="left"/>
        <w:rPr>
          <w:rFonts w:ascii="仿宋_GB2312" w:eastAsia="仿宋_GB2312"/>
          <w:sz w:val="30"/>
          <w:szCs w:val="30"/>
        </w:rPr>
      </w:pPr>
    </w:p>
    <w:p w:rsidR="00092652" w:rsidRDefault="0039522B">
      <w:pPr>
        <w:widowControl/>
        <w:spacing w:line="520" w:lineRule="exact"/>
        <w:jc w:val="center"/>
        <w:rPr>
          <w:rFonts w:ascii="黑体" w:eastAsia="黑体"/>
          <w:sz w:val="32"/>
          <w:szCs w:val="32"/>
        </w:rPr>
      </w:pPr>
      <w:r>
        <w:rPr>
          <w:rFonts w:ascii="黑体" w:eastAsia="黑体" w:hint="eastAsia"/>
          <w:sz w:val="32"/>
          <w:szCs w:val="32"/>
        </w:rPr>
        <w:t>兴业银行股份有限公司</w:t>
      </w:r>
    </w:p>
    <w:p w:rsidR="00092652" w:rsidRDefault="0039522B">
      <w:pPr>
        <w:pStyle w:val="1"/>
        <w:spacing w:before="0" w:after="0" w:line="520" w:lineRule="exact"/>
        <w:rPr>
          <w:szCs w:val="32"/>
        </w:rPr>
      </w:pPr>
      <w:bookmarkStart w:id="13" w:name="_Toc72437654"/>
      <w:r>
        <w:rPr>
          <w:rFonts w:hint="eastAsia"/>
          <w:szCs w:val="32"/>
        </w:rPr>
        <w:t>关于聘请2021年度会计师事务所的议案</w:t>
      </w:r>
      <w:bookmarkEnd w:id="13"/>
    </w:p>
    <w:p w:rsidR="00092652" w:rsidRDefault="0039522B">
      <w:pPr>
        <w:overflowPunct w:val="0"/>
        <w:snapToGrid w:val="0"/>
        <w:spacing w:line="460" w:lineRule="exact"/>
        <w:jc w:val="center"/>
        <w:rPr>
          <w:rFonts w:ascii="仿宋_GB2312" w:eastAsia="仿宋_GB2312"/>
          <w:sz w:val="30"/>
          <w:szCs w:val="28"/>
        </w:rPr>
      </w:pPr>
      <w:r>
        <w:rPr>
          <w:rFonts w:ascii="仿宋_GB2312" w:eastAsia="仿宋_GB2312" w:hint="eastAsia"/>
          <w:sz w:val="30"/>
          <w:szCs w:val="28"/>
        </w:rPr>
        <w:t>报告人：赖富荣</w:t>
      </w:r>
    </w:p>
    <w:p w:rsidR="00092652" w:rsidRDefault="0039522B" w:rsidP="003863DD">
      <w:pPr>
        <w:overflowPunct w:val="0"/>
        <w:snapToGrid w:val="0"/>
        <w:spacing w:beforeLines="50" w:before="156" w:line="580" w:lineRule="exact"/>
        <w:rPr>
          <w:rFonts w:ascii="仿宋_GB2312" w:eastAsia="仿宋_GB2312"/>
          <w:sz w:val="30"/>
          <w:szCs w:val="28"/>
        </w:rPr>
      </w:pPr>
      <w:r>
        <w:rPr>
          <w:rFonts w:ascii="仿宋_GB2312" w:eastAsia="仿宋_GB2312" w:hint="eastAsia"/>
          <w:sz w:val="30"/>
          <w:szCs w:val="28"/>
        </w:rPr>
        <w:t>各位股东：</w:t>
      </w:r>
    </w:p>
    <w:p w:rsidR="00092652" w:rsidRDefault="0039522B">
      <w:pPr>
        <w:autoSpaceDE w:val="0"/>
        <w:autoSpaceDN w:val="0"/>
        <w:adjustRightInd w:val="0"/>
        <w:spacing w:line="520" w:lineRule="exact"/>
        <w:ind w:firstLineChars="200" w:firstLine="600"/>
        <w:jc w:val="left"/>
        <w:rPr>
          <w:rFonts w:ascii="仿宋_GB2312" w:eastAsia="仿宋_GB2312"/>
          <w:color w:val="000000"/>
          <w:sz w:val="30"/>
          <w:szCs w:val="30"/>
        </w:rPr>
      </w:pPr>
      <w:r>
        <w:rPr>
          <w:rFonts w:ascii="仿宋_GB2312" w:eastAsia="仿宋_GB2312" w:hint="eastAsia"/>
          <w:color w:val="000000"/>
          <w:sz w:val="30"/>
          <w:szCs w:val="30"/>
        </w:rPr>
        <w:t>本行章程规定，本行聘用会计师事务所由董事会审计与关联交易控制委员会提议、董事会审议后，提请股东大会决定，聘期一年，可以续聘</w:t>
      </w:r>
      <w:r>
        <w:rPr>
          <w:rFonts w:ascii="仿宋_GB2312" w:eastAsia="仿宋_GB2312"/>
          <w:color w:val="000000"/>
          <w:sz w:val="30"/>
          <w:szCs w:val="30"/>
        </w:rPr>
        <w:t>。</w:t>
      </w:r>
      <w:r>
        <w:rPr>
          <w:rFonts w:ascii="仿宋_GB2312" w:eastAsia="仿宋_GB2312" w:hint="eastAsia"/>
          <w:color w:val="000000"/>
          <w:sz w:val="30"/>
          <w:szCs w:val="30"/>
        </w:rPr>
        <w:t>现就有关情况报告如下：</w:t>
      </w:r>
    </w:p>
    <w:p w:rsidR="00092652" w:rsidRDefault="0039522B">
      <w:pPr>
        <w:autoSpaceDE w:val="0"/>
        <w:autoSpaceDN w:val="0"/>
        <w:adjustRightInd w:val="0"/>
        <w:spacing w:line="520" w:lineRule="exact"/>
        <w:ind w:firstLineChars="200" w:firstLine="600"/>
        <w:jc w:val="left"/>
        <w:rPr>
          <w:rFonts w:ascii="仿宋_GB2312" w:eastAsia="仿宋_GB2312"/>
          <w:color w:val="000000"/>
          <w:sz w:val="30"/>
          <w:szCs w:val="30"/>
        </w:rPr>
      </w:pPr>
      <w:r>
        <w:rPr>
          <w:rFonts w:ascii="仿宋_GB2312" w:eastAsia="仿宋_GB2312" w:hint="eastAsia"/>
          <w:color w:val="000000"/>
          <w:sz w:val="30"/>
          <w:szCs w:val="30"/>
        </w:rPr>
        <w:t>根据财政部2020年3月发布《国有金融企业选聘会计师事务所管理办法》（财金[2020]6号）规定，金融企业应采用招标的方式选聘会计师事务所，连续聘用同一会计师事务所原则上不超过5年。5年届满，根据会计师事务所前期审计质量情况、股东评价、金融监管部门的意见等，金融企业经履行相关决策程序后，可适当延长续聘年限，但不得超过8年。</w:t>
      </w:r>
    </w:p>
    <w:p w:rsidR="00092652" w:rsidRDefault="0039522B">
      <w:pPr>
        <w:autoSpaceDE w:val="0"/>
        <w:autoSpaceDN w:val="0"/>
        <w:adjustRightInd w:val="0"/>
        <w:spacing w:line="520" w:lineRule="exact"/>
        <w:ind w:firstLineChars="200" w:firstLine="600"/>
        <w:jc w:val="left"/>
        <w:rPr>
          <w:rFonts w:ascii="仿宋_GB2312" w:eastAsia="仿宋_GB2312"/>
          <w:color w:val="000000"/>
          <w:sz w:val="30"/>
          <w:szCs w:val="30"/>
        </w:rPr>
      </w:pPr>
      <w:r>
        <w:rPr>
          <w:rFonts w:ascii="仿宋_GB2312" w:eastAsia="仿宋_GB2312" w:hint="eastAsia"/>
          <w:color w:val="000000"/>
          <w:sz w:val="30"/>
          <w:szCs w:val="30"/>
        </w:rPr>
        <w:t>毕马威华振会计师事务所在20</w:t>
      </w:r>
      <w:r>
        <w:rPr>
          <w:rFonts w:ascii="仿宋_GB2312" w:eastAsia="仿宋_GB2312"/>
          <w:color w:val="000000"/>
          <w:sz w:val="30"/>
          <w:szCs w:val="30"/>
        </w:rPr>
        <w:t>20</w:t>
      </w:r>
      <w:r>
        <w:rPr>
          <w:rFonts w:ascii="仿宋_GB2312" w:eastAsia="仿宋_GB2312" w:hint="eastAsia"/>
          <w:color w:val="000000"/>
          <w:sz w:val="30"/>
          <w:szCs w:val="30"/>
        </w:rPr>
        <w:t>年的服务过程中，切实履行服务承诺，能够提供优质的审计服务，并在健全内部管理、规范创新业务会计核算、配合新收入准则实施和提高信息披露质量等方面提供有价值的增值服务，符合续聘要求。经审查评估，本行认为毕马威华振会计师事务所在执业资质、专业胜任能力、投资者保护能力、独立性和诚信状况等方面均符合监管规定。</w:t>
      </w:r>
    </w:p>
    <w:p w:rsidR="00092652" w:rsidRDefault="0039522B">
      <w:pPr>
        <w:autoSpaceDE w:val="0"/>
        <w:autoSpaceDN w:val="0"/>
        <w:adjustRightInd w:val="0"/>
        <w:spacing w:line="520" w:lineRule="exact"/>
        <w:ind w:firstLineChars="200" w:firstLine="600"/>
        <w:jc w:val="left"/>
        <w:rPr>
          <w:rFonts w:ascii="仿宋_GB2312" w:eastAsia="仿宋_GB2312"/>
          <w:color w:val="000000"/>
          <w:sz w:val="30"/>
          <w:szCs w:val="30"/>
        </w:rPr>
      </w:pPr>
      <w:r>
        <w:rPr>
          <w:rFonts w:ascii="仿宋_GB2312" w:eastAsia="仿宋_GB2312" w:hint="eastAsia"/>
          <w:color w:val="000000"/>
          <w:sz w:val="30"/>
          <w:szCs w:val="30"/>
        </w:rPr>
        <w:t>根据上述情况，本行拟继续聘请毕马威华振会计师事务所为本行202</w:t>
      </w:r>
      <w:r>
        <w:rPr>
          <w:rFonts w:ascii="仿宋_GB2312" w:eastAsia="仿宋_GB2312"/>
          <w:color w:val="000000"/>
          <w:sz w:val="30"/>
          <w:szCs w:val="30"/>
        </w:rPr>
        <w:t>1</w:t>
      </w:r>
      <w:r>
        <w:rPr>
          <w:rFonts w:ascii="仿宋_GB2312" w:eastAsia="仿宋_GB2312" w:hint="eastAsia"/>
          <w:color w:val="000000"/>
          <w:sz w:val="30"/>
          <w:szCs w:val="30"/>
        </w:rPr>
        <w:t>年度法定会计师事务所，聘期一年。202</w:t>
      </w:r>
      <w:r>
        <w:rPr>
          <w:rFonts w:ascii="仿宋_GB2312" w:eastAsia="仿宋_GB2312"/>
          <w:color w:val="000000"/>
          <w:sz w:val="30"/>
          <w:szCs w:val="30"/>
        </w:rPr>
        <w:t>1</w:t>
      </w:r>
      <w:r>
        <w:rPr>
          <w:rFonts w:ascii="仿宋_GB2312" w:eastAsia="仿宋_GB2312" w:hint="eastAsia"/>
          <w:color w:val="000000"/>
          <w:sz w:val="30"/>
          <w:szCs w:val="30"/>
        </w:rPr>
        <w:t>年年报审计、半年报审阅及内部控制审计合计总费用（包括各项代垫费用及税费等）为人民币8</w:t>
      </w:r>
      <w:r>
        <w:rPr>
          <w:rFonts w:ascii="仿宋_GB2312" w:eastAsia="仿宋_GB2312"/>
          <w:color w:val="000000"/>
          <w:sz w:val="30"/>
          <w:szCs w:val="30"/>
        </w:rPr>
        <w:t>4</w:t>
      </w:r>
      <w:r>
        <w:rPr>
          <w:rFonts w:ascii="仿宋_GB2312" w:eastAsia="仿宋_GB2312" w:hint="eastAsia"/>
          <w:color w:val="000000"/>
          <w:sz w:val="30"/>
          <w:szCs w:val="30"/>
        </w:rPr>
        <w:t>3万元；其中年报审计费用人民币</w:t>
      </w:r>
      <w:r>
        <w:rPr>
          <w:rFonts w:ascii="仿宋_GB2312" w:eastAsia="仿宋_GB2312"/>
          <w:color w:val="000000"/>
          <w:sz w:val="30"/>
          <w:szCs w:val="30"/>
        </w:rPr>
        <w:t>458</w:t>
      </w:r>
      <w:r>
        <w:rPr>
          <w:rFonts w:ascii="仿宋_GB2312" w:eastAsia="仿宋_GB2312" w:hint="eastAsia"/>
          <w:color w:val="000000"/>
          <w:sz w:val="30"/>
          <w:szCs w:val="30"/>
        </w:rPr>
        <w:t>万元，半年报审阅费用人民币</w:t>
      </w:r>
      <w:r>
        <w:rPr>
          <w:rFonts w:ascii="仿宋_GB2312" w:eastAsia="仿宋_GB2312"/>
          <w:color w:val="000000"/>
          <w:sz w:val="30"/>
          <w:szCs w:val="30"/>
        </w:rPr>
        <w:t>220</w:t>
      </w:r>
      <w:r>
        <w:rPr>
          <w:rFonts w:ascii="仿宋_GB2312" w:eastAsia="仿宋_GB2312" w:hint="eastAsia"/>
          <w:color w:val="000000"/>
          <w:sz w:val="30"/>
          <w:szCs w:val="30"/>
        </w:rPr>
        <w:t>万元，内部控制审计费用人民币</w:t>
      </w:r>
      <w:r>
        <w:rPr>
          <w:rFonts w:ascii="仿宋_GB2312" w:eastAsia="仿宋_GB2312"/>
          <w:color w:val="000000"/>
          <w:sz w:val="30"/>
          <w:szCs w:val="30"/>
        </w:rPr>
        <w:t>165</w:t>
      </w:r>
      <w:r>
        <w:rPr>
          <w:rFonts w:ascii="仿宋_GB2312" w:eastAsia="仿宋_GB2312" w:hint="eastAsia"/>
          <w:color w:val="000000"/>
          <w:sz w:val="30"/>
          <w:szCs w:val="30"/>
        </w:rPr>
        <w:t>万元。</w:t>
      </w:r>
    </w:p>
    <w:p w:rsidR="00092652" w:rsidRDefault="0039522B">
      <w:pPr>
        <w:autoSpaceDE w:val="0"/>
        <w:autoSpaceDN w:val="0"/>
        <w:adjustRightInd w:val="0"/>
        <w:spacing w:line="520" w:lineRule="exact"/>
        <w:ind w:firstLineChars="200" w:firstLine="600"/>
        <w:jc w:val="left"/>
        <w:rPr>
          <w:rFonts w:ascii="仿宋_GB2312" w:eastAsia="仿宋_GB2312"/>
          <w:color w:val="000000"/>
          <w:sz w:val="30"/>
          <w:szCs w:val="30"/>
        </w:rPr>
      </w:pPr>
      <w:r>
        <w:rPr>
          <w:rFonts w:ascii="仿宋_GB2312" w:eastAsia="仿宋_GB2312" w:hint="eastAsia"/>
          <w:color w:val="000000"/>
          <w:sz w:val="30"/>
          <w:szCs w:val="30"/>
        </w:rPr>
        <w:lastRenderedPageBreak/>
        <w:t>202</w:t>
      </w:r>
      <w:r>
        <w:rPr>
          <w:rFonts w:ascii="仿宋_GB2312" w:eastAsia="仿宋_GB2312"/>
          <w:color w:val="000000"/>
          <w:sz w:val="30"/>
          <w:szCs w:val="30"/>
        </w:rPr>
        <w:t>1</w:t>
      </w:r>
      <w:r>
        <w:rPr>
          <w:rFonts w:ascii="仿宋_GB2312" w:eastAsia="仿宋_GB2312" w:hint="eastAsia"/>
          <w:color w:val="000000"/>
          <w:sz w:val="30"/>
          <w:szCs w:val="30"/>
        </w:rPr>
        <w:t>年度审计费较20</w:t>
      </w:r>
      <w:r>
        <w:rPr>
          <w:rFonts w:ascii="仿宋_GB2312" w:eastAsia="仿宋_GB2312"/>
          <w:color w:val="000000"/>
          <w:sz w:val="30"/>
          <w:szCs w:val="30"/>
        </w:rPr>
        <w:t>20</w:t>
      </w:r>
      <w:r>
        <w:rPr>
          <w:rFonts w:ascii="仿宋_GB2312" w:eastAsia="仿宋_GB2312" w:hint="eastAsia"/>
          <w:color w:val="000000"/>
          <w:sz w:val="30"/>
          <w:szCs w:val="30"/>
        </w:rPr>
        <w:t>年度增加</w:t>
      </w:r>
      <w:r>
        <w:rPr>
          <w:rFonts w:ascii="仿宋_GB2312" w:eastAsia="仿宋_GB2312"/>
          <w:color w:val="000000"/>
          <w:sz w:val="30"/>
          <w:szCs w:val="30"/>
        </w:rPr>
        <w:t>40</w:t>
      </w:r>
      <w:r>
        <w:rPr>
          <w:rFonts w:ascii="仿宋_GB2312" w:eastAsia="仿宋_GB2312" w:hint="eastAsia"/>
          <w:color w:val="000000"/>
          <w:sz w:val="30"/>
          <w:szCs w:val="30"/>
        </w:rPr>
        <w:t>万元，增幅4.9</w:t>
      </w:r>
      <w:r>
        <w:rPr>
          <w:rFonts w:ascii="仿宋_GB2312" w:eastAsia="仿宋_GB2312"/>
          <w:color w:val="000000"/>
          <w:sz w:val="30"/>
          <w:szCs w:val="30"/>
        </w:rPr>
        <w:t>8</w:t>
      </w:r>
      <w:r>
        <w:rPr>
          <w:rFonts w:ascii="仿宋_GB2312" w:eastAsia="仿宋_GB2312" w:hint="eastAsia"/>
          <w:color w:val="000000"/>
          <w:sz w:val="30"/>
          <w:szCs w:val="30"/>
        </w:rPr>
        <w:t>%。费用增长的主要影响因素包括：</w:t>
      </w:r>
    </w:p>
    <w:p w:rsidR="00092652" w:rsidRDefault="0039522B">
      <w:pPr>
        <w:autoSpaceDE w:val="0"/>
        <w:autoSpaceDN w:val="0"/>
        <w:adjustRightInd w:val="0"/>
        <w:spacing w:line="520" w:lineRule="exact"/>
        <w:ind w:firstLineChars="200" w:firstLine="600"/>
        <w:jc w:val="left"/>
        <w:rPr>
          <w:rFonts w:ascii="仿宋_GB2312" w:eastAsia="仿宋_GB2312"/>
          <w:color w:val="000000"/>
          <w:sz w:val="30"/>
          <w:szCs w:val="30"/>
        </w:rPr>
      </w:pPr>
      <w:r>
        <w:rPr>
          <w:rFonts w:ascii="仿宋_GB2312" w:eastAsia="仿宋_GB2312" w:hint="eastAsia"/>
          <w:color w:val="000000"/>
          <w:sz w:val="30"/>
          <w:szCs w:val="30"/>
        </w:rPr>
        <w:t>一、业务规模增长，20</w:t>
      </w:r>
      <w:r>
        <w:rPr>
          <w:rFonts w:ascii="仿宋_GB2312" w:eastAsia="仿宋_GB2312"/>
          <w:color w:val="000000"/>
          <w:sz w:val="30"/>
          <w:szCs w:val="30"/>
        </w:rPr>
        <w:t>20</w:t>
      </w:r>
      <w:r>
        <w:rPr>
          <w:rFonts w:ascii="仿宋_GB2312" w:eastAsia="仿宋_GB2312" w:hint="eastAsia"/>
          <w:color w:val="000000"/>
          <w:sz w:val="30"/>
          <w:szCs w:val="30"/>
        </w:rPr>
        <w:t>年本行资产规模增长</w:t>
      </w:r>
      <w:r>
        <w:rPr>
          <w:rFonts w:ascii="仿宋_GB2312" w:eastAsia="仿宋_GB2312"/>
          <w:color w:val="000000"/>
          <w:sz w:val="30"/>
          <w:szCs w:val="30"/>
        </w:rPr>
        <w:t>10.47</w:t>
      </w:r>
      <w:r>
        <w:rPr>
          <w:rFonts w:ascii="仿宋_GB2312" w:eastAsia="仿宋_GB2312" w:hint="eastAsia"/>
          <w:color w:val="000000"/>
          <w:sz w:val="30"/>
          <w:szCs w:val="30"/>
        </w:rPr>
        <w:t>%，预计202</w:t>
      </w:r>
      <w:r>
        <w:rPr>
          <w:rFonts w:ascii="仿宋_GB2312" w:eastAsia="仿宋_GB2312"/>
          <w:color w:val="000000"/>
          <w:sz w:val="30"/>
          <w:szCs w:val="30"/>
        </w:rPr>
        <w:t>1</w:t>
      </w:r>
      <w:r>
        <w:rPr>
          <w:rFonts w:ascii="仿宋_GB2312" w:eastAsia="仿宋_GB2312" w:hint="eastAsia"/>
          <w:color w:val="000000"/>
          <w:sz w:val="30"/>
          <w:szCs w:val="30"/>
        </w:rPr>
        <w:t>年仍将保持平稳增长。</w:t>
      </w:r>
    </w:p>
    <w:p w:rsidR="00092652" w:rsidRDefault="0039522B">
      <w:pPr>
        <w:pStyle w:val="Default"/>
        <w:spacing w:line="520" w:lineRule="exact"/>
        <w:ind w:firstLineChars="202" w:firstLine="606"/>
        <w:rPr>
          <w:rFonts w:cs="Times New Roman"/>
          <w:kern w:val="2"/>
          <w:sz w:val="30"/>
          <w:szCs w:val="30"/>
        </w:rPr>
      </w:pPr>
      <w:r>
        <w:rPr>
          <w:rFonts w:hint="eastAsia"/>
          <w:sz w:val="30"/>
          <w:szCs w:val="30"/>
        </w:rPr>
        <w:t>二、</w:t>
      </w:r>
      <w:r>
        <w:rPr>
          <w:rFonts w:cs="Times New Roman" w:hint="eastAsia"/>
          <w:kern w:val="2"/>
          <w:sz w:val="30"/>
          <w:szCs w:val="30"/>
        </w:rPr>
        <w:t>202</w:t>
      </w:r>
      <w:r>
        <w:rPr>
          <w:rFonts w:cs="Times New Roman"/>
          <w:kern w:val="2"/>
          <w:sz w:val="30"/>
          <w:szCs w:val="30"/>
        </w:rPr>
        <w:t>1</w:t>
      </w:r>
      <w:r>
        <w:rPr>
          <w:rFonts w:cs="Times New Roman" w:hint="eastAsia"/>
          <w:kern w:val="2"/>
          <w:sz w:val="30"/>
          <w:szCs w:val="30"/>
        </w:rPr>
        <w:t>年新租赁准则首年实施，相应的审计复核程序有所增加。</w:t>
      </w:r>
    </w:p>
    <w:p w:rsidR="00092652" w:rsidRDefault="0039522B">
      <w:pPr>
        <w:pStyle w:val="Default"/>
        <w:spacing w:line="520" w:lineRule="exact"/>
        <w:ind w:firstLineChars="202" w:firstLine="606"/>
        <w:rPr>
          <w:sz w:val="30"/>
          <w:szCs w:val="30"/>
        </w:rPr>
      </w:pPr>
      <w:r>
        <w:rPr>
          <w:rFonts w:hint="eastAsia"/>
          <w:sz w:val="30"/>
          <w:szCs w:val="30"/>
        </w:rPr>
        <w:t>三、毕马威承诺在提供上述服务的基础上进一步强化增值服务，一是在支持创新业务、加强风险排查和管理、加强内控管理、加强集团综合化管理等方面进一步增加和强化相关增值服务；二是结合本行的实际需要以及行业内热点问题等加大培训服务支持力度。</w:t>
      </w:r>
    </w:p>
    <w:p w:rsidR="00092652" w:rsidRDefault="0039522B">
      <w:pPr>
        <w:autoSpaceDE w:val="0"/>
        <w:autoSpaceDN w:val="0"/>
        <w:adjustRightInd w:val="0"/>
        <w:spacing w:line="520" w:lineRule="exact"/>
        <w:ind w:firstLineChars="200" w:firstLine="600"/>
        <w:jc w:val="left"/>
        <w:rPr>
          <w:rFonts w:ascii="仿宋_GB2312" w:eastAsia="仿宋_GB2312"/>
          <w:color w:val="000000"/>
          <w:sz w:val="30"/>
          <w:szCs w:val="30"/>
        </w:rPr>
      </w:pPr>
      <w:r>
        <w:rPr>
          <w:rFonts w:ascii="仿宋_GB2312" w:eastAsia="仿宋_GB2312" w:hint="eastAsia"/>
          <w:color w:val="000000"/>
          <w:sz w:val="30"/>
          <w:szCs w:val="30"/>
        </w:rPr>
        <w:t>专此报告，请予审议。</w:t>
      </w:r>
    </w:p>
    <w:p w:rsidR="00092652" w:rsidRDefault="00092652">
      <w:pPr>
        <w:widowControl/>
        <w:spacing w:line="490" w:lineRule="exact"/>
        <w:ind w:firstLineChars="200" w:firstLine="600"/>
        <w:jc w:val="left"/>
        <w:rPr>
          <w:rFonts w:ascii="仿宋_GB2312" w:eastAsia="仿宋_GB2312"/>
          <w:sz w:val="30"/>
          <w:szCs w:val="30"/>
        </w:rPr>
      </w:pPr>
    </w:p>
    <w:p w:rsidR="00092652" w:rsidRDefault="0039522B">
      <w:pPr>
        <w:widowControl/>
        <w:jc w:val="left"/>
        <w:rPr>
          <w:rFonts w:ascii="仿宋_GB2312" w:eastAsia="仿宋_GB2312"/>
          <w:sz w:val="30"/>
          <w:szCs w:val="30"/>
        </w:rPr>
      </w:pPr>
      <w:r>
        <w:rPr>
          <w:rFonts w:ascii="仿宋_GB2312" w:eastAsia="仿宋_GB2312"/>
          <w:sz w:val="30"/>
          <w:szCs w:val="30"/>
        </w:rPr>
        <w:br w:type="page"/>
      </w:r>
    </w:p>
    <w:p w:rsidR="00092652" w:rsidRDefault="00C4392E">
      <w:pPr>
        <w:tabs>
          <w:tab w:val="left" w:pos="416"/>
          <w:tab w:val="left" w:pos="1086"/>
          <w:tab w:val="center" w:pos="4156"/>
        </w:tabs>
        <w:spacing w:line="500" w:lineRule="exact"/>
        <w:ind w:firstLineChars="200" w:firstLine="640"/>
      </w:pPr>
      <w:r>
        <w:rPr>
          <w:rFonts w:ascii="黑体" w:eastAsia="黑体"/>
          <w:noProof/>
          <w:sz w:val="32"/>
          <w:szCs w:val="32"/>
        </w:rPr>
        <w:lastRenderedPageBreak/>
        <mc:AlternateContent>
          <mc:Choice Requires="wps">
            <w:drawing>
              <wp:anchor distT="0" distB="0" distL="114300" distR="114300" simplePos="0" relativeHeight="251672576" behindDoc="0" locked="0" layoutInCell="1" allowOverlap="1" wp14:anchorId="6B3EE9C9" wp14:editId="679BAD4B">
                <wp:simplePos x="0" y="0"/>
                <wp:positionH relativeFrom="column">
                  <wp:posOffset>-15875</wp:posOffset>
                </wp:positionH>
                <wp:positionV relativeFrom="paragraph">
                  <wp:posOffset>0</wp:posOffset>
                </wp:positionV>
                <wp:extent cx="1426210" cy="594360"/>
                <wp:effectExtent l="0" t="0" r="3175" b="0"/>
                <wp:wrapSquare wrapText="bothSides"/>
                <wp:docPr id="15" name="文本框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621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15BAA" w:rsidRDefault="00115BAA">
                            <w:pPr>
                              <w:spacing w:line="400" w:lineRule="exact"/>
                              <w:jc w:val="center"/>
                              <w:rPr>
                                <w:rFonts w:ascii="宋体"/>
                                <w:color w:val="000000"/>
                                <w:szCs w:val="21"/>
                              </w:rPr>
                            </w:pPr>
                            <w:r>
                              <w:rPr>
                                <w:rFonts w:ascii="宋体" w:hint="eastAsia"/>
                                <w:color w:val="000000"/>
                                <w:szCs w:val="21"/>
                              </w:rPr>
                              <w:t>2020年年度股东大会</w:t>
                            </w:r>
                          </w:p>
                          <w:p w:rsidR="00115BAA" w:rsidRDefault="00115BAA">
                            <w:pPr>
                              <w:spacing w:line="400" w:lineRule="exact"/>
                              <w:jc w:val="center"/>
                              <w:rPr>
                                <w:rFonts w:ascii="宋体"/>
                                <w:color w:val="000000"/>
                                <w:szCs w:val="21"/>
                              </w:rPr>
                            </w:pPr>
                            <w:r>
                              <w:rPr>
                                <w:rFonts w:ascii="宋体" w:hint="eastAsia"/>
                                <w:color w:val="000000"/>
                                <w:szCs w:val="21"/>
                              </w:rPr>
                              <w:t>文件九　审议议案</w:t>
                            </w:r>
                          </w:p>
                          <w:p w:rsidR="00115BAA" w:rsidRDefault="00115BAA">
                            <w:pPr>
                              <w:rPr>
                                <w:szCs w:val="21"/>
                              </w:rPr>
                            </w:pPr>
                          </w:p>
                        </w:txbxContent>
                      </wps:txbx>
                      <wps:bodyPr wrap="none"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_x0000_s1035" type="#_x0000_t202" style="position:absolute;left:0;text-align:left;margin-left:-1.25pt;margin-top:0;width:112.3pt;height:46.8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">
                <v:path arrowok="t"/>
                <v:textbox>
                  <w:txbxContent>
                    <w:p w:rsidR="00115BAA" w:rsidRDefault="00115BAA">
                      <w:pPr>
                        <w:spacing w:line="400" w:lineRule="exact"/>
                        <w:jc w:val="center"/>
                        <w:rPr>
                          <w:rFonts w:ascii="宋体"/>
                          <w:color w:val="000000"/>
                          <w:szCs w:val="21"/>
                        </w:rPr>
                      </w:pPr>
                      <w:r>
                        <w:rPr>
                          <w:rFonts w:ascii="宋体" w:hint="eastAsia"/>
                          <w:color w:val="000000"/>
                          <w:szCs w:val="21"/>
                        </w:rPr>
                        <w:t>2020年年度股东大会</w:t>
                      </w:r>
                    </w:p>
                    <w:p w:rsidR="00115BAA" w:rsidRDefault="00115BAA">
                      <w:pPr>
                        <w:spacing w:line="400" w:lineRule="exact"/>
                        <w:jc w:val="center"/>
                        <w:rPr>
                          <w:rFonts w:ascii="宋体"/>
                          <w:color w:val="000000"/>
                          <w:szCs w:val="21"/>
                        </w:rPr>
                      </w:pPr>
                      <w:r>
                        <w:rPr>
                          <w:rFonts w:ascii="宋体" w:hint="eastAsia"/>
                          <w:color w:val="000000"/>
                          <w:szCs w:val="21"/>
                        </w:rPr>
                        <w:t>文件九　审议议案</w:t>
                      </w:r>
                    </w:p>
                    <w:p w:rsidR="00115BAA" w:rsidRDefault="00115BAA">
                      <w:pPr>
                        <w:rPr>
                          <w:szCs w:val="21"/>
                        </w:rPr>
                      </w:pPr>
                    </w:p>
                  </w:txbxContent>
                </v:textbox>
                <w10:wrap type="square"/>
              </v:shape>
            </w:pict>
          </mc:Fallback>
        </mc:AlternateContent>
      </w:r>
    </w:p>
    <w:p w:rsidR="00092652" w:rsidRDefault="00092652">
      <w:pPr>
        <w:widowControl/>
        <w:spacing w:line="560" w:lineRule="exact"/>
        <w:jc w:val="center"/>
        <w:rPr>
          <w:rFonts w:ascii="黑体" w:eastAsia="黑体"/>
          <w:sz w:val="32"/>
          <w:szCs w:val="32"/>
        </w:rPr>
      </w:pPr>
    </w:p>
    <w:p w:rsidR="00092652" w:rsidRDefault="0039522B">
      <w:pPr>
        <w:widowControl/>
        <w:spacing w:line="520" w:lineRule="exact"/>
        <w:jc w:val="center"/>
        <w:rPr>
          <w:rFonts w:ascii="黑体" w:eastAsia="黑体"/>
          <w:sz w:val="32"/>
          <w:szCs w:val="32"/>
        </w:rPr>
      </w:pPr>
      <w:r>
        <w:rPr>
          <w:rFonts w:ascii="黑体" w:eastAsia="黑体" w:hint="eastAsia"/>
          <w:sz w:val="32"/>
          <w:szCs w:val="32"/>
        </w:rPr>
        <w:t>兴业银行股份有限公司</w:t>
      </w:r>
    </w:p>
    <w:p w:rsidR="00092652" w:rsidRDefault="0039522B">
      <w:pPr>
        <w:pStyle w:val="1"/>
        <w:tabs>
          <w:tab w:val="clear" w:pos="432"/>
        </w:tabs>
        <w:spacing w:before="0" w:after="0" w:line="520" w:lineRule="exact"/>
        <w:ind w:left="567" w:rightChars="290" w:right="609" w:firstLine="0"/>
        <w:rPr>
          <w:szCs w:val="32"/>
        </w:rPr>
      </w:pPr>
      <w:bookmarkStart w:id="14" w:name="_Toc72437655"/>
      <w:r>
        <w:rPr>
          <w:rFonts w:cs="黑体" w:hint="eastAsia"/>
          <w:szCs w:val="32"/>
        </w:rPr>
        <w:t>关于中期资本管理规划（2021-2023年）的议案</w:t>
      </w:r>
      <w:bookmarkEnd w:id="14"/>
    </w:p>
    <w:p w:rsidR="00092652" w:rsidRDefault="0039522B">
      <w:pPr>
        <w:overflowPunct w:val="0"/>
        <w:snapToGrid w:val="0"/>
        <w:spacing w:line="500" w:lineRule="exact"/>
        <w:jc w:val="center"/>
        <w:rPr>
          <w:rFonts w:asciiTheme="minorHAnsi" w:eastAsia="仿宋_GB2312" w:hAnsiTheme="minorHAnsi"/>
          <w:sz w:val="30"/>
          <w:szCs w:val="30"/>
        </w:rPr>
      </w:pPr>
      <w:r>
        <w:rPr>
          <w:rFonts w:asciiTheme="minorHAnsi" w:eastAsia="仿宋_GB2312" w:hAnsiTheme="minorHAnsi" w:hint="eastAsia"/>
          <w:sz w:val="30"/>
          <w:szCs w:val="30"/>
        </w:rPr>
        <w:t>报告人：赖富荣</w:t>
      </w:r>
    </w:p>
    <w:p w:rsidR="00092652" w:rsidRDefault="00092652">
      <w:pPr>
        <w:widowControl/>
        <w:jc w:val="left"/>
      </w:pPr>
    </w:p>
    <w:p w:rsidR="00092652" w:rsidRDefault="0039522B">
      <w:pPr>
        <w:overflowPunct w:val="0"/>
        <w:snapToGrid w:val="0"/>
        <w:spacing w:line="520" w:lineRule="exact"/>
        <w:rPr>
          <w:rFonts w:ascii="仿宋_GB2312" w:eastAsia="仿宋_GB2312" w:hAnsi="Calibri"/>
          <w:sz w:val="30"/>
          <w:szCs w:val="30"/>
        </w:rPr>
      </w:pPr>
      <w:r>
        <w:rPr>
          <w:rFonts w:ascii="仿宋_GB2312" w:eastAsia="仿宋_GB2312" w:hAnsi="Calibri" w:hint="eastAsia"/>
          <w:sz w:val="30"/>
          <w:szCs w:val="30"/>
        </w:rPr>
        <w:t>各位股东：</w:t>
      </w:r>
    </w:p>
    <w:p w:rsidR="00092652" w:rsidRDefault="0039522B">
      <w:pPr>
        <w:overflowPunct w:val="0"/>
        <w:snapToGrid w:val="0"/>
        <w:spacing w:line="520" w:lineRule="exact"/>
        <w:ind w:firstLineChars="200" w:firstLine="600"/>
        <w:rPr>
          <w:rFonts w:ascii="仿宋_GB2312" w:eastAsia="仿宋_GB2312" w:hAnsi="Calibri"/>
          <w:sz w:val="30"/>
          <w:szCs w:val="30"/>
        </w:rPr>
      </w:pPr>
      <w:r>
        <w:rPr>
          <w:rFonts w:ascii="仿宋_GB2312" w:eastAsia="仿宋_GB2312" w:hAnsi="Calibri" w:hint="eastAsia"/>
          <w:sz w:val="30"/>
          <w:szCs w:val="30"/>
        </w:rPr>
        <w:t>为满足不断提高的资本监管要求，进一步加强和规范公司资本管理，保持充足的资本水平和较高的资本质量，增强公司服务实体经济能力，有效支持业务发展需要并满足股东回报要求，根据相关监管规定、公司未来发展战略和业务规划，特制定《兴业银行股份有限公司中期资本管理规划（20</w:t>
      </w:r>
      <w:r>
        <w:rPr>
          <w:rFonts w:ascii="仿宋_GB2312" w:eastAsia="仿宋_GB2312" w:hAnsi="Calibri"/>
          <w:sz w:val="30"/>
          <w:szCs w:val="30"/>
        </w:rPr>
        <w:t>21</w:t>
      </w:r>
      <w:r>
        <w:rPr>
          <w:rFonts w:ascii="仿宋_GB2312" w:eastAsia="仿宋_GB2312" w:hAnsi="Calibri" w:hint="eastAsia"/>
          <w:sz w:val="30"/>
          <w:szCs w:val="30"/>
        </w:rPr>
        <w:t>-202</w:t>
      </w:r>
      <w:r>
        <w:rPr>
          <w:rFonts w:ascii="仿宋_GB2312" w:eastAsia="仿宋_GB2312" w:hAnsi="Calibri"/>
          <w:sz w:val="30"/>
          <w:szCs w:val="30"/>
        </w:rPr>
        <w:t>3</w:t>
      </w:r>
      <w:r>
        <w:rPr>
          <w:rFonts w:ascii="仿宋_GB2312" w:eastAsia="仿宋_GB2312" w:hAnsi="Calibri" w:hint="eastAsia"/>
          <w:sz w:val="30"/>
          <w:szCs w:val="30"/>
        </w:rPr>
        <w:t>年）》，详见附件。</w:t>
      </w:r>
    </w:p>
    <w:p w:rsidR="00092652" w:rsidRDefault="0039522B">
      <w:pPr>
        <w:overflowPunct w:val="0"/>
        <w:snapToGrid w:val="0"/>
        <w:spacing w:line="520" w:lineRule="exact"/>
        <w:ind w:firstLineChars="200" w:firstLine="600"/>
        <w:rPr>
          <w:rFonts w:ascii="仿宋_GB2312" w:eastAsia="仿宋_GB2312" w:hAnsi="Calibri"/>
          <w:sz w:val="30"/>
          <w:szCs w:val="30"/>
        </w:rPr>
      </w:pPr>
      <w:r>
        <w:rPr>
          <w:rFonts w:ascii="仿宋_GB2312" w:eastAsia="仿宋_GB2312" w:hAnsi="Calibri" w:hint="eastAsia"/>
          <w:sz w:val="30"/>
          <w:szCs w:val="30"/>
        </w:rPr>
        <w:t>专此报告，请予审议。</w:t>
      </w:r>
    </w:p>
    <w:p w:rsidR="00092652" w:rsidRDefault="00092652">
      <w:pPr>
        <w:overflowPunct w:val="0"/>
        <w:snapToGrid w:val="0"/>
        <w:spacing w:line="520" w:lineRule="exact"/>
        <w:ind w:firstLineChars="200" w:firstLine="600"/>
        <w:rPr>
          <w:rFonts w:ascii="仿宋_GB2312" w:eastAsia="仿宋_GB2312" w:hAnsi="Calibri"/>
          <w:sz w:val="30"/>
          <w:szCs w:val="30"/>
        </w:rPr>
      </w:pPr>
    </w:p>
    <w:p w:rsidR="00092652" w:rsidRDefault="0039522B">
      <w:pPr>
        <w:widowControl/>
        <w:spacing w:line="490" w:lineRule="exact"/>
        <w:ind w:firstLineChars="200" w:firstLine="600"/>
        <w:jc w:val="left"/>
        <w:rPr>
          <w:rFonts w:ascii="仿宋_GB2312" w:eastAsia="仿宋_GB2312" w:hAnsi="Calibri"/>
          <w:sz w:val="30"/>
          <w:szCs w:val="30"/>
        </w:rPr>
      </w:pPr>
      <w:r>
        <w:rPr>
          <w:rFonts w:ascii="仿宋_GB2312" w:eastAsia="仿宋_GB2312" w:hAnsi="Calibri" w:hint="eastAsia"/>
          <w:sz w:val="30"/>
          <w:szCs w:val="30"/>
        </w:rPr>
        <w:t>附件：兴业银行股份有限公司中期资本管理规划（20</w:t>
      </w:r>
      <w:r>
        <w:rPr>
          <w:rFonts w:ascii="仿宋_GB2312" w:eastAsia="仿宋_GB2312" w:hAnsi="Calibri"/>
          <w:sz w:val="30"/>
          <w:szCs w:val="30"/>
        </w:rPr>
        <w:t>21</w:t>
      </w:r>
      <w:r>
        <w:rPr>
          <w:rFonts w:ascii="仿宋_GB2312" w:eastAsia="仿宋_GB2312" w:hAnsi="Calibri" w:hint="eastAsia"/>
          <w:sz w:val="30"/>
          <w:szCs w:val="30"/>
        </w:rPr>
        <w:t>-202</w:t>
      </w:r>
      <w:r>
        <w:rPr>
          <w:rFonts w:ascii="仿宋_GB2312" w:eastAsia="仿宋_GB2312" w:hAnsi="Calibri"/>
          <w:sz w:val="30"/>
          <w:szCs w:val="30"/>
        </w:rPr>
        <w:t>3</w:t>
      </w:r>
      <w:r>
        <w:rPr>
          <w:rFonts w:ascii="仿宋_GB2312" w:eastAsia="仿宋_GB2312" w:hAnsi="Calibri" w:hint="eastAsia"/>
          <w:sz w:val="30"/>
          <w:szCs w:val="30"/>
        </w:rPr>
        <w:t>年）</w:t>
      </w:r>
    </w:p>
    <w:p w:rsidR="00092652" w:rsidRDefault="00092652">
      <w:pPr>
        <w:widowControl/>
        <w:spacing w:line="490" w:lineRule="exact"/>
        <w:ind w:firstLineChars="200" w:firstLine="600"/>
        <w:jc w:val="left"/>
        <w:rPr>
          <w:rFonts w:ascii="仿宋_GB2312" w:eastAsia="仿宋_GB2312" w:hAnsi="Calibri"/>
          <w:sz w:val="30"/>
          <w:szCs w:val="30"/>
        </w:rPr>
      </w:pPr>
    </w:p>
    <w:p w:rsidR="00092652" w:rsidRDefault="0039522B">
      <w:pPr>
        <w:widowControl/>
        <w:jc w:val="left"/>
        <w:rPr>
          <w:rFonts w:ascii="仿宋_GB2312" w:eastAsia="仿宋_GB2312" w:hAnsi="Calibri"/>
          <w:sz w:val="30"/>
          <w:szCs w:val="30"/>
        </w:rPr>
      </w:pPr>
      <w:r>
        <w:rPr>
          <w:rFonts w:ascii="仿宋_GB2312" w:eastAsia="仿宋_GB2312" w:hAnsi="Calibri"/>
          <w:sz w:val="30"/>
          <w:szCs w:val="30"/>
        </w:rPr>
        <w:br w:type="page"/>
      </w:r>
    </w:p>
    <w:p w:rsidR="00092652" w:rsidRDefault="0039522B">
      <w:pPr>
        <w:spacing w:line="600" w:lineRule="exact"/>
        <w:jc w:val="left"/>
        <w:rPr>
          <w:rFonts w:ascii="宋体" w:hAnsi="宋体"/>
          <w:b/>
          <w:bCs/>
          <w:sz w:val="30"/>
          <w:szCs w:val="30"/>
        </w:rPr>
      </w:pPr>
      <w:r>
        <w:rPr>
          <w:rFonts w:ascii="仿宋_GB2312" w:eastAsia="仿宋_GB2312" w:hAnsi="宋体" w:hint="eastAsia"/>
          <w:sz w:val="30"/>
          <w:szCs w:val="30"/>
        </w:rPr>
        <w:lastRenderedPageBreak/>
        <w:t>附件</w:t>
      </w:r>
    </w:p>
    <w:p w:rsidR="00092652" w:rsidRDefault="0039522B">
      <w:pPr>
        <w:spacing w:line="600" w:lineRule="exact"/>
        <w:jc w:val="center"/>
        <w:rPr>
          <w:rFonts w:ascii="宋体" w:hAnsi="宋体"/>
          <w:b/>
          <w:bCs/>
          <w:sz w:val="30"/>
          <w:szCs w:val="30"/>
        </w:rPr>
      </w:pPr>
      <w:r>
        <w:rPr>
          <w:rFonts w:ascii="宋体" w:hAnsi="宋体" w:hint="eastAsia"/>
          <w:b/>
          <w:bCs/>
          <w:sz w:val="30"/>
          <w:szCs w:val="30"/>
        </w:rPr>
        <w:t>兴业银行股份有限公司</w:t>
      </w:r>
    </w:p>
    <w:p w:rsidR="00092652" w:rsidRDefault="0039522B">
      <w:pPr>
        <w:spacing w:line="600" w:lineRule="exact"/>
        <w:jc w:val="center"/>
        <w:rPr>
          <w:rFonts w:ascii="宋体" w:hAnsi="宋体"/>
          <w:b/>
          <w:bCs/>
          <w:sz w:val="30"/>
          <w:szCs w:val="30"/>
        </w:rPr>
      </w:pPr>
      <w:r>
        <w:rPr>
          <w:rFonts w:ascii="宋体" w:hAnsi="宋体" w:hint="eastAsia"/>
          <w:b/>
          <w:bCs/>
          <w:sz w:val="30"/>
          <w:szCs w:val="30"/>
        </w:rPr>
        <w:t>中期资本管理规划（20</w:t>
      </w:r>
      <w:r>
        <w:rPr>
          <w:rFonts w:ascii="宋体" w:hAnsi="宋体"/>
          <w:b/>
          <w:bCs/>
          <w:sz w:val="30"/>
          <w:szCs w:val="30"/>
        </w:rPr>
        <w:t>21</w:t>
      </w:r>
      <w:r>
        <w:rPr>
          <w:rFonts w:ascii="宋体" w:hAnsi="宋体" w:hint="eastAsia"/>
          <w:b/>
          <w:bCs/>
          <w:sz w:val="30"/>
          <w:szCs w:val="30"/>
        </w:rPr>
        <w:t>-202</w:t>
      </w:r>
      <w:r>
        <w:rPr>
          <w:rFonts w:ascii="宋体" w:hAnsi="宋体"/>
          <w:b/>
          <w:bCs/>
          <w:sz w:val="30"/>
          <w:szCs w:val="30"/>
        </w:rPr>
        <w:t>3</w:t>
      </w:r>
      <w:r>
        <w:rPr>
          <w:rFonts w:ascii="宋体" w:hAnsi="宋体" w:hint="eastAsia"/>
          <w:b/>
          <w:bCs/>
          <w:sz w:val="30"/>
          <w:szCs w:val="30"/>
        </w:rPr>
        <w:t>年）</w:t>
      </w:r>
    </w:p>
    <w:p w:rsidR="00092652" w:rsidRDefault="00092652">
      <w:pPr>
        <w:spacing w:line="600" w:lineRule="exact"/>
        <w:ind w:firstLineChars="200" w:firstLine="600"/>
        <w:rPr>
          <w:rFonts w:ascii="宋体" w:hAnsi="宋体"/>
          <w:sz w:val="30"/>
          <w:szCs w:val="30"/>
        </w:rPr>
      </w:pPr>
    </w:p>
    <w:p w:rsidR="00092652" w:rsidRDefault="0039522B">
      <w:pPr>
        <w:spacing w:line="520" w:lineRule="exact"/>
        <w:ind w:firstLineChars="200" w:firstLine="560"/>
        <w:rPr>
          <w:rFonts w:ascii="宋体" w:hAnsi="宋体"/>
          <w:sz w:val="28"/>
          <w:szCs w:val="28"/>
        </w:rPr>
      </w:pPr>
      <w:r>
        <w:rPr>
          <w:rFonts w:ascii="宋体" w:hAnsi="宋体" w:hint="eastAsia"/>
          <w:sz w:val="28"/>
          <w:szCs w:val="28"/>
        </w:rPr>
        <w:t>兴业银行股份有限公司（以下简称“公司”）为满足不断提高的资本监管要求，增强服务实体经济能力，进一步加强和规范银行资本管理，保持银行充足的资本水平和较高的资本质量，有效支持银行业务发展需要并满足股东回报要求，根据相关监管规定、公司未来发展战略和业务规划，特制定《兴业银行股份有限公司中期资本管理规划（2021-2023年）》。</w:t>
      </w:r>
    </w:p>
    <w:p w:rsidR="00092652" w:rsidRDefault="0039522B">
      <w:pPr>
        <w:spacing w:line="520" w:lineRule="exact"/>
        <w:ind w:firstLineChars="200" w:firstLine="562"/>
        <w:rPr>
          <w:rFonts w:ascii="宋体" w:hAnsi="宋体"/>
          <w:b/>
          <w:sz w:val="28"/>
          <w:szCs w:val="28"/>
        </w:rPr>
      </w:pPr>
      <w:r>
        <w:rPr>
          <w:rFonts w:ascii="宋体" w:hAnsi="宋体" w:hint="eastAsia"/>
          <w:b/>
          <w:sz w:val="28"/>
          <w:szCs w:val="28"/>
        </w:rPr>
        <w:t>一、中期资本管理规划的考虑因素</w:t>
      </w:r>
    </w:p>
    <w:p w:rsidR="00092652" w:rsidRDefault="0039522B">
      <w:pPr>
        <w:spacing w:line="520" w:lineRule="exact"/>
        <w:ind w:firstLineChars="200" w:firstLine="562"/>
        <w:rPr>
          <w:rFonts w:ascii="宋体" w:hAnsi="宋体"/>
          <w:b/>
          <w:sz w:val="28"/>
          <w:szCs w:val="28"/>
        </w:rPr>
      </w:pPr>
      <w:r>
        <w:rPr>
          <w:rFonts w:ascii="宋体" w:hAnsi="宋体" w:hint="eastAsia"/>
          <w:b/>
          <w:sz w:val="28"/>
          <w:szCs w:val="28"/>
        </w:rPr>
        <w:t>（一）宏观经济金融走势</w:t>
      </w:r>
    </w:p>
    <w:p w:rsidR="00092652" w:rsidRDefault="0039522B">
      <w:pPr>
        <w:spacing w:line="520" w:lineRule="exact"/>
        <w:ind w:firstLineChars="200" w:firstLine="560"/>
        <w:rPr>
          <w:rFonts w:ascii="宋体" w:hAnsi="宋体"/>
          <w:sz w:val="28"/>
          <w:szCs w:val="28"/>
        </w:rPr>
      </w:pPr>
      <w:r>
        <w:rPr>
          <w:rFonts w:ascii="宋体" w:hAnsi="宋体" w:hint="eastAsia"/>
          <w:sz w:val="28"/>
          <w:szCs w:val="28"/>
        </w:rPr>
        <w:t>从国际形势看，受到新冠疫情的不利影响，世界经济下行风险加大，全球经济再平衡和产业格局进入再调整，新一轮产业分工、贸易格局和多元治理体系加快重塑。从国内形势看，国民经济运行逐步趋于正常，国家以“六稳”“六保”作为支撑点和抓手，稳定经济基本盘，坚定实施扩大内需战略，建设高水平全面开放格局，在改革中解决发展问题，培育经济新动能。从长期来看，我国发展仍然处于战略机遇期，经济稳中向好、长期向好的基本面没有变，以国内大循环为主体、国际国内双循环相互促进的新发展格局将加快形成。金融领域将继续深入推进供给侧结构性改革，完善金融机构体系、市场体系、产品体系，构建具有高度适应性、竞争力、普惠性的现代金融体系，同时金融监管政策将持续健全，继续保持严监管态势，特别是对商业银行的宏观审慎监管，未来商业银行资产负债组合的构成将面临更强的约束，对资本充足和资本质量的要求将不断提高。</w:t>
      </w:r>
    </w:p>
    <w:p w:rsidR="00092652" w:rsidRDefault="0039522B">
      <w:pPr>
        <w:spacing w:line="520" w:lineRule="exact"/>
        <w:ind w:firstLineChars="200" w:firstLine="560"/>
        <w:rPr>
          <w:rFonts w:ascii="宋体" w:hAnsi="宋体"/>
          <w:sz w:val="28"/>
          <w:szCs w:val="28"/>
        </w:rPr>
      </w:pPr>
      <w:r>
        <w:rPr>
          <w:rFonts w:ascii="宋体" w:hAnsi="宋体" w:hint="eastAsia"/>
          <w:sz w:val="28"/>
          <w:szCs w:val="28"/>
        </w:rPr>
        <w:t>在此背景下，银行业金融机构需要主动适应供给侧改革要求，顺</w:t>
      </w:r>
      <w:r>
        <w:rPr>
          <w:rFonts w:ascii="宋体" w:hAnsi="宋体" w:hint="eastAsia"/>
          <w:sz w:val="28"/>
          <w:szCs w:val="28"/>
        </w:rPr>
        <w:lastRenderedPageBreak/>
        <w:t>应宏观经济的发展形势和行业发展的变化，保持较高的资本充足水平及资本质量，以自身基础的稳固提升抵御风险能力，进一步提高服务实体经济的能力和水平。</w:t>
      </w:r>
    </w:p>
    <w:p w:rsidR="00092652" w:rsidRDefault="0039522B">
      <w:pPr>
        <w:spacing w:line="520" w:lineRule="exact"/>
        <w:ind w:firstLineChars="200" w:firstLine="562"/>
        <w:rPr>
          <w:rFonts w:ascii="宋体" w:hAnsi="宋体"/>
          <w:b/>
          <w:sz w:val="28"/>
          <w:szCs w:val="28"/>
        </w:rPr>
      </w:pPr>
      <w:r>
        <w:rPr>
          <w:rFonts w:ascii="宋体" w:hAnsi="宋体" w:hint="eastAsia"/>
          <w:b/>
          <w:sz w:val="28"/>
          <w:szCs w:val="28"/>
        </w:rPr>
        <w:t>（二）国内外资本监管环境</w:t>
      </w:r>
    </w:p>
    <w:p w:rsidR="00092652" w:rsidRDefault="0039522B">
      <w:pPr>
        <w:spacing w:line="520" w:lineRule="exact"/>
        <w:ind w:firstLineChars="200" w:firstLine="560"/>
        <w:rPr>
          <w:rFonts w:ascii="宋体" w:hAnsi="宋体"/>
          <w:sz w:val="28"/>
          <w:szCs w:val="28"/>
        </w:rPr>
      </w:pPr>
      <w:r>
        <w:rPr>
          <w:rFonts w:ascii="宋体" w:hAnsi="宋体" w:hint="eastAsia"/>
          <w:sz w:val="28"/>
          <w:szCs w:val="28"/>
        </w:rPr>
        <w:t>国际金融危机后，为弥补国际金融监管体系存在的制度性漏洞，金融稳定理事会和巴塞尔委员会于2010年末正式发布了《巴塞尔协议Ⅲ》。2014年以来，巴塞尔委员会陆续发布一系列改革风险加权资产计量框架的监管文件，以不断提高资本计量的审慎性与风险敏感性。2017年12月，巴塞尔委员会发布修订后的《巴塞尔Ⅲ：后危机改革的最终方案》，计划从2023年1月1日起逐步实施。与此同时，2015年，金融稳定理事会确立总损失吸收能力（Total Lost Absorb Capability，TLAC）基本框架，意在建立新的损失吸收层，以实现在巴塞尔资本工具不足以吸收损失时，通过TLAC债务工具减记或转股来实现“内部纾困”而非请求“外部援助”。</w:t>
      </w:r>
    </w:p>
    <w:p w:rsidR="00092652" w:rsidRDefault="0039522B">
      <w:pPr>
        <w:spacing w:line="520" w:lineRule="exact"/>
        <w:ind w:firstLineChars="200" w:firstLine="560"/>
        <w:rPr>
          <w:rFonts w:ascii="宋体" w:hAnsi="宋体"/>
          <w:sz w:val="28"/>
          <w:szCs w:val="28"/>
        </w:rPr>
      </w:pPr>
      <w:r>
        <w:rPr>
          <w:rFonts w:ascii="宋体" w:hAnsi="宋体" w:hint="eastAsia"/>
          <w:sz w:val="28"/>
          <w:szCs w:val="28"/>
        </w:rPr>
        <w:t>根据《巴塞尔协议Ⅲ》确定的资本监管精神，原中国银监会制定并发布了《商业银行资本管理办法（试行）》（以下简称“《资本管理办法》”），并于2013年起实施，提高了对于我国商业银行资本监管的标准，加大了商业银行资本补充压力。中国人民银行、中国银保监会2020年9月发布《关于建立逆周期资本缓冲机制的通知》，明确了我国逆周期资本缓冲的计提方式、覆盖范围及评估机制，并将综合考虑宏观经济金融形势、杠杆率水平、银行体系稳健性等因素，定期评估和调整逆周期资本缓冲要求，对于商业银行资本充足水平提出了更高要求。中国人民银行、中国银保监会2020年12月下发《系统重要性银行评估办法》，明确建立国内系统重要性金融机构的评估识别机制与监管框架，对系统重要性金融机构实施差异化监管，将从附加资本、杠杆率、大额风险暴露、公司治理、恢复处置计划、信息披露和数据</w:t>
      </w:r>
      <w:r>
        <w:rPr>
          <w:rFonts w:ascii="宋体" w:hAnsi="宋体" w:hint="eastAsia"/>
          <w:sz w:val="28"/>
          <w:szCs w:val="28"/>
        </w:rPr>
        <w:lastRenderedPageBreak/>
        <w:t>报送等方面提出更高监管要求。</w:t>
      </w:r>
    </w:p>
    <w:p w:rsidR="00092652" w:rsidRDefault="0039522B">
      <w:pPr>
        <w:spacing w:line="520" w:lineRule="exact"/>
        <w:ind w:firstLineChars="200" w:firstLine="562"/>
        <w:rPr>
          <w:rFonts w:ascii="宋体" w:hAnsi="宋体"/>
          <w:b/>
          <w:sz w:val="28"/>
          <w:szCs w:val="28"/>
        </w:rPr>
      </w:pPr>
      <w:r>
        <w:rPr>
          <w:rFonts w:ascii="宋体" w:hAnsi="宋体" w:hint="eastAsia"/>
          <w:b/>
          <w:sz w:val="28"/>
          <w:szCs w:val="28"/>
        </w:rPr>
        <w:t>二、中期资本管理规划目标</w:t>
      </w:r>
    </w:p>
    <w:p w:rsidR="00092652" w:rsidRDefault="0039522B">
      <w:pPr>
        <w:spacing w:line="520" w:lineRule="exact"/>
        <w:ind w:firstLineChars="200" w:firstLine="560"/>
        <w:rPr>
          <w:rFonts w:ascii="宋体" w:hAnsi="宋体"/>
          <w:sz w:val="28"/>
          <w:szCs w:val="28"/>
        </w:rPr>
      </w:pPr>
      <w:r>
        <w:rPr>
          <w:rFonts w:ascii="宋体" w:hAnsi="宋体" w:hint="eastAsia"/>
          <w:sz w:val="28"/>
          <w:szCs w:val="28"/>
        </w:rPr>
        <w:t>根据《资本管理办法》以及公司经营管理现状，公司资本充足率最低要求是在任一时点不低于当时的资本监管要求，在此基础上，公司还应持有一定的资本储备作为资本缓冲，以提高公司把握市场机会及抵御风险的能力。结合上述要求，公司（集团和银行法人）的资本充足率规划目标为：至2023年末，核心一级资本充足率不低于8.8%，一级资本充足率不低于9.8%，资本充足率不低于12.5%，并力争未来几年资本充足水平要高于同类银行平均水平，维持公司作为资本充足银行的良好市场形象。如经济金融形势出现较大波动，监管机构调整商业银行最低资本充足率要求，公司的资本充足率目标应随监管机构要求进行相应调整。</w:t>
      </w:r>
    </w:p>
    <w:p w:rsidR="00092652" w:rsidRDefault="0039522B">
      <w:pPr>
        <w:spacing w:line="520" w:lineRule="exact"/>
        <w:ind w:firstLineChars="200" w:firstLine="562"/>
        <w:rPr>
          <w:rFonts w:ascii="宋体" w:hAnsi="宋体"/>
          <w:b/>
          <w:sz w:val="28"/>
          <w:szCs w:val="28"/>
        </w:rPr>
      </w:pPr>
      <w:r>
        <w:rPr>
          <w:rFonts w:ascii="宋体" w:hAnsi="宋体" w:hint="eastAsia"/>
          <w:b/>
          <w:sz w:val="28"/>
          <w:szCs w:val="28"/>
        </w:rPr>
        <w:t>三、资本补充规划</w:t>
      </w:r>
    </w:p>
    <w:p w:rsidR="00092652" w:rsidRDefault="0039522B">
      <w:pPr>
        <w:spacing w:line="520" w:lineRule="exact"/>
        <w:ind w:firstLineChars="200" w:firstLine="560"/>
        <w:rPr>
          <w:rFonts w:ascii="宋体" w:hAnsi="宋体"/>
          <w:sz w:val="28"/>
          <w:szCs w:val="28"/>
        </w:rPr>
      </w:pPr>
      <w:r>
        <w:rPr>
          <w:rFonts w:ascii="宋体" w:hAnsi="宋体" w:hint="eastAsia"/>
          <w:sz w:val="28"/>
          <w:szCs w:val="28"/>
        </w:rPr>
        <w:t>公司资本补充以满足未来三年（2021-2023年）经营战略、业务发展和资本监管要求为目标，并遵循以下原则：</w:t>
      </w:r>
    </w:p>
    <w:p w:rsidR="00092652" w:rsidRDefault="0039522B">
      <w:pPr>
        <w:spacing w:line="520" w:lineRule="exact"/>
        <w:ind w:firstLineChars="200" w:firstLine="560"/>
        <w:rPr>
          <w:rFonts w:ascii="宋体" w:hAnsi="宋体"/>
          <w:sz w:val="28"/>
          <w:szCs w:val="28"/>
        </w:rPr>
      </w:pPr>
      <w:r>
        <w:rPr>
          <w:rFonts w:ascii="宋体" w:hAnsi="宋体" w:hint="eastAsia"/>
          <w:sz w:val="28"/>
          <w:szCs w:val="28"/>
        </w:rPr>
        <w:t>（一）坚持内生累积为主。公司将积极应对外部经营环境的变化，按照推动高质量发展、打造价值银行总要求，稳业绩、优结构、强特色、补短板、打基础、增动能，保障各项业务稳健、可持续发展，同时根据相关法律法规及《兴业银行股份有限公司章程》的规定制定稳健的现金分红政策，保持较强的利润积累能力，实现公司内生资本与风险加权资产的协调增长。</w:t>
      </w:r>
    </w:p>
    <w:p w:rsidR="00092652" w:rsidRDefault="0039522B">
      <w:pPr>
        <w:spacing w:line="520" w:lineRule="exact"/>
        <w:ind w:firstLineChars="200" w:firstLine="560"/>
        <w:rPr>
          <w:rFonts w:ascii="宋体" w:hAnsi="宋体"/>
          <w:sz w:val="28"/>
          <w:szCs w:val="28"/>
        </w:rPr>
      </w:pPr>
      <w:r>
        <w:rPr>
          <w:rFonts w:ascii="宋体" w:hAnsi="宋体" w:hint="eastAsia"/>
          <w:sz w:val="28"/>
          <w:szCs w:val="28"/>
        </w:rPr>
        <w:t>（二）补充一级资本。根据监管规定和资本市场情况，公司将适时发行符合《资本管理办法》规定的资本工具补充一级资本，包括但不限于普通股、可转换公司债券、优先股、无固定期限资本债券等，以进一步提升资本的损失吸收能力，增强风险抵御能力。</w:t>
      </w:r>
    </w:p>
    <w:p w:rsidR="00092652" w:rsidRDefault="0039522B">
      <w:pPr>
        <w:spacing w:line="520" w:lineRule="exact"/>
        <w:ind w:firstLineChars="200" w:firstLine="560"/>
        <w:rPr>
          <w:rFonts w:ascii="宋体" w:hAnsi="宋体"/>
          <w:sz w:val="28"/>
          <w:szCs w:val="28"/>
        </w:rPr>
      </w:pPr>
      <w:r>
        <w:rPr>
          <w:rFonts w:ascii="宋体" w:hAnsi="宋体" w:hint="eastAsia"/>
          <w:sz w:val="28"/>
          <w:szCs w:val="28"/>
        </w:rPr>
        <w:t>（三）补充二级资本。在监管许可的范围内，公司将考虑通过发</w:t>
      </w:r>
      <w:r>
        <w:rPr>
          <w:rFonts w:ascii="宋体" w:hAnsi="宋体" w:hint="eastAsia"/>
          <w:sz w:val="28"/>
          <w:szCs w:val="28"/>
        </w:rPr>
        <w:lastRenderedPageBreak/>
        <w:t>行二级资本债券等方式补充二级资本，以形成多元化的资本补充机制，在进一步提高资本充足水平的同时降低资本补充的融资成本，完善融资结构。</w:t>
      </w:r>
    </w:p>
    <w:p w:rsidR="00092652" w:rsidRDefault="0039522B">
      <w:pPr>
        <w:spacing w:line="520" w:lineRule="exact"/>
        <w:ind w:firstLineChars="200" w:firstLine="560"/>
        <w:rPr>
          <w:rFonts w:ascii="宋体" w:hAnsi="宋体"/>
          <w:sz w:val="28"/>
          <w:szCs w:val="28"/>
        </w:rPr>
      </w:pPr>
      <w:r>
        <w:rPr>
          <w:rFonts w:ascii="宋体" w:hAnsi="宋体" w:hint="eastAsia"/>
          <w:sz w:val="28"/>
          <w:szCs w:val="28"/>
        </w:rPr>
        <w:t>（四）创新资本补充工具。公司也将根据监管规定和市场情况，合理选择其他创新融资方式对资本进行补充。</w:t>
      </w:r>
    </w:p>
    <w:p w:rsidR="00092652" w:rsidRDefault="0039522B">
      <w:pPr>
        <w:spacing w:line="520" w:lineRule="exact"/>
        <w:ind w:firstLineChars="200" w:firstLine="562"/>
        <w:rPr>
          <w:rFonts w:ascii="宋体" w:hAnsi="宋体"/>
          <w:b/>
          <w:sz w:val="28"/>
          <w:szCs w:val="28"/>
        </w:rPr>
      </w:pPr>
      <w:r>
        <w:rPr>
          <w:rFonts w:ascii="宋体" w:hAnsi="宋体" w:hint="eastAsia"/>
          <w:b/>
          <w:sz w:val="28"/>
          <w:szCs w:val="28"/>
        </w:rPr>
        <w:t>四、资本管理措施</w:t>
      </w:r>
    </w:p>
    <w:p w:rsidR="00092652" w:rsidRDefault="0039522B">
      <w:pPr>
        <w:spacing w:line="520" w:lineRule="exact"/>
        <w:ind w:firstLineChars="200" w:firstLine="562"/>
        <w:rPr>
          <w:rFonts w:ascii="宋体" w:hAnsi="宋体"/>
          <w:b/>
          <w:sz w:val="28"/>
          <w:szCs w:val="28"/>
        </w:rPr>
      </w:pPr>
      <w:r>
        <w:rPr>
          <w:rFonts w:ascii="宋体" w:hAnsi="宋体" w:hint="eastAsia"/>
          <w:b/>
          <w:sz w:val="28"/>
          <w:szCs w:val="28"/>
        </w:rPr>
        <w:t>（一）完善资本管理组织架构和制度框架，满足公司发展需要</w:t>
      </w:r>
    </w:p>
    <w:p w:rsidR="00092652" w:rsidRDefault="0039522B">
      <w:pPr>
        <w:spacing w:line="520" w:lineRule="exact"/>
        <w:ind w:firstLineChars="200" w:firstLine="560"/>
        <w:rPr>
          <w:rFonts w:ascii="宋体" w:hAnsi="宋体"/>
          <w:sz w:val="28"/>
          <w:szCs w:val="28"/>
        </w:rPr>
      </w:pPr>
      <w:r>
        <w:rPr>
          <w:rFonts w:ascii="宋体" w:hAnsi="宋体" w:hint="eastAsia"/>
          <w:sz w:val="28"/>
          <w:szCs w:val="28"/>
        </w:rPr>
        <w:t>在较为完备的新资本协议第一支柱框架体系的基础上，进一步完善第二支柱建设，使新资本协议组织架构和制度框架充分覆盖资本充足率管理、内部评级管理、暴露分类、缓释认定、模型计量、体系验证、评级应用、压力测试、数据治理等各方面工作，提升公司资本管理水平，增强公司服务实体经济的能力，确保资本规划与公司经营状况、风险变化与长期发展战略相匹配，严格控制、防范金融业务风险。</w:t>
      </w:r>
    </w:p>
    <w:p w:rsidR="00092652" w:rsidRDefault="0039522B">
      <w:pPr>
        <w:spacing w:line="520" w:lineRule="exact"/>
        <w:ind w:firstLineChars="200" w:firstLine="562"/>
        <w:rPr>
          <w:rFonts w:ascii="宋体" w:hAnsi="宋体"/>
          <w:b/>
          <w:sz w:val="28"/>
          <w:szCs w:val="28"/>
        </w:rPr>
      </w:pPr>
      <w:r>
        <w:rPr>
          <w:rFonts w:ascii="宋体" w:hAnsi="宋体" w:hint="eastAsia"/>
          <w:b/>
          <w:sz w:val="28"/>
          <w:szCs w:val="28"/>
        </w:rPr>
        <w:t>（二）强化资本配置管理功能</w:t>
      </w:r>
      <w:r>
        <w:rPr>
          <w:rFonts w:ascii="宋体" w:hAnsi="宋体" w:hint="eastAsia"/>
          <w:sz w:val="28"/>
          <w:szCs w:val="28"/>
        </w:rPr>
        <w:t>，</w:t>
      </w:r>
      <w:r>
        <w:rPr>
          <w:rFonts w:ascii="宋体" w:hAnsi="宋体" w:hint="eastAsia"/>
          <w:b/>
          <w:sz w:val="28"/>
          <w:szCs w:val="28"/>
        </w:rPr>
        <w:t>进一步增强资本内生能力</w:t>
      </w:r>
    </w:p>
    <w:p w:rsidR="00092652" w:rsidRDefault="0039522B">
      <w:pPr>
        <w:spacing w:line="520" w:lineRule="exact"/>
        <w:ind w:firstLineChars="200" w:firstLine="560"/>
        <w:rPr>
          <w:rFonts w:ascii="宋体" w:hAnsi="宋体"/>
          <w:sz w:val="28"/>
          <w:szCs w:val="28"/>
        </w:rPr>
      </w:pPr>
      <w:r>
        <w:rPr>
          <w:rFonts w:ascii="宋体" w:hAnsi="宋体" w:hint="eastAsia"/>
          <w:sz w:val="28"/>
          <w:szCs w:val="28"/>
        </w:rPr>
        <w:t>继续强化资本集约化经营管理，不断完善和优化风险加权资产额度分配和控制管理机制，以风险加权资产收益率为导向，统筹安排各经营机构、各业务条线风险加权资产规模，合理调整资产业务结构，促进资本优化配置，进一步增强资本内生能力。</w:t>
      </w:r>
    </w:p>
    <w:p w:rsidR="00092652" w:rsidRDefault="0039522B">
      <w:pPr>
        <w:spacing w:line="520" w:lineRule="exact"/>
        <w:ind w:firstLineChars="200" w:firstLine="562"/>
        <w:rPr>
          <w:rFonts w:ascii="宋体" w:hAnsi="宋体"/>
          <w:sz w:val="28"/>
          <w:szCs w:val="28"/>
        </w:rPr>
      </w:pPr>
      <w:r>
        <w:rPr>
          <w:rFonts w:ascii="宋体" w:hAnsi="宋体" w:hint="eastAsia"/>
          <w:b/>
          <w:sz w:val="28"/>
          <w:szCs w:val="28"/>
        </w:rPr>
        <w:t>（三）稳步推进综合化、集团化进程，加强集团并表资本管理</w:t>
      </w:r>
    </w:p>
    <w:p w:rsidR="00092652" w:rsidRDefault="0039522B">
      <w:pPr>
        <w:spacing w:line="520" w:lineRule="exact"/>
        <w:ind w:firstLineChars="200" w:firstLine="560"/>
        <w:rPr>
          <w:rFonts w:ascii="宋体" w:hAnsi="宋体"/>
          <w:sz w:val="28"/>
          <w:szCs w:val="28"/>
        </w:rPr>
      </w:pPr>
      <w:r>
        <w:rPr>
          <w:rFonts w:ascii="宋体" w:hAnsi="宋体" w:hint="eastAsia"/>
          <w:sz w:val="28"/>
          <w:szCs w:val="28"/>
        </w:rPr>
        <w:t>坚持走多市场、综合化发展道路，从银行业务延伸和跨业经营两个维度，稳步推进综合化、集团化进程，建设以银行为主体、跨行业的综合金融服务体系；不断完善集团并表管理架构和流程，加强集团并表资本管理，统筹考虑各并表子公司监管达标、股东回报、业务发展和风险覆盖的需要，跟踪、监测各并表子公司的资本配置和使用，保持并表子公司稳健的资本充足水平和合理的资本结构。</w:t>
      </w:r>
    </w:p>
    <w:p w:rsidR="00092652" w:rsidRDefault="0039522B">
      <w:pPr>
        <w:spacing w:line="520" w:lineRule="exact"/>
        <w:ind w:firstLineChars="200" w:firstLine="562"/>
        <w:rPr>
          <w:rFonts w:ascii="宋体" w:hAnsi="宋体"/>
          <w:b/>
          <w:sz w:val="28"/>
          <w:szCs w:val="28"/>
        </w:rPr>
      </w:pPr>
      <w:r>
        <w:rPr>
          <w:rFonts w:ascii="宋体" w:hAnsi="宋体" w:hint="eastAsia"/>
          <w:b/>
          <w:sz w:val="28"/>
          <w:szCs w:val="28"/>
        </w:rPr>
        <w:t>（四）培育资本约束经营理念，优化资本管理技术手段</w:t>
      </w:r>
    </w:p>
    <w:p w:rsidR="00092652" w:rsidRDefault="0039522B">
      <w:pPr>
        <w:widowControl/>
        <w:spacing w:line="520" w:lineRule="exact"/>
        <w:ind w:firstLineChars="200" w:firstLine="560"/>
        <w:jc w:val="left"/>
        <w:rPr>
          <w:rFonts w:ascii="仿宋_GB2312" w:eastAsia="仿宋_GB2312" w:hAnsi="Calibri"/>
          <w:sz w:val="30"/>
          <w:szCs w:val="30"/>
        </w:rPr>
      </w:pPr>
      <w:r>
        <w:rPr>
          <w:rFonts w:ascii="宋体" w:hAnsi="宋体" w:hint="eastAsia"/>
          <w:sz w:val="28"/>
          <w:szCs w:val="28"/>
        </w:rPr>
        <w:lastRenderedPageBreak/>
        <w:t>持续开展内部培训，培育资本约束经营理念，推动新资本协议体系实施；持续推进内部评级成果在授信审批、资产质量管理、综合考评和拨备计提等方面的应用深化。</w:t>
      </w:r>
    </w:p>
    <w:p w:rsidR="00092652" w:rsidRDefault="00092652">
      <w:pPr>
        <w:widowControl/>
        <w:spacing w:line="520" w:lineRule="exact"/>
        <w:ind w:firstLineChars="200" w:firstLine="600"/>
        <w:jc w:val="left"/>
        <w:rPr>
          <w:rFonts w:ascii="仿宋_GB2312" w:eastAsia="仿宋_GB2312"/>
          <w:sz w:val="30"/>
          <w:szCs w:val="30"/>
        </w:rPr>
      </w:pPr>
    </w:p>
    <w:p w:rsidR="00092652" w:rsidRDefault="0039522B">
      <w:pPr>
        <w:widowControl/>
        <w:jc w:val="left"/>
        <w:rPr>
          <w:rFonts w:ascii="仿宋_GB2312" w:eastAsia="仿宋_GB2312"/>
          <w:sz w:val="30"/>
          <w:szCs w:val="30"/>
        </w:rPr>
      </w:pPr>
      <w:r>
        <w:rPr>
          <w:rFonts w:ascii="仿宋_GB2312" w:eastAsia="仿宋_GB2312"/>
          <w:sz w:val="30"/>
          <w:szCs w:val="30"/>
        </w:rPr>
        <w:br w:type="page"/>
      </w:r>
    </w:p>
    <w:p w:rsidR="00092652" w:rsidRDefault="00C4392E">
      <w:pPr>
        <w:tabs>
          <w:tab w:val="left" w:pos="416"/>
          <w:tab w:val="left" w:pos="1086"/>
          <w:tab w:val="center" w:pos="4156"/>
        </w:tabs>
        <w:spacing w:line="500" w:lineRule="exact"/>
        <w:ind w:firstLineChars="200" w:firstLine="640"/>
      </w:pPr>
      <w:r>
        <w:rPr>
          <w:rFonts w:ascii="黑体" w:eastAsia="黑体"/>
          <w:noProof/>
          <w:sz w:val="32"/>
          <w:szCs w:val="32"/>
        </w:rPr>
        <w:lastRenderedPageBreak/>
        <mc:AlternateContent>
          <mc:Choice Requires="wps">
            <w:drawing>
              <wp:anchor distT="0" distB="0" distL="114300" distR="114300" simplePos="0" relativeHeight="251673600" behindDoc="0" locked="0" layoutInCell="1" allowOverlap="1" wp14:anchorId="5A53F807" wp14:editId="625EFFF4">
                <wp:simplePos x="0" y="0"/>
                <wp:positionH relativeFrom="column">
                  <wp:posOffset>-15875</wp:posOffset>
                </wp:positionH>
                <wp:positionV relativeFrom="paragraph">
                  <wp:posOffset>0</wp:posOffset>
                </wp:positionV>
                <wp:extent cx="1426210" cy="594360"/>
                <wp:effectExtent l="0" t="0" r="3175" b="0"/>
                <wp:wrapSquare wrapText="bothSides"/>
                <wp:docPr id="14" name="文本框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621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15BAA" w:rsidRDefault="00115BAA">
                            <w:pPr>
                              <w:spacing w:line="400" w:lineRule="exact"/>
                              <w:jc w:val="center"/>
                              <w:rPr>
                                <w:rFonts w:ascii="宋体"/>
                                <w:color w:val="000000"/>
                                <w:szCs w:val="21"/>
                              </w:rPr>
                            </w:pPr>
                            <w:r>
                              <w:rPr>
                                <w:rFonts w:ascii="宋体" w:hint="eastAsia"/>
                                <w:color w:val="000000"/>
                                <w:szCs w:val="21"/>
                              </w:rPr>
                              <w:t>2020年年度股东大会</w:t>
                            </w:r>
                          </w:p>
                          <w:p w:rsidR="00115BAA" w:rsidRDefault="00115BAA">
                            <w:pPr>
                              <w:spacing w:line="400" w:lineRule="exact"/>
                              <w:jc w:val="center"/>
                              <w:rPr>
                                <w:rFonts w:ascii="宋体"/>
                                <w:color w:val="000000"/>
                                <w:szCs w:val="21"/>
                              </w:rPr>
                            </w:pPr>
                            <w:r>
                              <w:rPr>
                                <w:rFonts w:ascii="宋体" w:hint="eastAsia"/>
                                <w:color w:val="000000"/>
                                <w:szCs w:val="21"/>
                              </w:rPr>
                              <w:t>文件十　审议议案</w:t>
                            </w:r>
                          </w:p>
                          <w:p w:rsidR="00115BAA" w:rsidRDefault="00115BAA">
                            <w:pPr>
                              <w:rPr>
                                <w:szCs w:val="21"/>
                              </w:rPr>
                            </w:pPr>
                          </w:p>
                        </w:txbxContent>
                      </wps:txbx>
                      <wps:bodyPr wrap="none"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_x0000_s1036" type="#_x0000_t202" style="position:absolute;left:0;text-align:left;margin-left:-1.25pt;margin-top:0;width:112.3pt;height:46.8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">
                <v:path arrowok="t"/>
                <v:textbox>
                  <w:txbxContent>
                    <w:p w:rsidR="00115BAA" w:rsidRDefault="00115BAA">
                      <w:pPr>
                        <w:spacing w:line="400" w:lineRule="exact"/>
                        <w:jc w:val="center"/>
                        <w:rPr>
                          <w:rFonts w:ascii="宋体"/>
                          <w:color w:val="000000"/>
                          <w:szCs w:val="21"/>
                        </w:rPr>
                      </w:pPr>
                      <w:r>
                        <w:rPr>
                          <w:rFonts w:ascii="宋体" w:hint="eastAsia"/>
                          <w:color w:val="000000"/>
                          <w:szCs w:val="21"/>
                        </w:rPr>
                        <w:t>2020年年度股东大会</w:t>
                      </w:r>
                    </w:p>
                    <w:p w:rsidR="00115BAA" w:rsidRDefault="00115BAA">
                      <w:pPr>
                        <w:spacing w:line="400" w:lineRule="exact"/>
                        <w:jc w:val="center"/>
                        <w:rPr>
                          <w:rFonts w:ascii="宋体"/>
                          <w:color w:val="000000"/>
                          <w:szCs w:val="21"/>
                        </w:rPr>
                      </w:pPr>
                      <w:r>
                        <w:rPr>
                          <w:rFonts w:ascii="宋体" w:hint="eastAsia"/>
                          <w:color w:val="000000"/>
                          <w:szCs w:val="21"/>
                        </w:rPr>
                        <w:t>文件十　审议议案</w:t>
                      </w:r>
                    </w:p>
                    <w:p w:rsidR="00115BAA" w:rsidRDefault="00115BAA">
                      <w:pPr>
                        <w:rPr>
                          <w:szCs w:val="21"/>
                        </w:rPr>
                      </w:pPr>
                    </w:p>
                  </w:txbxContent>
                </v:textbox>
                <w10:wrap type="square"/>
              </v:shape>
            </w:pict>
          </mc:Fallback>
        </mc:AlternateContent>
      </w:r>
    </w:p>
    <w:p w:rsidR="00092652" w:rsidRDefault="00092652">
      <w:pPr>
        <w:widowControl/>
        <w:spacing w:line="560" w:lineRule="exact"/>
        <w:jc w:val="center"/>
        <w:rPr>
          <w:rFonts w:ascii="黑体" w:eastAsia="黑体"/>
          <w:sz w:val="32"/>
          <w:szCs w:val="32"/>
        </w:rPr>
      </w:pPr>
    </w:p>
    <w:p w:rsidR="00092652" w:rsidRDefault="0039522B">
      <w:pPr>
        <w:widowControl/>
        <w:spacing w:line="520" w:lineRule="exact"/>
        <w:jc w:val="center"/>
        <w:rPr>
          <w:rFonts w:ascii="黑体" w:eastAsia="黑体"/>
          <w:sz w:val="32"/>
          <w:szCs w:val="32"/>
        </w:rPr>
      </w:pPr>
      <w:r>
        <w:rPr>
          <w:rFonts w:ascii="黑体" w:eastAsia="黑体" w:hint="eastAsia"/>
          <w:sz w:val="32"/>
          <w:szCs w:val="32"/>
        </w:rPr>
        <w:t>兴业银行股份有限公司</w:t>
      </w:r>
    </w:p>
    <w:p w:rsidR="00092652" w:rsidRDefault="0039522B">
      <w:pPr>
        <w:pStyle w:val="1"/>
        <w:tabs>
          <w:tab w:val="clear" w:pos="432"/>
        </w:tabs>
        <w:spacing w:before="0" w:after="0" w:line="520" w:lineRule="exact"/>
        <w:ind w:left="567" w:rightChars="290" w:right="609" w:firstLine="0"/>
        <w:rPr>
          <w:szCs w:val="32"/>
        </w:rPr>
      </w:pPr>
      <w:bookmarkStart w:id="15" w:name="_Toc68195286"/>
      <w:bookmarkStart w:id="16" w:name="_Toc72437656"/>
      <w:r>
        <w:rPr>
          <w:rFonts w:cs="黑体" w:hint="eastAsia"/>
          <w:szCs w:val="32"/>
        </w:rPr>
        <w:t>关于给予部分关联方关联交易额度的议案</w:t>
      </w:r>
      <w:bookmarkEnd w:id="15"/>
      <w:bookmarkEnd w:id="16"/>
    </w:p>
    <w:p w:rsidR="00092652" w:rsidRDefault="0039522B">
      <w:pPr>
        <w:overflowPunct w:val="0"/>
        <w:snapToGrid w:val="0"/>
        <w:spacing w:line="500" w:lineRule="exact"/>
        <w:jc w:val="center"/>
        <w:rPr>
          <w:rFonts w:asciiTheme="minorHAnsi" w:eastAsia="仿宋_GB2312" w:hAnsiTheme="minorHAnsi"/>
          <w:sz w:val="30"/>
          <w:szCs w:val="30"/>
        </w:rPr>
      </w:pPr>
      <w:r>
        <w:rPr>
          <w:rFonts w:asciiTheme="minorHAnsi" w:eastAsia="仿宋_GB2312" w:hAnsiTheme="minorHAnsi" w:hint="eastAsia"/>
          <w:sz w:val="30"/>
          <w:szCs w:val="30"/>
        </w:rPr>
        <w:t>报告人：华</w:t>
      </w:r>
      <w:r>
        <w:rPr>
          <w:rFonts w:asciiTheme="minorHAnsi" w:eastAsia="仿宋_GB2312" w:hAnsiTheme="minorHAnsi" w:hint="eastAsia"/>
          <w:sz w:val="30"/>
          <w:szCs w:val="30"/>
        </w:rPr>
        <w:t xml:space="preserve">  </w:t>
      </w:r>
      <w:r>
        <w:rPr>
          <w:rFonts w:asciiTheme="minorHAnsi" w:eastAsia="仿宋_GB2312" w:hAnsiTheme="minorHAnsi" w:hint="eastAsia"/>
          <w:sz w:val="30"/>
          <w:szCs w:val="30"/>
        </w:rPr>
        <w:t>兵</w:t>
      </w:r>
    </w:p>
    <w:p w:rsidR="00092652" w:rsidRDefault="00092652">
      <w:pPr>
        <w:overflowPunct w:val="0"/>
        <w:snapToGrid w:val="0"/>
        <w:spacing w:line="500" w:lineRule="exact"/>
        <w:jc w:val="center"/>
        <w:rPr>
          <w:rFonts w:asciiTheme="minorHAnsi" w:eastAsia="仿宋_GB2312" w:hAnsiTheme="minorHAnsi"/>
          <w:sz w:val="30"/>
          <w:szCs w:val="30"/>
        </w:rPr>
      </w:pPr>
    </w:p>
    <w:p w:rsidR="00092652" w:rsidRDefault="0039522B">
      <w:pPr>
        <w:spacing w:line="520" w:lineRule="exact"/>
        <w:rPr>
          <w:rFonts w:ascii="仿宋_GB2312" w:eastAsia="仿宋_GB2312" w:hAnsi="宋体"/>
          <w:sz w:val="30"/>
          <w:szCs w:val="30"/>
        </w:rPr>
      </w:pPr>
      <w:r>
        <w:rPr>
          <w:rFonts w:ascii="仿宋_GB2312" w:eastAsia="仿宋_GB2312" w:hAnsi="宋体" w:hint="eastAsia"/>
          <w:sz w:val="30"/>
          <w:szCs w:val="30"/>
        </w:rPr>
        <w:t>各位股东：</w:t>
      </w:r>
    </w:p>
    <w:p w:rsidR="00092652" w:rsidRDefault="0039522B">
      <w:pPr>
        <w:overflowPunct w:val="0"/>
        <w:snapToGrid w:val="0"/>
        <w:spacing w:line="520" w:lineRule="exact"/>
        <w:ind w:firstLineChars="200" w:firstLine="600"/>
        <w:rPr>
          <w:rFonts w:ascii="仿宋_GB2312" w:eastAsia="仿宋_GB2312"/>
          <w:sz w:val="30"/>
          <w:szCs w:val="28"/>
        </w:rPr>
      </w:pPr>
      <w:r>
        <w:rPr>
          <w:rFonts w:ascii="仿宋_GB2312" w:eastAsia="仿宋_GB2312" w:hint="eastAsia"/>
          <w:sz w:val="30"/>
          <w:szCs w:val="28"/>
        </w:rPr>
        <w:t>关于给予部分关联方关联交易额度的有关议案已经2021年3月30日召开的第九届董事会第二十七次会议审议通过，其中拟给予中国人民保险集团股份有限公司及其关联企业（以下简称“人保系列”）、福建阳光集团有限公司及其关联企业（以下简称“阳光系列”）的关联交易额度已超过本行集团最近一期经审计净资产的</w:t>
      </w:r>
      <w:r>
        <w:rPr>
          <w:rFonts w:ascii="仿宋_GB2312" w:eastAsia="仿宋_GB2312"/>
          <w:sz w:val="30"/>
          <w:szCs w:val="28"/>
        </w:rPr>
        <w:t>5%</w:t>
      </w:r>
      <w:r>
        <w:rPr>
          <w:rFonts w:ascii="仿宋_GB2312" w:eastAsia="仿宋_GB2312" w:hint="eastAsia"/>
          <w:sz w:val="30"/>
          <w:szCs w:val="28"/>
        </w:rPr>
        <w:t>。根据原银监会《商业银行与内部人和股东关联交易管理办法》、证监会《公开发行证券的公司信息披露编报规则第26号-商业银行信息披露特别规定（2014年修订）》、上交所《上市公司关联交易实施指引》以及本行章程、《关联交易管理办法》等有关规定，上述关联交易事项还需提交股东大会审议，议案涉及的关联股东对本议案审议事项须回避表决，现提请股东大会审议。</w:t>
      </w:r>
    </w:p>
    <w:p w:rsidR="00092652" w:rsidRDefault="0039522B">
      <w:pPr>
        <w:overflowPunct w:val="0"/>
        <w:snapToGrid w:val="0"/>
        <w:spacing w:line="520" w:lineRule="exact"/>
        <w:ind w:firstLineChars="200" w:firstLine="602"/>
        <w:rPr>
          <w:rFonts w:ascii="仿宋_GB2312" w:eastAsia="仿宋_GB2312"/>
          <w:b/>
          <w:sz w:val="30"/>
          <w:szCs w:val="28"/>
        </w:rPr>
      </w:pPr>
      <w:r>
        <w:rPr>
          <w:rFonts w:ascii="仿宋_GB2312" w:eastAsia="仿宋_GB2312" w:hint="eastAsia"/>
          <w:b/>
          <w:sz w:val="30"/>
          <w:szCs w:val="28"/>
        </w:rPr>
        <w:t>一、关联交易概述</w:t>
      </w:r>
    </w:p>
    <w:p w:rsidR="00092652" w:rsidRDefault="0039522B">
      <w:pPr>
        <w:overflowPunct w:val="0"/>
        <w:snapToGrid w:val="0"/>
        <w:spacing w:line="520" w:lineRule="exact"/>
        <w:ind w:firstLineChars="200" w:firstLine="602"/>
        <w:rPr>
          <w:rFonts w:ascii="仿宋_GB2312" w:eastAsia="仿宋_GB2312"/>
          <w:b/>
          <w:sz w:val="30"/>
          <w:szCs w:val="28"/>
        </w:rPr>
      </w:pPr>
      <w:r>
        <w:rPr>
          <w:rFonts w:ascii="仿宋_GB2312" w:eastAsia="仿宋_GB2312"/>
          <w:b/>
          <w:sz w:val="30"/>
          <w:szCs w:val="28"/>
        </w:rPr>
        <w:t>1.</w:t>
      </w:r>
      <w:r>
        <w:rPr>
          <w:rFonts w:ascii="仿宋_GB2312" w:eastAsia="仿宋_GB2312" w:hint="eastAsia"/>
          <w:b/>
          <w:sz w:val="30"/>
          <w:szCs w:val="28"/>
        </w:rPr>
        <w:t>人保系列</w:t>
      </w:r>
    </w:p>
    <w:p w:rsidR="00092652" w:rsidRDefault="0039522B">
      <w:pPr>
        <w:overflowPunct w:val="0"/>
        <w:snapToGrid w:val="0"/>
        <w:spacing w:line="520" w:lineRule="exact"/>
        <w:ind w:firstLineChars="200" w:firstLine="600"/>
        <w:rPr>
          <w:rFonts w:ascii="仿宋_GB2312" w:eastAsia="仿宋_GB2312"/>
          <w:sz w:val="30"/>
          <w:szCs w:val="28"/>
        </w:rPr>
      </w:pPr>
      <w:r>
        <w:rPr>
          <w:rFonts w:ascii="仿宋_GB2312" w:eastAsia="仿宋_GB2312" w:hint="eastAsia"/>
          <w:sz w:val="30"/>
          <w:szCs w:val="28"/>
        </w:rPr>
        <w:t>本行</w:t>
      </w:r>
      <w:r>
        <w:rPr>
          <w:rFonts w:ascii="仿宋_GB2312" w:eastAsia="仿宋_GB2312"/>
          <w:sz w:val="30"/>
          <w:szCs w:val="28"/>
        </w:rPr>
        <w:t>2017</w:t>
      </w:r>
      <w:r>
        <w:rPr>
          <w:rFonts w:ascii="仿宋_GB2312" w:eastAsia="仿宋_GB2312" w:hint="eastAsia"/>
          <w:sz w:val="30"/>
          <w:szCs w:val="28"/>
        </w:rPr>
        <w:t>年年度股东大会</w:t>
      </w:r>
      <w:r>
        <w:rPr>
          <w:rFonts w:ascii="仿宋_GB2312" w:eastAsia="仿宋_GB2312" w:hAnsi="宋体" w:hint="eastAsia"/>
          <w:color w:val="000000"/>
          <w:sz w:val="30"/>
          <w:szCs w:val="30"/>
        </w:rPr>
        <w:t>于</w:t>
      </w:r>
      <w:r>
        <w:rPr>
          <w:rFonts w:ascii="仿宋_GB2312" w:eastAsia="仿宋_GB2312" w:hAnsi="宋体"/>
          <w:color w:val="000000"/>
          <w:sz w:val="30"/>
          <w:szCs w:val="30"/>
        </w:rPr>
        <w:t>2018年5月</w:t>
      </w:r>
      <w:r>
        <w:rPr>
          <w:rFonts w:ascii="仿宋_GB2312" w:eastAsia="仿宋_GB2312" w:hint="eastAsia"/>
          <w:sz w:val="30"/>
          <w:szCs w:val="28"/>
        </w:rPr>
        <w:t>审批给予人保系列关联交易额度人民币796亿元，有效期3年，包括：授信类关联交易额度人民币540亿元</w:t>
      </w:r>
      <w:r>
        <w:rPr>
          <w:rFonts w:ascii="仿宋_GB2312" w:eastAsia="仿宋_GB2312"/>
          <w:sz w:val="30"/>
          <w:szCs w:val="28"/>
        </w:rPr>
        <w:t>,</w:t>
      </w:r>
      <w:r>
        <w:rPr>
          <w:rFonts w:ascii="仿宋_GB2312" w:eastAsia="仿宋_GB2312" w:hint="eastAsia"/>
          <w:sz w:val="30"/>
          <w:szCs w:val="28"/>
        </w:rPr>
        <w:t>非授信类关联交易额度人民币256亿元。</w:t>
      </w:r>
    </w:p>
    <w:p w:rsidR="00092652" w:rsidRDefault="0039522B">
      <w:pPr>
        <w:overflowPunct w:val="0"/>
        <w:snapToGrid w:val="0"/>
        <w:spacing w:line="520" w:lineRule="exact"/>
        <w:ind w:firstLineChars="200" w:firstLine="600"/>
        <w:rPr>
          <w:rFonts w:ascii="仿宋_GB2312" w:eastAsia="仿宋_GB2312"/>
          <w:sz w:val="30"/>
          <w:szCs w:val="28"/>
        </w:rPr>
      </w:pPr>
      <w:r>
        <w:rPr>
          <w:rFonts w:ascii="仿宋_GB2312" w:eastAsia="仿宋_GB2312" w:hint="eastAsia"/>
          <w:sz w:val="30"/>
          <w:szCs w:val="28"/>
        </w:rPr>
        <w:t>由于原审批额度有效期已于2021年4月30日届满，本次申</w:t>
      </w:r>
      <w:r>
        <w:rPr>
          <w:rFonts w:ascii="仿宋_GB2312" w:eastAsia="仿宋_GB2312" w:hint="eastAsia"/>
          <w:sz w:val="30"/>
          <w:szCs w:val="28"/>
        </w:rPr>
        <w:lastRenderedPageBreak/>
        <w:t>请重新核定给予人保系列关联交易额度人民币796亿元，有效期3年，使用范围包括本行及本行并表附属机构，包括：授信类关联交易额度540亿元，用于各类短、中、长期业务品种；非授信类关联交易额度256亿元，交易类别包括客户定制理财、信贷资产转让、资金业务、保险服务、代理销售保险产品、保险资管产品投资、资产托管以及其他综合服务等。</w:t>
      </w:r>
    </w:p>
    <w:p w:rsidR="00092652" w:rsidRDefault="0039522B">
      <w:pPr>
        <w:overflowPunct w:val="0"/>
        <w:snapToGrid w:val="0"/>
        <w:spacing w:line="520" w:lineRule="exact"/>
        <w:ind w:firstLineChars="200" w:firstLine="602"/>
        <w:rPr>
          <w:rFonts w:ascii="仿宋_GB2312" w:eastAsia="仿宋_GB2312"/>
          <w:b/>
          <w:sz w:val="30"/>
          <w:szCs w:val="28"/>
        </w:rPr>
      </w:pPr>
      <w:r>
        <w:rPr>
          <w:rFonts w:ascii="仿宋_GB2312" w:eastAsia="仿宋_GB2312"/>
          <w:b/>
          <w:sz w:val="30"/>
          <w:szCs w:val="28"/>
        </w:rPr>
        <w:t>2.</w:t>
      </w:r>
      <w:r>
        <w:rPr>
          <w:rFonts w:ascii="仿宋_GB2312" w:eastAsia="仿宋_GB2312" w:hint="eastAsia"/>
          <w:b/>
          <w:sz w:val="30"/>
          <w:szCs w:val="28"/>
        </w:rPr>
        <w:t>阳光系列</w:t>
      </w:r>
    </w:p>
    <w:p w:rsidR="00092652" w:rsidRDefault="00395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2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本行</w:t>
      </w:r>
      <w:r>
        <w:rPr>
          <w:rFonts w:ascii="仿宋_GB2312" w:eastAsia="仿宋_GB2312" w:hAnsi="宋体"/>
          <w:color w:val="000000"/>
          <w:sz w:val="30"/>
          <w:szCs w:val="30"/>
        </w:rPr>
        <w:t>2018年年度股东大会于2019年5月</w:t>
      </w:r>
      <w:r>
        <w:rPr>
          <w:rFonts w:ascii="仿宋_GB2312" w:eastAsia="仿宋_GB2312" w:hAnsi="宋体" w:hint="eastAsia"/>
          <w:color w:val="000000"/>
          <w:sz w:val="30"/>
          <w:szCs w:val="30"/>
        </w:rPr>
        <w:t>追加给予阳光系列关联交易额度</w:t>
      </w:r>
      <w:r>
        <w:rPr>
          <w:rFonts w:ascii="仿宋_GB2312" w:eastAsia="仿宋_GB2312" w:hAnsi="宋体"/>
          <w:color w:val="000000"/>
          <w:sz w:val="30"/>
          <w:szCs w:val="30"/>
        </w:rPr>
        <w:t>40亿元，</w:t>
      </w:r>
      <w:r>
        <w:rPr>
          <w:rFonts w:ascii="仿宋_GB2312" w:eastAsia="仿宋_GB2312" w:hint="eastAsia"/>
          <w:kern w:val="0"/>
          <w:sz w:val="30"/>
          <w:szCs w:val="30"/>
        </w:rPr>
        <w:t>变更后阳光系列</w:t>
      </w:r>
      <w:r>
        <w:rPr>
          <w:rFonts w:ascii="仿宋_GB2312" w:eastAsia="仿宋_GB2312" w:hAnsi="宋体" w:hint="eastAsia"/>
          <w:color w:val="000000"/>
          <w:sz w:val="30"/>
          <w:szCs w:val="30"/>
        </w:rPr>
        <w:t>关联交易额度合计人民币</w:t>
      </w:r>
      <w:r>
        <w:rPr>
          <w:rFonts w:ascii="仿宋_GB2312" w:eastAsia="仿宋_GB2312" w:hAnsi="宋体"/>
          <w:color w:val="000000"/>
          <w:sz w:val="30"/>
          <w:szCs w:val="30"/>
        </w:rPr>
        <w:t>412亿元，有效期至2021年6月30日止，包括</w:t>
      </w:r>
      <w:r>
        <w:rPr>
          <w:rFonts w:ascii="仿宋_GB2312" w:eastAsia="仿宋_GB2312" w:hint="eastAsia"/>
          <w:sz w:val="30"/>
          <w:szCs w:val="30"/>
        </w:rPr>
        <w:t>授信类关联交易额度人民币</w:t>
      </w:r>
      <w:r>
        <w:rPr>
          <w:rFonts w:ascii="仿宋_GB2312" w:eastAsia="仿宋_GB2312" w:hAnsi="宋体"/>
          <w:color w:val="000000"/>
          <w:sz w:val="30"/>
          <w:szCs w:val="30"/>
        </w:rPr>
        <w:t>220亿元，</w:t>
      </w:r>
      <w:r>
        <w:rPr>
          <w:rFonts w:ascii="仿宋_GB2312" w:eastAsia="仿宋_GB2312" w:hAnsi="宋体" w:hint="eastAsia"/>
          <w:color w:val="000000"/>
          <w:sz w:val="30"/>
          <w:szCs w:val="30"/>
        </w:rPr>
        <w:t>非授信类关联交易额度人民币</w:t>
      </w:r>
      <w:r>
        <w:rPr>
          <w:rFonts w:ascii="仿宋_GB2312" w:eastAsia="仿宋_GB2312" w:hAnsi="宋体"/>
          <w:color w:val="000000"/>
          <w:sz w:val="30"/>
          <w:szCs w:val="30"/>
        </w:rPr>
        <w:t>192亿元。</w:t>
      </w:r>
    </w:p>
    <w:p w:rsidR="00092652" w:rsidRDefault="0039522B">
      <w:pPr>
        <w:overflowPunct w:val="0"/>
        <w:snapToGrid w:val="0"/>
        <w:spacing w:line="520" w:lineRule="exact"/>
        <w:ind w:firstLineChars="200" w:firstLine="600"/>
        <w:rPr>
          <w:rFonts w:ascii="仿宋_GB2312" w:eastAsia="仿宋_GB2312"/>
          <w:sz w:val="30"/>
          <w:szCs w:val="28"/>
        </w:rPr>
      </w:pPr>
      <w:r>
        <w:rPr>
          <w:rFonts w:ascii="仿宋_GB2312" w:eastAsia="仿宋_GB2312" w:hAnsi="宋体" w:hint="eastAsia"/>
          <w:color w:val="000000"/>
          <w:sz w:val="30"/>
          <w:szCs w:val="30"/>
        </w:rPr>
        <w:t>由于原审批额度有效期即将于</w:t>
      </w:r>
      <w:r>
        <w:rPr>
          <w:rFonts w:ascii="仿宋_GB2312" w:eastAsia="仿宋_GB2312" w:hAnsi="宋体"/>
          <w:color w:val="000000"/>
          <w:sz w:val="30"/>
          <w:szCs w:val="30"/>
        </w:rPr>
        <w:t>2021年6月30日届满，本次申请重新核定给予阳光系列</w:t>
      </w:r>
      <w:r>
        <w:rPr>
          <w:rFonts w:ascii="仿宋_GB2312" w:eastAsia="仿宋_GB2312" w:hAnsi="宋体" w:hint="eastAsia"/>
          <w:color w:val="000000"/>
          <w:sz w:val="30"/>
          <w:szCs w:val="30"/>
        </w:rPr>
        <w:t>关联交易额度人民币</w:t>
      </w:r>
      <w:r>
        <w:rPr>
          <w:rFonts w:ascii="仿宋_GB2312" w:eastAsia="仿宋_GB2312" w:hAnsi="宋体"/>
          <w:color w:val="000000"/>
          <w:sz w:val="30"/>
          <w:szCs w:val="30"/>
        </w:rPr>
        <w:t>357亿元，</w:t>
      </w:r>
      <w:r>
        <w:rPr>
          <w:rFonts w:ascii="仿宋_GB2312" w:eastAsia="仿宋_GB2312" w:hAnsi="宋体" w:cs="宋体" w:hint="eastAsia"/>
          <w:iCs/>
          <w:color w:val="000000"/>
          <w:kern w:val="0"/>
          <w:sz w:val="30"/>
          <w:szCs w:val="30"/>
        </w:rPr>
        <w:t>有效期</w:t>
      </w:r>
      <w:r>
        <w:rPr>
          <w:rFonts w:ascii="仿宋_GB2312" w:eastAsia="仿宋_GB2312" w:hAnsi="宋体" w:cs="宋体"/>
          <w:iCs/>
          <w:color w:val="000000"/>
          <w:kern w:val="0"/>
          <w:sz w:val="30"/>
          <w:szCs w:val="30"/>
        </w:rPr>
        <w:t>3年，</w:t>
      </w:r>
      <w:r>
        <w:rPr>
          <w:rFonts w:ascii="仿宋_GB2312" w:eastAsia="仿宋_GB2312" w:hAnsi="宋体" w:hint="eastAsia"/>
          <w:color w:val="000000"/>
          <w:sz w:val="30"/>
          <w:szCs w:val="30"/>
        </w:rPr>
        <w:t>使用范围包括本行及本行并表附属机构，</w:t>
      </w:r>
      <w:r>
        <w:rPr>
          <w:rFonts w:ascii="仿宋_GB2312" w:eastAsia="仿宋_GB2312" w:hint="eastAsia"/>
          <w:sz w:val="30"/>
          <w:szCs w:val="28"/>
        </w:rPr>
        <w:t>包括：授信类关联交易额度185亿元，用于各类短、中、长期业务品种，其中主体授信额度160亿元、非保本理财项下投资额度10亿元、子公司金融资产投资额度15亿元；非授信类关联交易额度172亿元，交易类别包括结构性存款及理财、资金业务、债券承销、信托与私募服务以及其他综合服务等。</w:t>
      </w:r>
    </w:p>
    <w:p w:rsidR="00092652" w:rsidRDefault="0039522B">
      <w:pPr>
        <w:overflowPunct w:val="0"/>
        <w:snapToGrid w:val="0"/>
        <w:spacing w:line="520" w:lineRule="exact"/>
        <w:ind w:firstLineChars="200" w:firstLine="602"/>
        <w:rPr>
          <w:rFonts w:ascii="仿宋_GB2312" w:eastAsia="仿宋_GB2312" w:hAnsi="宋体"/>
          <w:b/>
          <w:sz w:val="30"/>
          <w:szCs w:val="28"/>
        </w:rPr>
      </w:pPr>
      <w:r>
        <w:rPr>
          <w:rFonts w:ascii="仿宋_GB2312" w:eastAsia="仿宋_GB2312" w:hAnsi="宋体" w:hint="eastAsia"/>
          <w:b/>
          <w:sz w:val="30"/>
          <w:szCs w:val="28"/>
        </w:rPr>
        <w:t>二、关联方的基本情况</w:t>
      </w:r>
    </w:p>
    <w:p w:rsidR="00092652" w:rsidRDefault="0039522B">
      <w:pPr>
        <w:overflowPunct w:val="0"/>
        <w:snapToGrid w:val="0"/>
        <w:spacing w:line="520" w:lineRule="exact"/>
        <w:ind w:firstLineChars="200" w:firstLine="602"/>
        <w:rPr>
          <w:rFonts w:ascii="仿宋_GB2312" w:eastAsia="仿宋_GB2312" w:hAnsi="宋体" w:cs="宋体"/>
          <w:b/>
          <w:kern w:val="0"/>
          <w:sz w:val="30"/>
          <w:szCs w:val="28"/>
        </w:rPr>
      </w:pPr>
      <w:r>
        <w:rPr>
          <w:rFonts w:ascii="仿宋_GB2312" w:eastAsia="仿宋_GB2312" w:hAnsi="宋体" w:cs="宋体"/>
          <w:b/>
          <w:kern w:val="0"/>
          <w:sz w:val="30"/>
          <w:szCs w:val="28"/>
        </w:rPr>
        <w:t>1.</w:t>
      </w:r>
      <w:r>
        <w:rPr>
          <w:rFonts w:ascii="仿宋_GB2312" w:eastAsia="仿宋_GB2312" w:hAnsi="宋体" w:cs="宋体" w:hint="eastAsia"/>
          <w:b/>
          <w:kern w:val="0"/>
          <w:sz w:val="30"/>
          <w:szCs w:val="28"/>
        </w:rPr>
        <w:t>人保系列</w:t>
      </w:r>
    </w:p>
    <w:p w:rsidR="00092652" w:rsidRDefault="0039522B">
      <w:pPr>
        <w:overflowPunct w:val="0"/>
        <w:snapToGrid w:val="0"/>
        <w:spacing w:line="520" w:lineRule="exact"/>
        <w:ind w:firstLineChars="200" w:firstLine="600"/>
        <w:rPr>
          <w:rFonts w:ascii="仿宋_GB2312" w:eastAsia="仿宋_GB2312" w:hAnsi="宋体" w:cs="宋体"/>
          <w:kern w:val="0"/>
          <w:sz w:val="30"/>
          <w:szCs w:val="28"/>
        </w:rPr>
      </w:pPr>
      <w:r>
        <w:rPr>
          <w:rFonts w:ascii="仿宋_GB2312" w:eastAsia="仿宋_GB2312" w:hAnsi="宋体" w:cs="宋体" w:hint="eastAsia"/>
          <w:kern w:val="0"/>
          <w:sz w:val="30"/>
          <w:szCs w:val="28"/>
        </w:rPr>
        <w:t>中国人民保险集团股份有限公司前身中国人民保险公司于</w:t>
      </w:r>
      <w:r>
        <w:rPr>
          <w:rFonts w:ascii="仿宋_GB2312" w:eastAsia="仿宋_GB2312" w:hAnsi="宋体" w:cs="宋体"/>
          <w:kern w:val="0"/>
          <w:sz w:val="30"/>
          <w:szCs w:val="28"/>
        </w:rPr>
        <w:t>1949年10月20日在北京西交民巷108号挂牌成立，控股股东和实际控制人均为财政部,法定代表人罗熹，注册资本人民币442.24亿元。中国人民保险集团股份有限公司于2012年12月7日在香港联合交易所主板上市，于2018年11月16日在上海证</w:t>
      </w:r>
      <w:r>
        <w:rPr>
          <w:rFonts w:ascii="仿宋_GB2312" w:eastAsia="仿宋_GB2312" w:hAnsi="宋体" w:cs="宋体"/>
          <w:kern w:val="0"/>
          <w:sz w:val="30"/>
          <w:szCs w:val="28"/>
        </w:rPr>
        <w:lastRenderedPageBreak/>
        <w:t>券交易所主板上市，成为国内第五家</w:t>
      </w:r>
      <w:r>
        <w:rPr>
          <w:rFonts w:ascii="仿宋_GB2312" w:eastAsia="仿宋_GB2312" w:hAnsi="宋体" w:cs="宋体"/>
          <w:kern w:val="0"/>
          <w:sz w:val="30"/>
          <w:szCs w:val="28"/>
        </w:rPr>
        <w:t>“</w:t>
      </w:r>
      <w:r>
        <w:rPr>
          <w:rFonts w:ascii="仿宋_GB2312" w:eastAsia="仿宋_GB2312" w:hAnsi="宋体" w:cs="宋体"/>
          <w:kern w:val="0"/>
          <w:sz w:val="30"/>
          <w:szCs w:val="28"/>
        </w:rPr>
        <w:t>A+H</w:t>
      </w:r>
      <w:r>
        <w:rPr>
          <w:rFonts w:ascii="仿宋_GB2312" w:eastAsia="仿宋_GB2312" w:hAnsi="宋体" w:cs="宋体"/>
          <w:kern w:val="0"/>
          <w:sz w:val="30"/>
          <w:szCs w:val="28"/>
        </w:rPr>
        <w:t>”</w:t>
      </w:r>
      <w:r>
        <w:rPr>
          <w:rFonts w:ascii="仿宋_GB2312" w:eastAsia="仿宋_GB2312" w:hAnsi="宋体" w:cs="宋体"/>
          <w:kern w:val="0"/>
          <w:sz w:val="30"/>
          <w:szCs w:val="28"/>
        </w:rPr>
        <w:t>股上市的保险企业。</w:t>
      </w:r>
      <w:r>
        <w:rPr>
          <w:rFonts w:ascii="仿宋_GB2312" w:eastAsia="仿宋_GB2312" w:hAnsi="宋体" w:cs="宋体" w:hint="eastAsia"/>
          <w:kern w:val="0"/>
          <w:sz w:val="30"/>
          <w:szCs w:val="28"/>
        </w:rPr>
        <w:t>该集团是综合性保险金融集团，业务范围覆盖财产险、人身险、再保险、资产管理、不动产投资和另类投资、金融科技等领域。</w:t>
      </w:r>
      <w:r w:rsidR="002C748F" w:rsidRPr="00837B9D">
        <w:rPr>
          <w:rFonts w:ascii="仿宋_GB2312" w:eastAsia="仿宋_GB2312" w:hAnsi="宋体" w:cs="宋体" w:hint="eastAsia"/>
          <w:kern w:val="0"/>
          <w:sz w:val="30"/>
          <w:szCs w:val="28"/>
        </w:rPr>
        <w:t>截至2020年9月30日，该公司总资产人民币12577.04亿元，净资产人民币</w:t>
      </w:r>
      <w:r w:rsidR="002C748F">
        <w:rPr>
          <w:rFonts w:ascii="仿宋_GB2312" w:eastAsia="仿宋_GB2312" w:hAnsi="宋体" w:cs="宋体"/>
          <w:kern w:val="0"/>
          <w:sz w:val="30"/>
          <w:szCs w:val="28"/>
        </w:rPr>
        <w:t>2659.76亿元，</w:t>
      </w:r>
      <w:r w:rsidR="002C748F">
        <w:rPr>
          <w:rFonts w:ascii="仿宋_GB2312" w:eastAsia="仿宋_GB2312" w:hAnsi="宋体" w:cs="宋体" w:hint="eastAsia"/>
          <w:kern w:val="0"/>
          <w:sz w:val="30"/>
          <w:szCs w:val="28"/>
        </w:rPr>
        <w:t>资产负债率为</w:t>
      </w:r>
      <w:r w:rsidR="002C748F">
        <w:rPr>
          <w:rFonts w:ascii="仿宋_GB2312" w:eastAsia="仿宋_GB2312" w:hAnsi="宋体" w:cs="宋体"/>
          <w:kern w:val="0"/>
          <w:sz w:val="30"/>
          <w:szCs w:val="28"/>
        </w:rPr>
        <w:t>78.85%。2020年1-9月实现</w:t>
      </w:r>
      <w:r w:rsidR="002C748F" w:rsidRPr="00837B9D">
        <w:rPr>
          <w:rFonts w:ascii="仿宋_GB2312" w:eastAsia="仿宋_GB2312" w:hAnsi="宋体" w:cs="宋体" w:hint="eastAsia"/>
          <w:kern w:val="0"/>
          <w:sz w:val="30"/>
          <w:szCs w:val="28"/>
        </w:rPr>
        <w:t>收入人民币</w:t>
      </w:r>
      <w:r w:rsidR="002C748F">
        <w:rPr>
          <w:rFonts w:ascii="仿宋_GB2312" w:eastAsia="仿宋_GB2312" w:hAnsi="宋体" w:cs="宋体" w:hint="eastAsia"/>
          <w:kern w:val="0"/>
          <w:sz w:val="30"/>
          <w:szCs w:val="28"/>
        </w:rPr>
        <w:t>4530.65</w:t>
      </w:r>
      <w:r w:rsidR="002C748F" w:rsidRPr="00837B9D">
        <w:rPr>
          <w:rFonts w:ascii="仿宋_GB2312" w:eastAsia="仿宋_GB2312" w:hAnsi="宋体" w:cs="宋体" w:hint="eastAsia"/>
          <w:kern w:val="0"/>
          <w:sz w:val="30"/>
          <w:szCs w:val="28"/>
        </w:rPr>
        <w:t>亿元，净利润人民币259.97亿元。</w:t>
      </w:r>
    </w:p>
    <w:p w:rsidR="00092652" w:rsidRDefault="0039522B">
      <w:pPr>
        <w:overflowPunct w:val="0"/>
        <w:snapToGrid w:val="0"/>
        <w:spacing w:line="520" w:lineRule="exact"/>
        <w:ind w:firstLineChars="200" w:firstLine="600"/>
        <w:rPr>
          <w:rFonts w:ascii="仿宋_GB2312" w:eastAsia="仿宋_GB2312" w:hAnsi="宋体" w:cs="宋体"/>
          <w:kern w:val="0"/>
          <w:sz w:val="30"/>
          <w:szCs w:val="28"/>
        </w:rPr>
      </w:pPr>
      <w:r>
        <w:rPr>
          <w:rFonts w:ascii="仿宋_GB2312" w:eastAsia="仿宋_GB2312" w:hAnsi="宋体" w:cs="宋体" w:hint="eastAsia"/>
          <w:kern w:val="0"/>
          <w:sz w:val="30"/>
          <w:szCs w:val="28"/>
        </w:rPr>
        <w:t>截至</w:t>
      </w:r>
      <w:r>
        <w:rPr>
          <w:rFonts w:ascii="仿宋_GB2312" w:eastAsia="仿宋_GB2312" w:hAnsi="宋体" w:cs="宋体"/>
          <w:kern w:val="0"/>
          <w:sz w:val="30"/>
          <w:szCs w:val="28"/>
        </w:rPr>
        <w:t>2020年12月31日，中国人民保险集团股份有限公司及其子公司中国人民财产保险股份有限公司、中国人民人寿保险股份有限公司合计持有本行12.90%的股份，且向本行派驻了董事</w:t>
      </w:r>
      <w:r>
        <w:rPr>
          <w:rFonts w:ascii="仿宋_GB2312" w:eastAsia="仿宋_GB2312" w:hAnsi="宋体" w:cs="宋体" w:hint="eastAsia"/>
          <w:kern w:val="0"/>
          <w:sz w:val="30"/>
          <w:szCs w:val="28"/>
        </w:rPr>
        <w:t>。中国人民保险集团股份有限公司及其关联企业属于本行关联方。</w:t>
      </w:r>
    </w:p>
    <w:p w:rsidR="00092652" w:rsidRDefault="0039522B">
      <w:pPr>
        <w:overflowPunct w:val="0"/>
        <w:snapToGrid w:val="0"/>
        <w:spacing w:line="520" w:lineRule="exact"/>
        <w:ind w:firstLineChars="200" w:firstLine="602"/>
        <w:rPr>
          <w:rFonts w:ascii="仿宋_GB2312" w:eastAsia="仿宋_GB2312"/>
          <w:b/>
          <w:sz w:val="30"/>
          <w:szCs w:val="28"/>
        </w:rPr>
      </w:pPr>
      <w:r>
        <w:rPr>
          <w:rFonts w:ascii="仿宋_GB2312" w:eastAsia="仿宋_GB2312"/>
          <w:b/>
          <w:sz w:val="30"/>
          <w:szCs w:val="28"/>
        </w:rPr>
        <w:t>2.</w:t>
      </w:r>
      <w:r>
        <w:rPr>
          <w:rFonts w:ascii="仿宋_GB2312" w:eastAsia="仿宋_GB2312" w:hint="eastAsia"/>
          <w:b/>
          <w:sz w:val="30"/>
          <w:szCs w:val="28"/>
        </w:rPr>
        <w:t>阳光系列</w:t>
      </w:r>
    </w:p>
    <w:p w:rsidR="00092652" w:rsidRDefault="0039522B">
      <w:pPr>
        <w:overflowPunct w:val="0"/>
        <w:snapToGrid w:val="0"/>
        <w:spacing w:line="520" w:lineRule="exact"/>
        <w:ind w:firstLineChars="200" w:firstLine="600"/>
        <w:rPr>
          <w:rFonts w:ascii="仿宋_GB2312" w:eastAsia="仿宋_GB2312" w:hAnsi="宋体"/>
          <w:sz w:val="30"/>
          <w:szCs w:val="28"/>
        </w:rPr>
      </w:pPr>
      <w:r>
        <w:rPr>
          <w:rFonts w:ascii="仿宋_GB2312" w:eastAsia="仿宋_GB2312" w:hint="eastAsia"/>
          <w:sz w:val="30"/>
          <w:szCs w:val="30"/>
        </w:rPr>
        <w:t>福建阳光集团有限公司</w:t>
      </w:r>
      <w:r>
        <w:rPr>
          <w:rFonts w:ascii="仿宋_GB2312" w:eastAsia="仿宋_GB2312" w:hAnsi="宋体" w:hint="eastAsia"/>
          <w:sz w:val="30"/>
          <w:szCs w:val="28"/>
        </w:rPr>
        <w:t>成立于</w:t>
      </w:r>
      <w:r>
        <w:rPr>
          <w:rFonts w:ascii="仿宋_GB2312" w:eastAsia="仿宋_GB2312" w:hAnsi="宋体"/>
          <w:sz w:val="30"/>
          <w:szCs w:val="28"/>
        </w:rPr>
        <w:t>2002年2月，法定代表人吴洁，注册地福州，注册资本人民币79.6亿元，股东结构为：阳光城控股集团有限公司43.88%、吴洁43.75%、林雪莺10.26%、福州融星捷投资有限公司1.71%、福州铠盛惠投资有限公司0.40%。</w:t>
      </w:r>
      <w:r>
        <w:rPr>
          <w:rFonts w:ascii="仿宋_GB2312" w:eastAsia="仿宋_GB2312" w:hAnsi="宋体" w:hint="eastAsia"/>
          <w:sz w:val="30"/>
          <w:szCs w:val="28"/>
        </w:rPr>
        <w:t>根据吴洁与阳光城控股集团有限公司实际控制人林腾蛟先生签署的《一致行动协议》安排，吴洁合计享有</w:t>
      </w:r>
      <w:r>
        <w:rPr>
          <w:rFonts w:ascii="仿宋_GB2312" w:eastAsia="仿宋_GB2312" w:hint="eastAsia"/>
          <w:sz w:val="30"/>
          <w:szCs w:val="30"/>
        </w:rPr>
        <w:t>福建阳光集团有限公司</w:t>
      </w:r>
      <w:r>
        <w:rPr>
          <w:rFonts w:ascii="仿宋_GB2312" w:eastAsia="仿宋_GB2312" w:hAnsi="宋体"/>
          <w:sz w:val="30"/>
          <w:szCs w:val="28"/>
        </w:rPr>
        <w:t>89.34%的表决权，为该公司的实际控制人，林腾蛟与吴洁</w:t>
      </w:r>
      <w:r>
        <w:rPr>
          <w:rFonts w:ascii="仿宋_GB2312" w:eastAsia="仿宋_GB2312" w:hAnsi="宋体" w:hint="eastAsia"/>
          <w:sz w:val="30"/>
          <w:szCs w:val="28"/>
        </w:rPr>
        <w:t>系一致行动人。</w:t>
      </w:r>
      <w:r w:rsidR="002C748F">
        <w:rPr>
          <w:rFonts w:ascii="仿宋_GB2312" w:eastAsia="仿宋_GB2312" w:hAnsi="宋体" w:hint="eastAsia"/>
          <w:sz w:val="30"/>
          <w:szCs w:val="28"/>
        </w:rPr>
        <w:t>截至</w:t>
      </w:r>
      <w:r w:rsidR="002C748F" w:rsidRPr="000E7B89">
        <w:rPr>
          <w:rFonts w:ascii="仿宋_GB2312" w:eastAsia="仿宋_GB2312" w:hAnsi="宋体" w:cs="宋体" w:hint="eastAsia"/>
          <w:kern w:val="0"/>
          <w:sz w:val="30"/>
          <w:szCs w:val="28"/>
        </w:rPr>
        <w:t>2020年9月30日</w:t>
      </w:r>
      <w:r w:rsidR="002C748F">
        <w:rPr>
          <w:rFonts w:ascii="仿宋_GB2312" w:eastAsia="仿宋_GB2312" w:hAnsi="宋体" w:cs="宋体" w:hint="eastAsia"/>
          <w:kern w:val="0"/>
          <w:sz w:val="30"/>
          <w:szCs w:val="28"/>
        </w:rPr>
        <w:t>，该公司</w:t>
      </w:r>
      <w:r w:rsidR="002C748F" w:rsidRPr="000E7B89">
        <w:rPr>
          <w:rFonts w:ascii="仿宋_GB2312" w:eastAsia="仿宋_GB2312" w:hAnsi="宋体" w:cs="宋体" w:hint="eastAsia"/>
          <w:kern w:val="0"/>
          <w:sz w:val="30"/>
          <w:szCs w:val="28"/>
        </w:rPr>
        <w:t>总资产</w:t>
      </w:r>
      <w:r w:rsidR="002C748F">
        <w:rPr>
          <w:rFonts w:ascii="仿宋_GB2312" w:eastAsia="仿宋_GB2312" w:hAnsi="宋体" w:cs="宋体" w:hint="eastAsia"/>
          <w:kern w:val="0"/>
          <w:sz w:val="30"/>
          <w:szCs w:val="28"/>
        </w:rPr>
        <w:t>人民币4194.20亿元，净资产人民币675.16亿元，</w:t>
      </w:r>
      <w:r w:rsidR="002C748F" w:rsidRPr="00B250F3">
        <w:rPr>
          <w:rFonts w:ascii="仿宋_GB2312" w:eastAsia="仿宋_GB2312" w:hAnsi="宋体" w:cs="宋体" w:hint="eastAsia"/>
          <w:kern w:val="0"/>
          <w:sz w:val="30"/>
          <w:szCs w:val="28"/>
        </w:rPr>
        <w:t>其中预收房款795.66亿元，扣除预收房款后资产负债率64.93%</w:t>
      </w:r>
      <w:r w:rsidR="002C748F">
        <w:rPr>
          <w:rFonts w:ascii="仿宋_GB2312" w:eastAsia="仿宋_GB2312" w:hAnsi="宋体" w:cs="宋体" w:hint="eastAsia"/>
          <w:kern w:val="0"/>
          <w:sz w:val="30"/>
          <w:szCs w:val="28"/>
        </w:rPr>
        <w:t>。2020年1-9月实现营业收入人民币574.18亿元，净利润人民币36.72亿元。</w:t>
      </w:r>
    </w:p>
    <w:p w:rsidR="00092652" w:rsidRDefault="0039522B">
      <w:pPr>
        <w:overflowPunct w:val="0"/>
        <w:snapToGrid w:val="0"/>
        <w:spacing w:line="520" w:lineRule="exact"/>
        <w:ind w:firstLineChars="200" w:firstLine="600"/>
        <w:rPr>
          <w:rFonts w:ascii="仿宋_GB2312" w:eastAsia="仿宋_GB2312" w:hAnsi="宋体"/>
          <w:sz w:val="30"/>
          <w:szCs w:val="28"/>
        </w:rPr>
      </w:pPr>
      <w:r>
        <w:rPr>
          <w:rFonts w:ascii="仿宋_GB2312" w:eastAsia="仿宋_GB2312" w:hint="eastAsia"/>
          <w:sz w:val="30"/>
          <w:szCs w:val="30"/>
        </w:rPr>
        <w:t>福建阳光集团有限公司</w:t>
      </w:r>
      <w:r>
        <w:rPr>
          <w:rFonts w:ascii="仿宋_GB2312" w:eastAsia="仿宋_GB2312" w:hAnsi="宋体" w:hint="eastAsia"/>
          <w:sz w:val="30"/>
          <w:szCs w:val="28"/>
        </w:rPr>
        <w:t>是阳光控股有限公司的子公司。阳光控股有限公司及其实际控制人林腾蛟先生合计持有本行</w:t>
      </w:r>
      <w:r>
        <w:rPr>
          <w:rFonts w:ascii="仿宋_GB2312" w:eastAsia="仿宋_GB2312" w:hAnsi="宋体"/>
          <w:sz w:val="30"/>
          <w:szCs w:val="28"/>
        </w:rPr>
        <w:t>2.40%的股份，</w:t>
      </w:r>
      <w:r>
        <w:rPr>
          <w:rFonts w:ascii="仿宋_GB2312" w:eastAsia="仿宋_GB2312" w:hAnsi="宋体" w:hint="eastAsia"/>
          <w:sz w:val="30"/>
          <w:szCs w:val="28"/>
        </w:rPr>
        <w:t>且派驻林腾蛟先生担任本行董事。阳光控股有限公司以及</w:t>
      </w:r>
      <w:r>
        <w:rPr>
          <w:rFonts w:ascii="仿宋_GB2312" w:eastAsia="仿宋_GB2312" w:hAnsi="宋体" w:hint="eastAsia"/>
          <w:sz w:val="30"/>
          <w:szCs w:val="28"/>
        </w:rPr>
        <w:lastRenderedPageBreak/>
        <w:t>林腾蛟先生及其近亲属直接、间接、共同控制或可施加重大影响的阳光系列企业属于本行关联法人。</w:t>
      </w:r>
    </w:p>
    <w:p w:rsidR="00092652" w:rsidRDefault="0039522B">
      <w:pPr>
        <w:spacing w:line="520" w:lineRule="exact"/>
        <w:ind w:firstLineChars="196" w:firstLine="590"/>
        <w:rPr>
          <w:rFonts w:ascii="仿宋_GB2312" w:eastAsia="仿宋_GB2312" w:cs="宋体"/>
          <w:b/>
          <w:color w:val="000000"/>
          <w:kern w:val="0"/>
          <w:sz w:val="30"/>
          <w:szCs w:val="30"/>
        </w:rPr>
      </w:pPr>
      <w:r>
        <w:rPr>
          <w:rFonts w:ascii="仿宋_GB2312" w:eastAsia="仿宋_GB2312" w:hAnsi="宋体" w:cs="宋体" w:hint="eastAsia"/>
          <w:b/>
          <w:kern w:val="0"/>
          <w:sz w:val="30"/>
          <w:szCs w:val="28"/>
        </w:rPr>
        <w:t>三</w:t>
      </w:r>
      <w:r>
        <w:rPr>
          <w:rFonts w:ascii="仿宋_GB2312" w:eastAsia="仿宋_GB2312" w:cs="宋体" w:hint="eastAsia"/>
          <w:b/>
          <w:color w:val="000000"/>
          <w:kern w:val="0"/>
          <w:sz w:val="30"/>
          <w:szCs w:val="30"/>
        </w:rPr>
        <w:t>、关联交易的目的以及本次关联交易对上市公司的影响</w:t>
      </w:r>
    </w:p>
    <w:p w:rsidR="00092652" w:rsidRDefault="0039522B">
      <w:pPr>
        <w:overflowPunct w:val="0"/>
        <w:snapToGrid w:val="0"/>
        <w:spacing w:line="520" w:lineRule="exact"/>
        <w:ind w:firstLineChars="200" w:firstLine="600"/>
        <w:rPr>
          <w:rFonts w:ascii="仿宋_GB2312" w:eastAsia="仿宋_GB2312"/>
          <w:sz w:val="30"/>
          <w:szCs w:val="28"/>
        </w:rPr>
      </w:pPr>
      <w:r>
        <w:rPr>
          <w:rFonts w:ascii="仿宋_GB2312" w:eastAsia="仿宋_GB2312" w:hint="eastAsia"/>
          <w:sz w:val="30"/>
          <w:szCs w:val="28"/>
        </w:rPr>
        <w:t>鉴于人保系列、阳光系列的财务状况均较为平稳，同时考虑到本行与上述关联方在投融资、资金业务、定制理财、信贷资产转让等多个业务领域的合作持续深入推进，因此本次申请重新核定给予上述关联方关联交易额度。</w:t>
      </w:r>
    </w:p>
    <w:p w:rsidR="00092652" w:rsidRDefault="0039522B">
      <w:pPr>
        <w:overflowPunct w:val="0"/>
        <w:snapToGrid w:val="0"/>
        <w:spacing w:line="520" w:lineRule="exact"/>
        <w:ind w:firstLineChars="200" w:firstLine="600"/>
        <w:rPr>
          <w:rFonts w:ascii="仿宋_GB2312" w:eastAsia="仿宋_GB2312" w:hAnsi="宋体"/>
          <w:color w:val="000000"/>
          <w:sz w:val="30"/>
          <w:szCs w:val="28"/>
        </w:rPr>
      </w:pPr>
      <w:r>
        <w:rPr>
          <w:rFonts w:ascii="仿宋_GB2312" w:eastAsia="仿宋_GB2312" w:hAnsi="宋体" w:cs="宋体" w:hint="eastAsia"/>
          <w:iCs/>
          <w:color w:val="000000"/>
          <w:kern w:val="0"/>
          <w:sz w:val="30"/>
          <w:szCs w:val="28"/>
        </w:rPr>
        <w:t>本行与上述方的交易</w:t>
      </w:r>
      <w:r>
        <w:rPr>
          <w:rFonts w:ascii="仿宋_GB2312" w:eastAsia="仿宋_GB2312" w:hAnsi="Arial" w:cs="Arial" w:hint="eastAsia"/>
          <w:color w:val="000000"/>
          <w:kern w:val="0"/>
          <w:sz w:val="30"/>
          <w:szCs w:val="28"/>
        </w:rPr>
        <w:t>属于本行日常业务经营中的合理交易，在日常业务中按一般商务条款或按照不优于适用于独立第三方的条款而订立，交易条款公平合理，交易定价参考独立第三方的非关联交易价格，结算方式与独立第三方的非关联交易相同，并符合有关法律、法规、规章及监管制度的相关规定。上述关联交易</w:t>
      </w:r>
      <w:r>
        <w:rPr>
          <w:rFonts w:ascii="仿宋_GB2312" w:eastAsia="仿宋_GB2312" w:hAnsi="宋体" w:hint="eastAsia"/>
          <w:color w:val="000000"/>
          <w:sz w:val="30"/>
          <w:szCs w:val="28"/>
        </w:rPr>
        <w:t>未损害本行及股东、特别是中小股东的利益，并不会对本行本期及未来的财务状况产生不利影响，也不会影响上市公司的独立性。</w:t>
      </w:r>
    </w:p>
    <w:p w:rsidR="00092652" w:rsidRDefault="0039522B">
      <w:pPr>
        <w:overflowPunct w:val="0"/>
        <w:snapToGrid w:val="0"/>
        <w:spacing w:line="520" w:lineRule="exact"/>
        <w:ind w:firstLineChars="200" w:firstLine="602"/>
        <w:rPr>
          <w:rFonts w:ascii="仿宋_GB2312" w:eastAsia="仿宋_GB2312"/>
          <w:b/>
          <w:sz w:val="30"/>
          <w:szCs w:val="28"/>
        </w:rPr>
      </w:pPr>
      <w:r>
        <w:rPr>
          <w:rFonts w:ascii="仿宋_GB2312" w:eastAsia="仿宋_GB2312" w:hint="eastAsia"/>
          <w:b/>
          <w:sz w:val="30"/>
          <w:szCs w:val="30"/>
        </w:rPr>
        <w:t>四</w:t>
      </w:r>
      <w:r>
        <w:rPr>
          <w:rFonts w:ascii="仿宋_GB2312" w:eastAsia="仿宋_GB2312" w:hint="eastAsia"/>
          <w:b/>
          <w:sz w:val="30"/>
          <w:szCs w:val="28"/>
        </w:rPr>
        <w:t>、独立董事意见</w:t>
      </w:r>
    </w:p>
    <w:p w:rsidR="00092652" w:rsidRDefault="0039522B">
      <w:pPr>
        <w:overflowPunct w:val="0"/>
        <w:snapToGrid w:val="0"/>
        <w:spacing w:line="520" w:lineRule="exact"/>
        <w:ind w:firstLineChars="200" w:firstLine="600"/>
        <w:rPr>
          <w:rFonts w:ascii="仿宋_GB2312" w:eastAsia="仿宋_GB2312" w:hAnsi="宋体"/>
          <w:color w:val="000000"/>
          <w:sz w:val="30"/>
          <w:szCs w:val="28"/>
        </w:rPr>
      </w:pPr>
      <w:r>
        <w:rPr>
          <w:rFonts w:ascii="仿宋_GB2312" w:eastAsia="仿宋_GB2312" w:hAnsi="宋体" w:hint="eastAsia"/>
          <w:color w:val="000000"/>
          <w:sz w:val="30"/>
          <w:szCs w:val="28"/>
        </w:rPr>
        <w:t>本行独立董事保罗希尔先生、朱青先生、刘世平先生、苏锡嘉先生、林华先生对上述关联交易发表独立意见如下：</w:t>
      </w:r>
    </w:p>
    <w:p w:rsidR="00092652" w:rsidRDefault="0039522B">
      <w:pPr>
        <w:overflowPunct w:val="0"/>
        <w:snapToGrid w:val="0"/>
        <w:spacing w:line="520" w:lineRule="exact"/>
        <w:ind w:firstLineChars="200" w:firstLine="600"/>
        <w:rPr>
          <w:rFonts w:ascii="仿宋_GB2312" w:eastAsia="仿宋_GB2312" w:hAnsi="宋体"/>
          <w:color w:val="000000"/>
          <w:sz w:val="30"/>
          <w:szCs w:val="28"/>
        </w:rPr>
      </w:pPr>
      <w:r>
        <w:rPr>
          <w:rFonts w:ascii="仿宋_GB2312" w:eastAsia="仿宋_GB2312" w:hAnsi="宋体" w:hint="eastAsia"/>
          <w:color w:val="000000"/>
          <w:sz w:val="30"/>
          <w:szCs w:val="28"/>
        </w:rPr>
        <w:t>程序性方面，本行给予人保系列、阳光系列关联交易额度的事项已履行了相应的审批程序，董事会在审议上述关联交易议案时，相关关联董事已回避表决，符合中国银保监会、中国证监会、上海证券交易所等监管部门要求，符合</w:t>
      </w:r>
      <w:r>
        <w:rPr>
          <w:rFonts w:ascii="仿宋_GB2312" w:eastAsia="仿宋_GB2312" w:hint="eastAsia"/>
          <w:sz w:val="30"/>
          <w:szCs w:val="28"/>
        </w:rPr>
        <w:t>本行章程、《关联交易管理办法》</w:t>
      </w:r>
      <w:r>
        <w:rPr>
          <w:rFonts w:ascii="仿宋_GB2312" w:eastAsia="仿宋_GB2312" w:hAnsi="宋体" w:hint="eastAsia"/>
          <w:color w:val="000000"/>
          <w:sz w:val="30"/>
          <w:szCs w:val="28"/>
        </w:rPr>
        <w:t>及其他相关规定。</w:t>
      </w:r>
    </w:p>
    <w:p w:rsidR="00092652" w:rsidRDefault="0039522B">
      <w:pPr>
        <w:overflowPunct w:val="0"/>
        <w:snapToGrid w:val="0"/>
        <w:spacing w:line="520" w:lineRule="exact"/>
        <w:ind w:firstLineChars="200" w:firstLine="600"/>
        <w:rPr>
          <w:rFonts w:ascii="仿宋_GB2312" w:eastAsia="仿宋_GB2312" w:hAnsi="宋体"/>
          <w:color w:val="000000"/>
          <w:sz w:val="30"/>
          <w:szCs w:val="28"/>
        </w:rPr>
      </w:pPr>
      <w:r>
        <w:rPr>
          <w:rFonts w:ascii="仿宋_GB2312" w:eastAsia="仿宋_GB2312" w:hAnsi="宋体" w:hint="eastAsia"/>
          <w:color w:val="000000"/>
          <w:sz w:val="30"/>
          <w:szCs w:val="28"/>
        </w:rPr>
        <w:t>公允性方面，上述关联交易属于本行日常业务经营中的合理交易，遵循一般商业原则，且以不优于对非关联方同类交易的条件进行，交易条件公平、合理，符合监管部门相关法规要求及本</w:t>
      </w:r>
      <w:r>
        <w:rPr>
          <w:rFonts w:ascii="仿宋_GB2312" w:eastAsia="仿宋_GB2312" w:hAnsi="宋体" w:hint="eastAsia"/>
          <w:color w:val="000000"/>
          <w:sz w:val="30"/>
          <w:szCs w:val="28"/>
        </w:rPr>
        <w:lastRenderedPageBreak/>
        <w:t>行内部制度相关规定，未损害本行及股东、特别是中小股东的利益，并不会对本行本期及未来的财务状况产生不利影响，也不会影响上市公司的独立性。</w:t>
      </w:r>
    </w:p>
    <w:p w:rsidR="00092652" w:rsidRDefault="0039522B">
      <w:pPr>
        <w:widowControl/>
        <w:spacing w:line="520" w:lineRule="exact"/>
        <w:ind w:firstLineChars="150" w:firstLine="450"/>
        <w:rPr>
          <w:rFonts w:ascii="黑体" w:eastAsia="黑体"/>
          <w:sz w:val="32"/>
          <w:szCs w:val="32"/>
        </w:rPr>
      </w:pPr>
      <w:r>
        <w:rPr>
          <w:rFonts w:ascii="仿宋_GB2312" w:eastAsia="仿宋_GB2312" w:hint="eastAsia"/>
          <w:sz w:val="30"/>
          <w:szCs w:val="28"/>
        </w:rPr>
        <w:t>专此报告，请予审议。</w:t>
      </w:r>
    </w:p>
    <w:p w:rsidR="00092652" w:rsidRDefault="00092652">
      <w:pPr>
        <w:widowControl/>
        <w:spacing w:line="490" w:lineRule="exact"/>
        <w:ind w:firstLineChars="200" w:firstLine="600"/>
        <w:jc w:val="left"/>
        <w:rPr>
          <w:rFonts w:ascii="仿宋_GB2312" w:eastAsia="仿宋_GB2312" w:hAnsi="Calibri"/>
          <w:sz w:val="30"/>
          <w:szCs w:val="30"/>
        </w:rPr>
      </w:pPr>
    </w:p>
    <w:p w:rsidR="00092652" w:rsidRDefault="0039522B">
      <w:pPr>
        <w:widowControl/>
        <w:jc w:val="left"/>
        <w:rPr>
          <w:rFonts w:ascii="仿宋_GB2312" w:eastAsia="仿宋_GB2312" w:hAnsi="Calibri"/>
          <w:sz w:val="30"/>
          <w:szCs w:val="30"/>
        </w:rPr>
      </w:pPr>
      <w:r>
        <w:rPr>
          <w:rFonts w:ascii="仿宋_GB2312" w:eastAsia="仿宋_GB2312" w:hAnsi="Calibri"/>
          <w:sz w:val="30"/>
          <w:szCs w:val="30"/>
        </w:rPr>
        <w:br w:type="page"/>
      </w:r>
    </w:p>
    <w:p w:rsidR="00092652" w:rsidRDefault="00C4392E">
      <w:pPr>
        <w:tabs>
          <w:tab w:val="left" w:pos="416"/>
          <w:tab w:val="left" w:pos="1086"/>
          <w:tab w:val="center" w:pos="4156"/>
        </w:tabs>
        <w:spacing w:line="500" w:lineRule="exact"/>
        <w:ind w:firstLineChars="200" w:firstLine="640"/>
      </w:pPr>
      <w:r>
        <w:rPr>
          <w:rFonts w:ascii="黑体" w:eastAsia="黑体"/>
          <w:noProof/>
          <w:sz w:val="32"/>
          <w:szCs w:val="32"/>
        </w:rPr>
        <w:lastRenderedPageBreak/>
        <mc:AlternateContent>
          <mc:Choice Requires="wps">
            <w:drawing>
              <wp:anchor distT="0" distB="0" distL="114300" distR="114300" simplePos="0" relativeHeight="251680768" behindDoc="0" locked="0" layoutInCell="1" allowOverlap="1" wp14:anchorId="718E248E" wp14:editId="751D5185">
                <wp:simplePos x="0" y="0"/>
                <wp:positionH relativeFrom="column">
                  <wp:posOffset>-15875</wp:posOffset>
                </wp:positionH>
                <wp:positionV relativeFrom="paragraph">
                  <wp:posOffset>0</wp:posOffset>
                </wp:positionV>
                <wp:extent cx="1426210" cy="594360"/>
                <wp:effectExtent l="0" t="0" r="3175" b="0"/>
                <wp:wrapSquare wrapText="bothSides"/>
                <wp:docPr id="13" name="文本框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621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15BAA" w:rsidRDefault="00115BAA">
                            <w:pPr>
                              <w:spacing w:line="400" w:lineRule="exact"/>
                              <w:jc w:val="center"/>
                              <w:rPr>
                                <w:rFonts w:ascii="宋体"/>
                                <w:color w:val="000000"/>
                                <w:szCs w:val="21"/>
                              </w:rPr>
                            </w:pPr>
                            <w:r>
                              <w:rPr>
                                <w:rFonts w:ascii="宋体" w:hint="eastAsia"/>
                                <w:color w:val="000000"/>
                                <w:szCs w:val="21"/>
                              </w:rPr>
                              <w:t>2020年年度股东大会</w:t>
                            </w:r>
                          </w:p>
                          <w:p w:rsidR="00115BAA" w:rsidRDefault="00115BAA">
                            <w:pPr>
                              <w:spacing w:line="400" w:lineRule="exact"/>
                              <w:jc w:val="center"/>
                              <w:rPr>
                                <w:rFonts w:ascii="宋体"/>
                                <w:color w:val="000000"/>
                                <w:szCs w:val="21"/>
                              </w:rPr>
                            </w:pPr>
                            <w:r>
                              <w:rPr>
                                <w:rFonts w:ascii="宋体" w:hint="eastAsia"/>
                                <w:color w:val="000000"/>
                                <w:szCs w:val="21"/>
                              </w:rPr>
                              <w:t>文件十一　审议议案</w:t>
                            </w:r>
                          </w:p>
                          <w:p w:rsidR="00115BAA" w:rsidRDefault="00115BAA">
                            <w:pPr>
                              <w:rPr>
                                <w:szCs w:val="21"/>
                              </w:rPr>
                            </w:pPr>
                          </w:p>
                        </w:txbxContent>
                      </wps:txbx>
                      <wps:bodyPr wrap="none"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_x0000_s1037" type="#_x0000_t202" style="position:absolute;left:0;text-align:left;margin-left:-1.25pt;margin-top:0;width:112.3pt;height:46.8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">
                <v:path arrowok="t"/>
                <v:textbox>
                  <w:txbxContent>
                    <w:p w:rsidR="00115BAA" w:rsidRDefault="00115BAA">
                      <w:pPr>
                        <w:spacing w:line="400" w:lineRule="exact"/>
                        <w:jc w:val="center"/>
                        <w:rPr>
                          <w:rFonts w:ascii="宋体"/>
                          <w:color w:val="000000"/>
                          <w:szCs w:val="21"/>
                        </w:rPr>
                      </w:pPr>
                      <w:r>
                        <w:rPr>
                          <w:rFonts w:ascii="宋体" w:hint="eastAsia"/>
                          <w:color w:val="000000"/>
                          <w:szCs w:val="21"/>
                        </w:rPr>
                        <w:t>2020年年度股东大会</w:t>
                      </w:r>
                    </w:p>
                    <w:p w:rsidR="00115BAA" w:rsidRDefault="00115BAA">
                      <w:pPr>
                        <w:spacing w:line="400" w:lineRule="exact"/>
                        <w:jc w:val="center"/>
                        <w:rPr>
                          <w:rFonts w:ascii="宋体"/>
                          <w:color w:val="000000"/>
                          <w:szCs w:val="21"/>
                        </w:rPr>
                      </w:pPr>
                      <w:r>
                        <w:rPr>
                          <w:rFonts w:ascii="宋体" w:hint="eastAsia"/>
                          <w:color w:val="000000"/>
                          <w:szCs w:val="21"/>
                        </w:rPr>
                        <w:t>文件十一　审议议案</w:t>
                      </w:r>
                    </w:p>
                    <w:p w:rsidR="00115BAA" w:rsidRDefault="00115BAA">
                      <w:pPr>
                        <w:rPr>
                          <w:szCs w:val="21"/>
                        </w:rPr>
                      </w:pPr>
                    </w:p>
                  </w:txbxContent>
                </v:textbox>
                <w10:wrap type="square"/>
              </v:shape>
            </w:pict>
          </mc:Fallback>
        </mc:AlternateContent>
      </w:r>
    </w:p>
    <w:p w:rsidR="00092652" w:rsidRDefault="00092652">
      <w:pPr>
        <w:widowControl/>
        <w:spacing w:line="560" w:lineRule="exact"/>
        <w:jc w:val="center"/>
        <w:rPr>
          <w:rFonts w:ascii="黑体" w:eastAsia="黑体"/>
          <w:sz w:val="32"/>
          <w:szCs w:val="32"/>
        </w:rPr>
      </w:pPr>
    </w:p>
    <w:p w:rsidR="00092652" w:rsidRDefault="0039522B">
      <w:pPr>
        <w:widowControl/>
        <w:spacing w:line="520" w:lineRule="exact"/>
        <w:jc w:val="center"/>
        <w:rPr>
          <w:rFonts w:ascii="黑体" w:eastAsia="黑体"/>
          <w:sz w:val="32"/>
          <w:szCs w:val="32"/>
        </w:rPr>
      </w:pPr>
      <w:r>
        <w:rPr>
          <w:rFonts w:ascii="黑体" w:eastAsia="黑体" w:hint="eastAsia"/>
          <w:sz w:val="32"/>
          <w:szCs w:val="32"/>
        </w:rPr>
        <w:t>兴业银行股份有限公司</w:t>
      </w:r>
    </w:p>
    <w:p w:rsidR="00092652" w:rsidRDefault="0039522B">
      <w:pPr>
        <w:keepNext/>
        <w:keepLines/>
        <w:spacing w:line="520" w:lineRule="exact"/>
        <w:ind w:left="567" w:rightChars="290" w:right="609"/>
        <w:jc w:val="center"/>
        <w:outlineLvl w:val="0"/>
        <w:rPr>
          <w:rFonts w:ascii="黑体" w:eastAsia="黑体"/>
          <w:kern w:val="44"/>
          <w:sz w:val="32"/>
          <w:szCs w:val="32"/>
        </w:rPr>
      </w:pPr>
      <w:bookmarkStart w:id="17" w:name="_Toc72437657"/>
      <w:r>
        <w:rPr>
          <w:rFonts w:ascii="黑体" w:eastAsia="黑体" w:cs="黑体" w:hint="eastAsia"/>
          <w:kern w:val="44"/>
          <w:sz w:val="32"/>
          <w:szCs w:val="32"/>
        </w:rPr>
        <w:t>关于选举第十届董事会董事的议案</w:t>
      </w:r>
      <w:bookmarkEnd w:id="17"/>
    </w:p>
    <w:p w:rsidR="00092652" w:rsidRDefault="0039522B">
      <w:pPr>
        <w:spacing w:line="520" w:lineRule="exact"/>
        <w:jc w:val="center"/>
        <w:rPr>
          <w:rFonts w:ascii="仿宋_GB2312" w:eastAsia="仿宋_GB2312"/>
          <w:sz w:val="30"/>
          <w:szCs w:val="30"/>
        </w:rPr>
      </w:pPr>
      <w:r>
        <w:rPr>
          <w:rFonts w:ascii="仿宋_GB2312" w:eastAsia="仿宋_GB2312" w:hint="eastAsia"/>
          <w:sz w:val="30"/>
          <w:szCs w:val="30"/>
        </w:rPr>
        <w:t>董事会临时负责人：陶以平</w:t>
      </w:r>
    </w:p>
    <w:p w:rsidR="00092652" w:rsidRDefault="00092652">
      <w:pPr>
        <w:spacing w:line="480" w:lineRule="exact"/>
        <w:jc w:val="center"/>
        <w:rPr>
          <w:rFonts w:ascii="仿宋_GB2312" w:eastAsia="仿宋_GB2312"/>
          <w:sz w:val="28"/>
          <w:szCs w:val="28"/>
        </w:rPr>
      </w:pPr>
    </w:p>
    <w:p w:rsidR="00092652" w:rsidRDefault="0039522B">
      <w:pPr>
        <w:spacing w:line="520" w:lineRule="exact"/>
        <w:rPr>
          <w:rFonts w:ascii="仿宋_GB2312" w:eastAsia="仿宋_GB2312"/>
          <w:sz w:val="30"/>
          <w:szCs w:val="30"/>
        </w:rPr>
      </w:pPr>
      <w:r>
        <w:rPr>
          <w:rFonts w:ascii="仿宋_GB2312" w:eastAsia="仿宋_GB2312" w:hint="eastAsia"/>
          <w:sz w:val="30"/>
          <w:szCs w:val="30"/>
        </w:rPr>
        <w:t>各位股东：</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根据公司法和本行章程规定，经有关股东和董事会推荐，目前已产生第十届董事会董事候选人14位。现将有关情况报告如下：</w:t>
      </w:r>
    </w:p>
    <w:p w:rsidR="00092652" w:rsidRDefault="0039522B">
      <w:pPr>
        <w:spacing w:line="520" w:lineRule="exact"/>
        <w:ind w:firstLineChars="200" w:firstLine="602"/>
        <w:rPr>
          <w:rFonts w:ascii="仿宋_GB2312" w:eastAsia="仿宋_GB2312"/>
          <w:sz w:val="30"/>
          <w:szCs w:val="30"/>
        </w:rPr>
      </w:pPr>
      <w:r>
        <w:rPr>
          <w:rFonts w:ascii="仿宋_GB2312" w:eastAsia="仿宋_GB2312" w:hint="eastAsia"/>
          <w:b/>
          <w:bCs/>
          <w:sz w:val="30"/>
          <w:szCs w:val="30"/>
        </w:rPr>
        <w:t>一、股权董事候选人</w:t>
      </w:r>
      <w:r>
        <w:rPr>
          <w:rFonts w:ascii="仿宋_GB2312" w:eastAsia="仿宋_GB2312" w:hint="eastAsia"/>
          <w:sz w:val="30"/>
          <w:szCs w:val="30"/>
        </w:rPr>
        <w:t>（5名，以提名股东持有股权大小排序）</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吕家进、陈逸超、李祝用、肖红、林腾蛟</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以上五人分别由福建省财政、中国人民保险集团股份有限公司、中国烟草总公司和阳光控股有限公司等股东推荐。</w:t>
      </w:r>
    </w:p>
    <w:p w:rsidR="00092652" w:rsidRDefault="0039522B">
      <w:pPr>
        <w:spacing w:line="520" w:lineRule="exact"/>
        <w:ind w:firstLineChars="200" w:firstLine="602"/>
        <w:rPr>
          <w:rFonts w:ascii="仿宋_GB2312" w:eastAsia="仿宋_GB2312"/>
          <w:sz w:val="30"/>
          <w:szCs w:val="30"/>
        </w:rPr>
      </w:pPr>
      <w:r>
        <w:rPr>
          <w:rFonts w:ascii="仿宋_GB2312" w:eastAsia="仿宋_GB2312" w:hint="eastAsia"/>
          <w:b/>
          <w:bCs/>
          <w:sz w:val="30"/>
          <w:szCs w:val="30"/>
        </w:rPr>
        <w:t>二、高管董事候选人</w:t>
      </w:r>
      <w:r>
        <w:rPr>
          <w:rFonts w:ascii="仿宋_GB2312" w:eastAsia="仿宋_GB2312" w:hint="eastAsia"/>
          <w:sz w:val="30"/>
          <w:szCs w:val="30"/>
        </w:rPr>
        <w:t>（4名）</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陶以平、陈锦光、陈信健、孙雄鹏</w:t>
      </w:r>
    </w:p>
    <w:p w:rsidR="00092652" w:rsidRDefault="0039522B">
      <w:pPr>
        <w:spacing w:line="520" w:lineRule="exact"/>
        <w:ind w:firstLineChars="200" w:firstLine="602"/>
        <w:rPr>
          <w:rFonts w:ascii="仿宋_GB2312" w:eastAsia="仿宋_GB2312"/>
          <w:sz w:val="30"/>
          <w:szCs w:val="30"/>
        </w:rPr>
      </w:pPr>
      <w:r>
        <w:rPr>
          <w:rFonts w:ascii="仿宋_GB2312" w:eastAsia="仿宋_GB2312" w:hint="eastAsia"/>
          <w:b/>
          <w:bCs/>
          <w:sz w:val="30"/>
          <w:szCs w:val="30"/>
        </w:rPr>
        <w:t>三、独立董事候选人</w:t>
      </w:r>
      <w:r>
        <w:rPr>
          <w:rFonts w:ascii="仿宋_GB2312" w:eastAsia="仿宋_GB2312" w:hint="eastAsia"/>
          <w:sz w:val="30"/>
          <w:szCs w:val="30"/>
        </w:rPr>
        <w:t>（5名，以姓氏笔画为序）</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苏锡嘉、陈国钢、林华、贲圣林、徐林</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该议案经股东大会审议通过后，吕家进、李祝用、肖红、孙雄鹏、陈国钢、贲圣林、徐林等七位新任董事尚需报银保监会核准任职资格。考虑新一届董事会在股东大会结束后具有任职资格的董事暂为7名，按照独立董事占比不低于三分之一的监管规定，刘世平独立董事将继续履职至新任独立董事任职资格获银保监会核准时为止。</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专此报告，请予审议。</w:t>
      </w:r>
    </w:p>
    <w:p w:rsidR="00092652" w:rsidRDefault="0039522B">
      <w:pPr>
        <w:spacing w:line="520" w:lineRule="exact"/>
        <w:ind w:firstLineChars="200" w:firstLine="600"/>
        <w:rPr>
          <w:rFonts w:ascii="仿宋_GB2312" w:eastAsia="仿宋_GB2312"/>
          <w:sz w:val="30"/>
          <w:szCs w:val="30"/>
        </w:rPr>
        <w:sectPr w:rsidR="00092652">
          <w:footerReference w:type="default" r:id="rId13"/>
          <w:pgSz w:w="11906" w:h="16838"/>
          <w:pgMar w:top="1440" w:right="1797" w:bottom="1440" w:left="1797" w:header="851" w:footer="992" w:gutter="0"/>
          <w:pgNumType w:start="1"/>
          <w:cols w:space="425"/>
          <w:docGrid w:type="lines" w:linePitch="312"/>
        </w:sectPr>
      </w:pPr>
      <w:r>
        <w:rPr>
          <w:rFonts w:ascii="仿宋_GB2312" w:eastAsia="仿宋_GB2312" w:hint="eastAsia"/>
          <w:sz w:val="30"/>
          <w:szCs w:val="30"/>
        </w:rPr>
        <w:t>附件：兴业银行第十届董事会董事候选人简历</w:t>
      </w:r>
    </w:p>
    <w:p w:rsidR="00092652" w:rsidRDefault="0039522B">
      <w:pPr>
        <w:spacing w:line="500" w:lineRule="exact"/>
        <w:rPr>
          <w:rFonts w:ascii="仿宋_GB2312" w:eastAsia="仿宋_GB2312"/>
          <w:sz w:val="30"/>
          <w:szCs w:val="30"/>
        </w:rPr>
      </w:pPr>
      <w:r>
        <w:rPr>
          <w:rFonts w:ascii="仿宋_GB2312" w:eastAsia="仿宋_GB2312" w:hint="eastAsia"/>
          <w:sz w:val="30"/>
          <w:szCs w:val="30"/>
        </w:rPr>
        <w:lastRenderedPageBreak/>
        <w:t>附件</w:t>
      </w:r>
    </w:p>
    <w:p w:rsidR="00092652" w:rsidRDefault="0039522B" w:rsidP="003863DD">
      <w:pPr>
        <w:spacing w:afterLines="50" w:after="120" w:line="480" w:lineRule="exact"/>
        <w:jc w:val="center"/>
        <w:rPr>
          <w:rFonts w:ascii="黑体" w:eastAsia="黑体"/>
          <w:sz w:val="32"/>
          <w:szCs w:val="32"/>
        </w:rPr>
      </w:pPr>
      <w:r>
        <w:rPr>
          <w:rFonts w:ascii="黑体" w:eastAsia="黑体" w:hint="eastAsia"/>
          <w:sz w:val="32"/>
          <w:szCs w:val="32"/>
        </w:rPr>
        <w:t>兴业银行第十届董事会董事候选人简历</w:t>
      </w:r>
    </w:p>
    <w:p w:rsidR="00FD2F9F" w:rsidRDefault="00FD2F9F" w:rsidP="00D353E6">
      <w:pPr>
        <w:spacing w:afterLines="50" w:after="120" w:line="480" w:lineRule="exact"/>
        <w:ind w:firstLineChars="200" w:firstLine="560"/>
        <w:rPr>
          <w:rFonts w:ascii="仿宋_GB2312" w:eastAsia="仿宋_GB2312"/>
          <w:sz w:val="28"/>
          <w:szCs w:val="28"/>
        </w:rPr>
      </w:pPr>
    </w:p>
    <w:p w:rsidR="00FD2F9F" w:rsidRDefault="0039522B" w:rsidP="00D353E6">
      <w:pPr>
        <w:spacing w:beforeLines="50" w:before="120" w:line="520" w:lineRule="exact"/>
        <w:ind w:firstLineChars="200" w:firstLine="600"/>
        <w:rPr>
          <w:rFonts w:ascii="仿宋_GB2312" w:eastAsia="仿宋_GB2312"/>
          <w:sz w:val="30"/>
          <w:szCs w:val="30"/>
        </w:rPr>
      </w:pPr>
      <w:r>
        <w:rPr>
          <w:rFonts w:ascii="仿宋_GB2312" w:eastAsia="仿宋_GB2312" w:hint="eastAsia"/>
          <w:sz w:val="30"/>
          <w:szCs w:val="30"/>
        </w:rPr>
        <w:t>吕家进，男，1968年9月出生，博士研究生学历，高级经济师，享受国务院政府特殊津贴。历任河南省邮政储汇局副局长、局长，河南省新乡市邮政局局长，河南省邮政局副局长，辽宁省邮政局副局长，国家邮政局邮政储汇局副局长，中国邮政储蓄银行执行董事、副行长、行长，中国邮政集团公司副总经理兼任中国邮政储蓄银行执行董事、行长，交通银行副行长，中国建设银行执行董事、副行长；现任兴业银行党委书记。</w:t>
      </w:r>
    </w:p>
    <w:p w:rsidR="00FD2F9F" w:rsidRDefault="0039522B" w:rsidP="00D353E6">
      <w:pPr>
        <w:spacing w:beforeLines="50" w:before="120" w:line="520" w:lineRule="exact"/>
        <w:ind w:firstLineChars="200" w:firstLine="600"/>
        <w:rPr>
          <w:rFonts w:ascii="仿宋_GB2312" w:eastAsia="仿宋_GB2312"/>
          <w:sz w:val="30"/>
          <w:szCs w:val="30"/>
        </w:rPr>
      </w:pPr>
      <w:r>
        <w:rPr>
          <w:rFonts w:ascii="仿宋_GB2312" w:eastAsia="仿宋_GB2312" w:hint="eastAsia"/>
          <w:sz w:val="30"/>
          <w:szCs w:val="30"/>
        </w:rPr>
        <w:t>陈逸超，男，1950年11月出生，硕士研究生学历，高级经济师。历任福建省财政厅科研所副所长，长汀县副县长（挂职），福建省财政厅信息中心主任、综合处处长、办公室常务副主任（正处长级）。现已退休。</w:t>
      </w:r>
    </w:p>
    <w:p w:rsidR="00FD2F9F" w:rsidRDefault="0039522B" w:rsidP="00D353E6">
      <w:pPr>
        <w:spacing w:beforeLines="50" w:before="120" w:line="520" w:lineRule="exact"/>
        <w:ind w:firstLineChars="200" w:firstLine="600"/>
        <w:rPr>
          <w:rFonts w:ascii="仿宋_GB2312" w:eastAsia="仿宋_GB2312"/>
          <w:sz w:val="30"/>
          <w:szCs w:val="30"/>
        </w:rPr>
      </w:pPr>
      <w:r>
        <w:rPr>
          <w:rFonts w:ascii="仿宋_GB2312" w:eastAsia="仿宋_GB2312" w:hint="eastAsia"/>
          <w:sz w:val="30"/>
          <w:szCs w:val="30"/>
        </w:rPr>
        <w:t>李祝用，男，1972年10月出生，博士研究生学历，高级经济师。</w:t>
      </w:r>
      <w:r>
        <w:rPr>
          <w:rFonts w:ascii="仿宋_GB2312" w:eastAsia="仿宋_GB2312"/>
          <w:sz w:val="30"/>
          <w:szCs w:val="30"/>
        </w:rPr>
        <w:t>历任中国人民保险公司法律部</w:t>
      </w:r>
      <w:r>
        <w:rPr>
          <w:rFonts w:ascii="仿宋_GB2312" w:eastAsia="仿宋_GB2312" w:hint="eastAsia"/>
          <w:sz w:val="30"/>
          <w:szCs w:val="30"/>
        </w:rPr>
        <w:t>制度</w:t>
      </w:r>
      <w:r>
        <w:rPr>
          <w:rFonts w:ascii="仿宋_GB2312" w:eastAsia="仿宋_GB2312"/>
          <w:sz w:val="30"/>
          <w:szCs w:val="30"/>
        </w:rPr>
        <w:t>条款处副处长、处长</w:t>
      </w:r>
      <w:r>
        <w:rPr>
          <w:rFonts w:ascii="仿宋_GB2312" w:eastAsia="仿宋_GB2312" w:hint="eastAsia"/>
          <w:sz w:val="30"/>
          <w:szCs w:val="30"/>
        </w:rPr>
        <w:t>，</w:t>
      </w:r>
      <w:r>
        <w:rPr>
          <w:rFonts w:ascii="仿宋_GB2312" w:eastAsia="仿宋_GB2312"/>
          <w:sz w:val="30"/>
          <w:szCs w:val="30"/>
        </w:rPr>
        <w:t>中国人民财产保险股份有限公司</w:t>
      </w:r>
      <w:r>
        <w:rPr>
          <w:rFonts w:ascii="仿宋_GB2312" w:eastAsia="仿宋_GB2312" w:hint="eastAsia"/>
          <w:sz w:val="30"/>
          <w:szCs w:val="30"/>
        </w:rPr>
        <w:t>董事会</w:t>
      </w:r>
      <w:r>
        <w:rPr>
          <w:rFonts w:ascii="仿宋_GB2312" w:eastAsia="仿宋_GB2312"/>
          <w:sz w:val="30"/>
          <w:szCs w:val="30"/>
        </w:rPr>
        <w:t>秘书局秘书处处长</w:t>
      </w:r>
      <w:r>
        <w:rPr>
          <w:rFonts w:ascii="仿宋_GB2312" w:eastAsia="仿宋_GB2312" w:hint="eastAsia"/>
          <w:sz w:val="30"/>
          <w:szCs w:val="30"/>
        </w:rPr>
        <w:t>，</w:t>
      </w:r>
      <w:r>
        <w:rPr>
          <w:rFonts w:ascii="仿宋_GB2312" w:eastAsia="仿宋_GB2312"/>
          <w:sz w:val="30"/>
          <w:szCs w:val="30"/>
        </w:rPr>
        <w:t>中国人保控股公司法律部负责人、</w:t>
      </w:r>
      <w:r>
        <w:rPr>
          <w:rFonts w:ascii="仿宋_GB2312" w:eastAsia="仿宋_GB2312" w:hint="eastAsia"/>
          <w:sz w:val="30"/>
          <w:szCs w:val="30"/>
        </w:rPr>
        <w:t>副</w:t>
      </w:r>
      <w:r>
        <w:rPr>
          <w:rFonts w:ascii="仿宋_GB2312" w:eastAsia="仿宋_GB2312"/>
          <w:sz w:val="30"/>
          <w:szCs w:val="30"/>
        </w:rPr>
        <w:t>总经理、法律与合规部总经理</w:t>
      </w:r>
      <w:r>
        <w:rPr>
          <w:rFonts w:ascii="仿宋_GB2312" w:eastAsia="仿宋_GB2312" w:hint="eastAsia"/>
          <w:sz w:val="30"/>
          <w:szCs w:val="30"/>
        </w:rPr>
        <w:t>，</w:t>
      </w:r>
      <w:r>
        <w:rPr>
          <w:rFonts w:ascii="仿宋_GB2312" w:eastAsia="仿宋_GB2312"/>
          <w:sz w:val="30"/>
          <w:szCs w:val="30"/>
        </w:rPr>
        <w:t>中国人民保险集团公司</w:t>
      </w:r>
      <w:r>
        <w:rPr>
          <w:rFonts w:ascii="仿宋_GB2312" w:eastAsia="仿宋_GB2312" w:hint="eastAsia"/>
          <w:sz w:val="30"/>
          <w:szCs w:val="30"/>
        </w:rPr>
        <w:t>风险</w:t>
      </w:r>
      <w:r>
        <w:rPr>
          <w:rFonts w:ascii="仿宋_GB2312" w:eastAsia="仿宋_GB2312"/>
          <w:sz w:val="30"/>
          <w:szCs w:val="30"/>
        </w:rPr>
        <w:t>管理部</w:t>
      </w:r>
      <w:r>
        <w:rPr>
          <w:rFonts w:ascii="仿宋_GB2312" w:eastAsia="仿宋_GB2312" w:hint="eastAsia"/>
          <w:sz w:val="30"/>
          <w:szCs w:val="30"/>
        </w:rPr>
        <w:t>、</w:t>
      </w:r>
      <w:r>
        <w:rPr>
          <w:rFonts w:ascii="仿宋_GB2312" w:eastAsia="仿宋_GB2312"/>
          <w:sz w:val="30"/>
          <w:szCs w:val="30"/>
        </w:rPr>
        <w:t>法律合规部总经理</w:t>
      </w:r>
      <w:r>
        <w:rPr>
          <w:rFonts w:ascii="仿宋_GB2312" w:eastAsia="仿宋_GB2312" w:hint="eastAsia"/>
          <w:sz w:val="30"/>
          <w:szCs w:val="30"/>
        </w:rPr>
        <w:t>，</w:t>
      </w:r>
      <w:r>
        <w:rPr>
          <w:rFonts w:ascii="仿宋_GB2312" w:eastAsia="仿宋_GB2312"/>
          <w:sz w:val="30"/>
          <w:szCs w:val="30"/>
        </w:rPr>
        <w:t>中国人民保险集团股份有限公司法律总监</w:t>
      </w:r>
      <w:r>
        <w:rPr>
          <w:rFonts w:ascii="仿宋_GB2312" w:eastAsia="仿宋_GB2312" w:hint="eastAsia"/>
          <w:sz w:val="30"/>
          <w:szCs w:val="30"/>
        </w:rPr>
        <w:t>。</w:t>
      </w:r>
      <w:r>
        <w:rPr>
          <w:rFonts w:ascii="仿宋_GB2312" w:eastAsia="仿宋_GB2312"/>
          <w:sz w:val="30"/>
          <w:szCs w:val="30"/>
        </w:rPr>
        <w:t>曾兼任中国人民保险集团股份有限公司合规负</w:t>
      </w:r>
      <w:r>
        <w:rPr>
          <w:rFonts w:ascii="仿宋_GB2312" w:eastAsia="仿宋_GB2312" w:hint="eastAsia"/>
          <w:sz w:val="30"/>
          <w:szCs w:val="30"/>
        </w:rPr>
        <w:t>责</w:t>
      </w:r>
      <w:r>
        <w:rPr>
          <w:rFonts w:ascii="仿宋_GB2312" w:eastAsia="仿宋_GB2312"/>
          <w:sz w:val="30"/>
          <w:szCs w:val="30"/>
        </w:rPr>
        <w:t>人、首席风险官，中国人民财产保险股份有限公司监事，</w:t>
      </w:r>
      <w:r>
        <w:rPr>
          <w:rFonts w:ascii="仿宋_GB2312" w:eastAsia="仿宋_GB2312" w:hint="eastAsia"/>
          <w:sz w:val="30"/>
          <w:szCs w:val="30"/>
        </w:rPr>
        <w:t>人</w:t>
      </w:r>
      <w:r>
        <w:rPr>
          <w:rFonts w:ascii="仿宋_GB2312" w:eastAsia="仿宋_GB2312"/>
          <w:sz w:val="30"/>
          <w:szCs w:val="30"/>
        </w:rPr>
        <w:t>保金融服务有限公司董事长、党委书记，中盛国际保险经纪有限责任公司监事</w:t>
      </w:r>
      <w:r>
        <w:rPr>
          <w:rFonts w:ascii="仿宋_GB2312" w:eastAsia="仿宋_GB2312" w:hint="eastAsia"/>
          <w:sz w:val="30"/>
          <w:szCs w:val="30"/>
        </w:rPr>
        <w:t>。现任</w:t>
      </w:r>
      <w:r>
        <w:rPr>
          <w:rFonts w:ascii="仿宋_GB2312" w:eastAsia="仿宋_GB2312"/>
          <w:sz w:val="30"/>
          <w:szCs w:val="30"/>
        </w:rPr>
        <w:t>中国人民保险集团股份有限公司执行董事、副总裁</w:t>
      </w:r>
      <w:r>
        <w:rPr>
          <w:rFonts w:ascii="仿宋_GB2312" w:eastAsia="仿宋_GB2312" w:hint="eastAsia"/>
          <w:sz w:val="30"/>
          <w:szCs w:val="30"/>
        </w:rPr>
        <w:t>、</w:t>
      </w:r>
      <w:r>
        <w:rPr>
          <w:rFonts w:ascii="仿宋_GB2312" w:eastAsia="仿宋_GB2312"/>
          <w:sz w:val="30"/>
          <w:szCs w:val="30"/>
        </w:rPr>
        <w:t>党委委员、董事会秘书</w:t>
      </w:r>
      <w:r>
        <w:rPr>
          <w:rFonts w:ascii="仿宋_GB2312" w:eastAsia="仿宋_GB2312" w:hint="eastAsia"/>
          <w:sz w:val="30"/>
          <w:szCs w:val="30"/>
        </w:rPr>
        <w:t>，</w:t>
      </w:r>
      <w:r>
        <w:rPr>
          <w:rFonts w:ascii="仿宋_GB2312" w:eastAsia="仿宋_GB2312"/>
          <w:sz w:val="30"/>
          <w:szCs w:val="30"/>
        </w:rPr>
        <w:t>中国人民保险(</w:t>
      </w:r>
      <w:r>
        <w:rPr>
          <w:rFonts w:ascii="仿宋_GB2312" w:eastAsia="仿宋_GB2312" w:hint="eastAsia"/>
          <w:sz w:val="30"/>
          <w:szCs w:val="30"/>
        </w:rPr>
        <w:t>香港</w:t>
      </w:r>
      <w:r>
        <w:rPr>
          <w:rFonts w:ascii="仿宋_GB2312" w:eastAsia="仿宋_GB2312"/>
          <w:sz w:val="30"/>
          <w:szCs w:val="30"/>
        </w:rPr>
        <w:t>)有限公司董事，兼任中国法学会保险法学研究会副会长，中国海商法协会</w:t>
      </w:r>
      <w:r>
        <w:rPr>
          <w:rFonts w:ascii="仿宋_GB2312" w:eastAsia="仿宋_GB2312" w:hint="eastAsia"/>
          <w:sz w:val="30"/>
          <w:szCs w:val="30"/>
        </w:rPr>
        <w:t>第十</w:t>
      </w:r>
      <w:r>
        <w:rPr>
          <w:rFonts w:ascii="仿宋_GB2312" w:eastAsia="仿宋_GB2312"/>
          <w:sz w:val="30"/>
          <w:szCs w:val="30"/>
        </w:rPr>
        <w:t>五届理事会会长</w:t>
      </w:r>
      <w:r>
        <w:rPr>
          <w:rFonts w:ascii="仿宋_GB2312" w:eastAsia="仿宋_GB2312" w:hint="eastAsia"/>
          <w:sz w:val="30"/>
          <w:szCs w:val="30"/>
        </w:rPr>
        <w:t>。</w:t>
      </w:r>
    </w:p>
    <w:p w:rsidR="00FD2F9F" w:rsidRDefault="0039522B" w:rsidP="00D353E6">
      <w:pPr>
        <w:spacing w:beforeLines="50" w:before="120" w:line="520" w:lineRule="exact"/>
        <w:ind w:firstLineChars="200" w:firstLine="600"/>
        <w:rPr>
          <w:rFonts w:ascii="仿宋_GB2312" w:eastAsia="仿宋_GB2312"/>
          <w:sz w:val="30"/>
          <w:szCs w:val="30"/>
        </w:rPr>
      </w:pPr>
      <w:r>
        <w:rPr>
          <w:rFonts w:ascii="仿宋_GB2312" w:eastAsia="仿宋_GB2312" w:hint="eastAsia"/>
          <w:sz w:val="30"/>
          <w:szCs w:val="30"/>
        </w:rPr>
        <w:lastRenderedPageBreak/>
        <w:t>肖红，男，1972年10月出生，大学本科学历。曾就职于中国工商银行北京分行石景山支行，2000年至今任职国家烟草专卖局（中国烟草总公司），现任国家烟草专卖局（中国烟草总公司）财务监督司（审计司）预算处处长。</w:t>
      </w:r>
    </w:p>
    <w:p w:rsidR="00FD2F9F" w:rsidRDefault="0039522B" w:rsidP="00D353E6">
      <w:pPr>
        <w:spacing w:beforeLines="50" w:before="120" w:line="520" w:lineRule="exact"/>
        <w:ind w:firstLineChars="200" w:firstLine="600"/>
        <w:rPr>
          <w:rFonts w:ascii="仿宋_GB2312" w:eastAsia="仿宋_GB2312"/>
          <w:sz w:val="30"/>
          <w:szCs w:val="30"/>
        </w:rPr>
      </w:pPr>
      <w:r>
        <w:rPr>
          <w:rFonts w:ascii="仿宋_GB2312" w:eastAsia="仿宋_GB2312" w:hint="eastAsia"/>
          <w:sz w:val="30"/>
          <w:szCs w:val="30"/>
        </w:rPr>
        <w:t>林腾蛟，男，1968年4月出生，工商管理硕士，全国人大代表。现任阳光控股有限公司董事局主席，兼任全国人大代表、中国侨商联合会副会长、福建省工商联副主席、北京大学福建校友会名誉会长、福建星网锐捷通讯股份有限公司副董事长、上海市福建商会会长。</w:t>
      </w:r>
    </w:p>
    <w:p w:rsidR="00FD2F9F" w:rsidRDefault="0039522B" w:rsidP="00D353E6">
      <w:pPr>
        <w:spacing w:beforeLines="50" w:before="120" w:line="520" w:lineRule="exact"/>
        <w:ind w:firstLineChars="200" w:firstLine="600"/>
        <w:rPr>
          <w:rFonts w:ascii="仿宋_GB2312" w:eastAsia="仿宋_GB2312"/>
          <w:sz w:val="30"/>
          <w:szCs w:val="30"/>
        </w:rPr>
      </w:pPr>
      <w:r>
        <w:rPr>
          <w:rFonts w:ascii="仿宋_GB2312" w:eastAsia="仿宋_GB2312" w:hint="eastAsia"/>
          <w:sz w:val="30"/>
          <w:szCs w:val="30"/>
        </w:rPr>
        <w:t>陶以平，男，1963年4月出生，大学本科学历，工商管理硕士，高级经济师。历任中国银行福建省分行综合计划处科长，中银集团港澳管理处办公室高级经理，金城银行香港分行中国业务部高级经理，中国银行福建省分行办公室主任、资金计划处处长，福州市中支行行长，福建省分行行长助理，福建省分行副行长，厦门市分行行长，福建省分行行长，中国银行山东省分行行长；现任兴业银行党委委员、董事、行长。</w:t>
      </w:r>
    </w:p>
    <w:p w:rsidR="00FD2F9F" w:rsidRDefault="0039522B" w:rsidP="00D353E6">
      <w:pPr>
        <w:spacing w:beforeLines="50" w:before="120" w:line="520" w:lineRule="exact"/>
        <w:ind w:firstLineChars="200" w:firstLine="600"/>
        <w:rPr>
          <w:rFonts w:ascii="仿宋_GB2312" w:eastAsia="仿宋_GB2312"/>
          <w:sz w:val="30"/>
          <w:szCs w:val="30"/>
        </w:rPr>
      </w:pPr>
      <w:r>
        <w:rPr>
          <w:rFonts w:ascii="仿宋_GB2312" w:eastAsia="仿宋_GB2312" w:hint="eastAsia"/>
          <w:sz w:val="30"/>
          <w:szCs w:val="30"/>
        </w:rPr>
        <w:t>陈锦光，男，1961年11月出生，大学专科学历，经济师。历任兴业银行上海分行浦东支行行长，兴业银行上海分行副行长，兴业银行宁波分行行长，兴业银行成都分行行长，兴业银行北京分行行长；现任兴业银行党委委员、董事、副行长。</w:t>
      </w:r>
    </w:p>
    <w:p w:rsidR="00FD2F9F" w:rsidRDefault="0039522B" w:rsidP="00D353E6">
      <w:pPr>
        <w:spacing w:beforeLines="50" w:before="120" w:line="520" w:lineRule="exact"/>
        <w:ind w:firstLineChars="200" w:firstLine="600"/>
        <w:rPr>
          <w:rFonts w:ascii="仿宋_GB2312" w:eastAsia="仿宋_GB2312"/>
          <w:sz w:val="30"/>
          <w:szCs w:val="30"/>
        </w:rPr>
      </w:pPr>
      <w:r>
        <w:rPr>
          <w:rFonts w:ascii="仿宋_GB2312" w:eastAsia="仿宋_GB2312" w:hint="eastAsia"/>
          <w:sz w:val="30"/>
          <w:szCs w:val="30"/>
        </w:rPr>
        <w:t>陈信健，男，1967年10月出生，大学本科学历，硕士学位。历任福建省财政厅金融处、外债处处长，兴业银行上海分行副行长，兴业银行厦门分行副行长（主持工作）、行长，兴业银行南京分行行长，兴业银行北京分行行长；现任兴业银行党委委员、董事、副行长、董事会秘书。</w:t>
      </w:r>
    </w:p>
    <w:p w:rsidR="00FD2F9F" w:rsidRDefault="0039522B" w:rsidP="00D353E6">
      <w:pPr>
        <w:spacing w:beforeLines="50" w:before="120" w:line="520" w:lineRule="exact"/>
        <w:ind w:firstLineChars="200" w:firstLine="600"/>
        <w:rPr>
          <w:rFonts w:ascii="仿宋_GB2312" w:eastAsia="仿宋_GB2312"/>
          <w:sz w:val="30"/>
          <w:szCs w:val="30"/>
        </w:rPr>
      </w:pPr>
      <w:r>
        <w:rPr>
          <w:rFonts w:ascii="仿宋_GB2312" w:eastAsia="仿宋_GB2312" w:hint="eastAsia"/>
          <w:sz w:val="30"/>
          <w:szCs w:val="30"/>
        </w:rPr>
        <w:lastRenderedPageBreak/>
        <w:t>孙雄鹏，男，1967年4月出生，大学本科学历，硕士学位，高级经济师。历任兴业银行泉州分行国际业务部副经理、分行营业部兼国业部经理，兴业银行泉州分行行长助理、副行长，兴业银行漳州分行行长，兴业银行泉州分行行长，兴业银行厦门分行行长，兴业银行福州分行行长；现任兴业银行党委委员、副行长。</w:t>
      </w:r>
    </w:p>
    <w:p w:rsidR="00FD2F9F" w:rsidRDefault="0039522B" w:rsidP="00D353E6">
      <w:pPr>
        <w:spacing w:beforeLines="50" w:before="120" w:line="520" w:lineRule="exact"/>
        <w:ind w:firstLineChars="200" w:firstLine="600"/>
        <w:rPr>
          <w:rFonts w:ascii="仿宋_GB2312" w:eastAsia="仿宋_GB2312"/>
          <w:sz w:val="30"/>
          <w:szCs w:val="30"/>
        </w:rPr>
      </w:pPr>
      <w:r>
        <w:rPr>
          <w:rFonts w:ascii="仿宋_GB2312" w:eastAsia="仿宋_GB2312" w:hint="eastAsia"/>
          <w:sz w:val="30"/>
          <w:szCs w:val="30"/>
        </w:rPr>
        <w:t>苏锡嘉，男，1954年9月出生，博士研究生学历，教授，加拿大籍。曾任上海财经大学会计系讲师，香港城市大学商学院会计学系副教授；现任中欧国际工商学院会计学教授，兼任中国金茂集团、欧普照明、三木集团独立董事。</w:t>
      </w:r>
    </w:p>
    <w:p w:rsidR="00FD2F9F" w:rsidRDefault="0039522B" w:rsidP="00D353E6">
      <w:pPr>
        <w:spacing w:beforeLines="50" w:before="120" w:line="520" w:lineRule="exact"/>
        <w:ind w:firstLineChars="200" w:firstLine="600"/>
        <w:rPr>
          <w:rFonts w:ascii="仿宋_GB2312" w:eastAsia="仿宋_GB2312"/>
          <w:sz w:val="30"/>
          <w:szCs w:val="30"/>
        </w:rPr>
      </w:pPr>
      <w:r>
        <w:rPr>
          <w:rFonts w:ascii="仿宋_GB2312" w:eastAsia="仿宋_GB2312" w:hint="eastAsia"/>
          <w:sz w:val="30"/>
          <w:szCs w:val="30"/>
        </w:rPr>
        <w:t>陈国钢，男，1959年12月出生，博士研究生学历，高级会计师，注册会计师。历任厦门大学助教，香港鑫隆有限公司财务副总监，中国化工进出口总公司美国农化公司财务经理、石油财会部总经理、财务本部副部长，中国国际石油化工联合公司副总裁，中国中化集团公司副总会计师、财会部总经理、总会计师，新华人寿保险股份有限公司首席财务官、副总裁兼首席财务官，中国民生投资股份有限公司副总裁兼中民投资本管理有限公司董事长、中民投亚洲资产管理有限公司执行董事、中国民生金融控股有限公司首席执行官、董事局主席。现任中国平安集团前海金融资产交易所首席执行官，兼任国泰君安证券股份有限公司、中国动向（集团）有限公司、中粮信托有限责任公司独立董事。</w:t>
      </w:r>
    </w:p>
    <w:p w:rsidR="00FD2F9F" w:rsidRDefault="0039522B" w:rsidP="00D353E6">
      <w:pPr>
        <w:tabs>
          <w:tab w:val="right" w:pos="7742"/>
        </w:tabs>
        <w:snapToGrid w:val="0"/>
        <w:spacing w:beforeLines="50" w:before="120" w:line="520" w:lineRule="exact"/>
        <w:ind w:firstLineChars="200" w:firstLine="600"/>
        <w:rPr>
          <w:rFonts w:ascii="仿宋_GB2312" w:eastAsia="仿宋_GB2312"/>
          <w:sz w:val="30"/>
          <w:szCs w:val="30"/>
        </w:rPr>
      </w:pPr>
      <w:r>
        <w:rPr>
          <w:rFonts w:ascii="仿宋_GB2312" w:eastAsia="仿宋_GB2312"/>
          <w:sz w:val="30"/>
          <w:szCs w:val="30"/>
        </w:rPr>
        <w:t>林华，男，1975 年 9 月出生，硕士研究生学历。历任金圆资本管理(厦门)有限公司总经理、厦门市创业投资公司(厦门市政府母基金)总经理，中国广东核电集团资本运营部投资总监。现任北京华成函式技术公司总经理、北京东城紫金智能金融研究院院长、北京链证数科技术研究院有限公司董事长，兼任中国保险资产管理行业协会资产证</w:t>
      </w:r>
      <w:r>
        <w:rPr>
          <w:rFonts w:ascii="仿宋_GB2312" w:eastAsia="仿宋_GB2312"/>
          <w:sz w:val="30"/>
          <w:szCs w:val="30"/>
        </w:rPr>
        <w:lastRenderedPageBreak/>
        <w:t>券化专业委员会常务副主任、《金融会计》杂志编委会委员、 中国证券基金业协会资产证券化专业委员会顾问，招商局 REITs 审计委员会主任，中意保险资产审计委员会主任。</w:t>
      </w:r>
    </w:p>
    <w:p w:rsidR="00FD2F9F" w:rsidRDefault="0039522B" w:rsidP="00D353E6">
      <w:pPr>
        <w:tabs>
          <w:tab w:val="right" w:pos="7742"/>
        </w:tabs>
        <w:snapToGrid w:val="0"/>
        <w:spacing w:beforeLines="50" w:before="120" w:line="520" w:lineRule="exact"/>
        <w:ind w:firstLineChars="200" w:firstLine="600"/>
        <w:rPr>
          <w:rFonts w:ascii="仿宋_GB2312" w:eastAsia="仿宋_GB2312"/>
          <w:sz w:val="30"/>
          <w:szCs w:val="30"/>
        </w:rPr>
      </w:pPr>
      <w:r>
        <w:rPr>
          <w:rFonts w:ascii="仿宋_GB2312" w:eastAsia="仿宋_GB2312" w:hint="eastAsia"/>
          <w:sz w:val="30"/>
          <w:szCs w:val="30"/>
        </w:rPr>
        <w:t>贲圣林：男，1966年1月出生，</w:t>
      </w:r>
      <w:r>
        <w:rPr>
          <w:rFonts w:ascii="仿宋_GB2312" w:eastAsia="仿宋_GB2312"/>
          <w:sz w:val="30"/>
          <w:szCs w:val="30"/>
        </w:rPr>
        <w:t>博士研究生学历，教授，博士生导师。</w:t>
      </w:r>
      <w:r>
        <w:rPr>
          <w:rFonts w:ascii="仿宋_GB2312" w:eastAsia="仿宋_GB2312" w:hint="eastAsia"/>
          <w:sz w:val="30"/>
          <w:szCs w:val="30"/>
        </w:rPr>
        <w:t>历任荷兰银行高级副总裁，汇丰银行董事总经理，摩根大通银行（中国）有限公司行长及环球企业银行全球领导小组成员等。现任浙江大学教授、互联网金融研究院院长和国际联合商学院院长，兼任中国人民大学国际货币研究所联席所长，全国工商联国际委员会委员，中央统战部党外知识分子建言献策专家组成员，浙江省政协常委、经济委员会副主任，浙江省人民政府参事，浙江互联网金融联合会联合主席，广东金融专家顾问委员会顾问委员和《中国金融学》执行主编，中国国际金融股份有限公司、物产中大集团股份有限公司、湖南圣湘生物科技有限公司独立董事，中国建设银行监事。</w:t>
      </w:r>
    </w:p>
    <w:p w:rsidR="00FD2F9F" w:rsidRDefault="0039522B" w:rsidP="00D353E6">
      <w:pPr>
        <w:tabs>
          <w:tab w:val="right" w:pos="7742"/>
        </w:tabs>
        <w:snapToGrid w:val="0"/>
        <w:spacing w:beforeLines="50" w:before="120" w:line="520" w:lineRule="exact"/>
        <w:ind w:firstLineChars="200" w:firstLine="600"/>
        <w:rPr>
          <w:rFonts w:ascii="仿宋_GB2312" w:eastAsia="仿宋_GB2312"/>
          <w:sz w:val="30"/>
          <w:szCs w:val="30"/>
        </w:rPr>
      </w:pPr>
      <w:r>
        <w:rPr>
          <w:rFonts w:ascii="仿宋_GB2312" w:eastAsia="仿宋_GB2312" w:hint="eastAsia"/>
          <w:sz w:val="30"/>
          <w:szCs w:val="30"/>
        </w:rPr>
        <w:t>徐林，男，1962年6月出生，硕士研究生学历。历任原国家计委发展规划司副司长，国家发改委财政金融司司长、发展规划司司长、城市和小城镇改革中心主任，中美绿色投资管理有限公司董事长；现任中美绿色基金管理有限公司董事长。</w:t>
      </w:r>
    </w:p>
    <w:p w:rsidR="00092652" w:rsidRDefault="00092652">
      <w:pPr>
        <w:widowControl/>
        <w:spacing w:line="490" w:lineRule="exact"/>
        <w:ind w:firstLineChars="200" w:firstLine="600"/>
        <w:jc w:val="left"/>
        <w:rPr>
          <w:rFonts w:ascii="仿宋_GB2312" w:eastAsia="仿宋_GB2312" w:hAnsi="Calibri"/>
          <w:sz w:val="30"/>
          <w:szCs w:val="30"/>
        </w:rPr>
      </w:pPr>
    </w:p>
    <w:p w:rsidR="00092652" w:rsidRDefault="0039522B">
      <w:pPr>
        <w:widowControl/>
        <w:jc w:val="left"/>
        <w:rPr>
          <w:rFonts w:ascii="仿宋_GB2312" w:eastAsia="仿宋_GB2312" w:hAnsi="Calibri"/>
          <w:sz w:val="30"/>
          <w:szCs w:val="30"/>
        </w:rPr>
      </w:pPr>
      <w:r>
        <w:rPr>
          <w:rFonts w:ascii="仿宋_GB2312" w:eastAsia="仿宋_GB2312" w:hAnsi="Calibri"/>
          <w:sz w:val="30"/>
          <w:szCs w:val="30"/>
        </w:rPr>
        <w:br w:type="page"/>
      </w:r>
    </w:p>
    <w:p w:rsidR="00092652" w:rsidRDefault="00C4392E">
      <w:pPr>
        <w:tabs>
          <w:tab w:val="left" w:pos="416"/>
          <w:tab w:val="left" w:pos="1086"/>
          <w:tab w:val="center" w:pos="4156"/>
        </w:tabs>
        <w:spacing w:line="500" w:lineRule="exact"/>
        <w:ind w:firstLineChars="200" w:firstLine="640"/>
      </w:pPr>
      <w:r>
        <w:rPr>
          <w:rFonts w:ascii="黑体" w:eastAsia="黑体"/>
          <w:noProof/>
          <w:sz w:val="32"/>
          <w:szCs w:val="32"/>
        </w:rPr>
        <w:lastRenderedPageBreak/>
        <mc:AlternateContent>
          <mc:Choice Requires="wps">
            <w:drawing>
              <wp:anchor distT="0" distB="0" distL="114300" distR="114300" simplePos="0" relativeHeight="251681792" behindDoc="0" locked="0" layoutInCell="1" allowOverlap="1" wp14:anchorId="00CD57C7" wp14:editId="60AD1587">
                <wp:simplePos x="0" y="0"/>
                <wp:positionH relativeFrom="column">
                  <wp:posOffset>-15875</wp:posOffset>
                </wp:positionH>
                <wp:positionV relativeFrom="paragraph">
                  <wp:posOffset>0</wp:posOffset>
                </wp:positionV>
                <wp:extent cx="1426210" cy="594360"/>
                <wp:effectExtent l="0" t="0" r="3175" b="0"/>
                <wp:wrapSquare wrapText="bothSides"/>
                <wp:docPr id="12" name="文本框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621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15BAA" w:rsidRDefault="00115BAA">
                            <w:pPr>
                              <w:spacing w:line="400" w:lineRule="exact"/>
                              <w:jc w:val="center"/>
                              <w:rPr>
                                <w:rFonts w:ascii="宋体"/>
                                <w:color w:val="000000"/>
                                <w:szCs w:val="21"/>
                              </w:rPr>
                            </w:pPr>
                            <w:r>
                              <w:rPr>
                                <w:rFonts w:ascii="宋体" w:hint="eastAsia"/>
                                <w:color w:val="000000"/>
                                <w:szCs w:val="21"/>
                              </w:rPr>
                              <w:t>2020年年度股东大会</w:t>
                            </w:r>
                          </w:p>
                          <w:p w:rsidR="00115BAA" w:rsidRDefault="00115BAA">
                            <w:pPr>
                              <w:spacing w:line="400" w:lineRule="exact"/>
                              <w:jc w:val="center"/>
                              <w:rPr>
                                <w:rFonts w:ascii="宋体"/>
                                <w:color w:val="000000"/>
                                <w:szCs w:val="21"/>
                              </w:rPr>
                            </w:pPr>
                            <w:r>
                              <w:rPr>
                                <w:rFonts w:ascii="宋体" w:hint="eastAsia"/>
                                <w:color w:val="000000"/>
                                <w:szCs w:val="21"/>
                              </w:rPr>
                              <w:t>文件十二　审议议案</w:t>
                            </w:r>
                          </w:p>
                          <w:p w:rsidR="00115BAA" w:rsidRDefault="00115BAA">
                            <w:pPr>
                              <w:rPr>
                                <w:szCs w:val="21"/>
                              </w:rPr>
                            </w:pPr>
                          </w:p>
                        </w:txbxContent>
                      </wps:txbx>
                      <wps:bodyPr wrap="none"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_x0000_s1038" type="#_x0000_t202" style="position:absolute;left:0;text-align:left;margin-left:-1.25pt;margin-top:0;width:112.3pt;height:46.8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">
                <v:path arrowok="t"/>
                <v:textbox>
                  <w:txbxContent>
                    <w:p w:rsidR="00115BAA" w:rsidRDefault="00115BAA">
                      <w:pPr>
                        <w:spacing w:line="400" w:lineRule="exact"/>
                        <w:jc w:val="center"/>
                        <w:rPr>
                          <w:rFonts w:ascii="宋体"/>
                          <w:color w:val="000000"/>
                          <w:szCs w:val="21"/>
                        </w:rPr>
                      </w:pPr>
                      <w:r>
                        <w:rPr>
                          <w:rFonts w:ascii="宋体" w:hint="eastAsia"/>
                          <w:color w:val="000000"/>
                          <w:szCs w:val="21"/>
                        </w:rPr>
                        <w:t>2020年年度股东大会</w:t>
                      </w:r>
                    </w:p>
                    <w:p w:rsidR="00115BAA" w:rsidRDefault="00115BAA">
                      <w:pPr>
                        <w:spacing w:line="400" w:lineRule="exact"/>
                        <w:jc w:val="center"/>
                        <w:rPr>
                          <w:rFonts w:ascii="宋体"/>
                          <w:color w:val="000000"/>
                          <w:szCs w:val="21"/>
                        </w:rPr>
                      </w:pPr>
                      <w:r>
                        <w:rPr>
                          <w:rFonts w:ascii="宋体" w:hint="eastAsia"/>
                          <w:color w:val="000000"/>
                          <w:szCs w:val="21"/>
                        </w:rPr>
                        <w:t>文件十二　审议议案</w:t>
                      </w:r>
                    </w:p>
                    <w:p w:rsidR="00115BAA" w:rsidRDefault="00115BAA">
                      <w:pPr>
                        <w:rPr>
                          <w:szCs w:val="21"/>
                        </w:rPr>
                      </w:pPr>
                    </w:p>
                  </w:txbxContent>
                </v:textbox>
                <w10:wrap type="square"/>
              </v:shape>
            </w:pict>
          </mc:Fallback>
        </mc:AlternateContent>
      </w:r>
    </w:p>
    <w:p w:rsidR="00092652" w:rsidRDefault="00092652">
      <w:pPr>
        <w:widowControl/>
        <w:spacing w:line="560" w:lineRule="exact"/>
        <w:jc w:val="center"/>
        <w:rPr>
          <w:rFonts w:ascii="黑体" w:eastAsia="黑体"/>
          <w:sz w:val="32"/>
          <w:szCs w:val="32"/>
        </w:rPr>
      </w:pPr>
    </w:p>
    <w:p w:rsidR="00092652" w:rsidRDefault="0039522B">
      <w:pPr>
        <w:widowControl/>
        <w:spacing w:line="520" w:lineRule="exact"/>
        <w:jc w:val="center"/>
        <w:rPr>
          <w:rFonts w:ascii="黑体" w:eastAsia="黑体"/>
          <w:sz w:val="32"/>
          <w:szCs w:val="32"/>
        </w:rPr>
      </w:pPr>
      <w:r>
        <w:rPr>
          <w:rFonts w:ascii="黑体" w:eastAsia="黑体" w:hint="eastAsia"/>
          <w:sz w:val="32"/>
          <w:szCs w:val="32"/>
        </w:rPr>
        <w:t>兴业银行股份有限公司</w:t>
      </w:r>
    </w:p>
    <w:p w:rsidR="00092652" w:rsidRDefault="0039522B">
      <w:pPr>
        <w:pStyle w:val="1"/>
        <w:spacing w:before="0" w:after="0" w:line="500" w:lineRule="exact"/>
        <w:rPr>
          <w:b/>
          <w:bCs/>
          <w:kern w:val="2"/>
          <w:szCs w:val="32"/>
        </w:rPr>
      </w:pPr>
      <w:bookmarkStart w:id="18" w:name="_Toc72437658"/>
      <w:r>
        <w:rPr>
          <w:rFonts w:hint="eastAsia"/>
          <w:kern w:val="2"/>
          <w:szCs w:val="32"/>
        </w:rPr>
        <w:t>关于选举第八届监事会股东监事和外部监事的议案</w:t>
      </w:r>
      <w:bookmarkEnd w:id="18"/>
    </w:p>
    <w:p w:rsidR="00092652" w:rsidRDefault="0039522B">
      <w:pPr>
        <w:spacing w:line="540" w:lineRule="exact"/>
        <w:jc w:val="center"/>
        <w:rPr>
          <w:rFonts w:ascii="仿宋_GB2312" w:eastAsia="仿宋_GB2312"/>
          <w:sz w:val="30"/>
          <w:szCs w:val="30"/>
        </w:rPr>
      </w:pPr>
      <w:r>
        <w:rPr>
          <w:rFonts w:ascii="仿宋_GB2312" w:eastAsia="仿宋_GB2312" w:hint="eastAsia"/>
          <w:sz w:val="30"/>
          <w:szCs w:val="30"/>
        </w:rPr>
        <w:t>监事会主席：蒋云明</w:t>
      </w:r>
    </w:p>
    <w:p w:rsidR="00092652" w:rsidRDefault="00092652">
      <w:pPr>
        <w:spacing w:line="540" w:lineRule="exact"/>
        <w:rPr>
          <w:rFonts w:ascii="仿宋_GB2312" w:eastAsia="仿宋_GB2312"/>
          <w:sz w:val="30"/>
          <w:szCs w:val="30"/>
        </w:rPr>
      </w:pPr>
    </w:p>
    <w:p w:rsidR="00092652" w:rsidRDefault="0039522B">
      <w:pPr>
        <w:spacing w:line="540" w:lineRule="exact"/>
        <w:rPr>
          <w:rFonts w:ascii="仿宋_GB2312" w:eastAsia="仿宋_GB2312"/>
          <w:sz w:val="30"/>
          <w:szCs w:val="30"/>
        </w:rPr>
      </w:pPr>
      <w:r>
        <w:rPr>
          <w:rFonts w:ascii="仿宋_GB2312" w:eastAsia="仿宋_GB2312" w:hint="eastAsia"/>
          <w:sz w:val="30"/>
          <w:szCs w:val="30"/>
        </w:rPr>
        <w:t xml:space="preserve">各位股东： </w:t>
      </w:r>
    </w:p>
    <w:p w:rsidR="00092652" w:rsidRDefault="0039522B">
      <w:pPr>
        <w:spacing w:line="540" w:lineRule="exact"/>
        <w:ind w:firstLineChars="200" w:firstLine="600"/>
        <w:rPr>
          <w:rFonts w:ascii="仿宋_GB2312" w:eastAsia="仿宋_GB2312"/>
          <w:sz w:val="30"/>
          <w:szCs w:val="30"/>
        </w:rPr>
      </w:pPr>
      <w:r>
        <w:rPr>
          <w:rFonts w:ascii="仿宋_GB2312" w:eastAsia="仿宋_GB2312" w:hint="eastAsia"/>
          <w:sz w:val="30"/>
          <w:szCs w:val="30"/>
        </w:rPr>
        <w:t xml:space="preserve">根据公司法和本行章程规定，经有关股东和监事会推荐，现产生股东监事和外部监事候选人4名，具体名单如下： </w:t>
      </w:r>
    </w:p>
    <w:p w:rsidR="00092652" w:rsidRDefault="0039522B">
      <w:pPr>
        <w:spacing w:line="540" w:lineRule="exact"/>
        <w:ind w:firstLineChars="200" w:firstLine="600"/>
        <w:rPr>
          <w:rFonts w:ascii="仿宋_GB2312" w:eastAsia="仿宋_GB2312"/>
          <w:sz w:val="30"/>
          <w:szCs w:val="30"/>
        </w:rPr>
      </w:pPr>
      <w:r>
        <w:rPr>
          <w:rFonts w:ascii="仿宋_GB2312" w:eastAsia="仿宋_GB2312" w:hint="eastAsia"/>
          <w:sz w:val="30"/>
          <w:szCs w:val="30"/>
        </w:rPr>
        <w:t xml:space="preserve">一、股东监事候选人1名：何旭东，由浙江省能源集团推荐。 </w:t>
      </w:r>
    </w:p>
    <w:p w:rsidR="00092652" w:rsidRDefault="0039522B">
      <w:pPr>
        <w:spacing w:line="540" w:lineRule="exact"/>
        <w:ind w:firstLineChars="200" w:firstLine="600"/>
        <w:rPr>
          <w:rFonts w:ascii="仿宋_GB2312" w:eastAsia="仿宋_GB2312"/>
          <w:sz w:val="30"/>
          <w:szCs w:val="30"/>
        </w:rPr>
      </w:pPr>
      <w:r>
        <w:rPr>
          <w:rFonts w:ascii="仿宋_GB2312" w:eastAsia="仿宋_GB2312" w:hint="eastAsia"/>
          <w:sz w:val="30"/>
          <w:szCs w:val="30"/>
        </w:rPr>
        <w:t xml:space="preserve">二、外部监事候选人3名（以姓氏笔划为序）： </w:t>
      </w:r>
    </w:p>
    <w:p w:rsidR="00092652" w:rsidRDefault="0039522B">
      <w:pPr>
        <w:spacing w:line="540" w:lineRule="exact"/>
        <w:ind w:firstLineChars="200" w:firstLine="600"/>
        <w:rPr>
          <w:rFonts w:ascii="仿宋_GB2312" w:eastAsia="仿宋_GB2312"/>
          <w:sz w:val="30"/>
          <w:szCs w:val="30"/>
        </w:rPr>
      </w:pPr>
      <w:r>
        <w:rPr>
          <w:rFonts w:ascii="仿宋_GB2312" w:eastAsia="仿宋_GB2312" w:hint="eastAsia"/>
          <w:sz w:val="30"/>
          <w:szCs w:val="30"/>
        </w:rPr>
        <w:t>Paul M.Theil、朱青、夏大慰。</w:t>
      </w:r>
    </w:p>
    <w:p w:rsidR="00092652" w:rsidRDefault="0039522B">
      <w:pPr>
        <w:spacing w:line="540" w:lineRule="exact"/>
        <w:ind w:firstLineChars="200" w:firstLine="600"/>
        <w:rPr>
          <w:rFonts w:ascii="仿宋_GB2312" w:eastAsia="仿宋_GB2312"/>
          <w:sz w:val="30"/>
          <w:szCs w:val="30"/>
        </w:rPr>
      </w:pPr>
      <w:r>
        <w:rPr>
          <w:rFonts w:ascii="仿宋_GB2312" w:eastAsia="仿宋_GB2312" w:hint="eastAsia"/>
          <w:sz w:val="30"/>
          <w:szCs w:val="30"/>
        </w:rPr>
        <w:t xml:space="preserve">根据有关法律法规，新一届监事会职工监事由本行职工代表大会另行选举产生。 </w:t>
      </w:r>
    </w:p>
    <w:p w:rsidR="00092652" w:rsidRDefault="0039522B">
      <w:pPr>
        <w:spacing w:line="540" w:lineRule="exact"/>
        <w:ind w:firstLineChars="200" w:firstLine="600"/>
        <w:rPr>
          <w:rFonts w:ascii="仿宋_GB2312" w:eastAsia="仿宋_GB2312"/>
          <w:sz w:val="30"/>
          <w:szCs w:val="30"/>
        </w:rPr>
      </w:pPr>
      <w:r>
        <w:rPr>
          <w:rFonts w:ascii="仿宋_GB2312" w:eastAsia="仿宋_GB2312" w:hint="eastAsia"/>
          <w:sz w:val="30"/>
          <w:szCs w:val="30"/>
        </w:rPr>
        <w:t>专此报告，请予审议。</w:t>
      </w:r>
    </w:p>
    <w:p w:rsidR="00092652" w:rsidRDefault="00092652">
      <w:pPr>
        <w:spacing w:line="540" w:lineRule="exact"/>
        <w:ind w:firstLineChars="200" w:firstLine="600"/>
        <w:rPr>
          <w:rFonts w:ascii="仿宋_GB2312" w:eastAsia="仿宋_GB2312"/>
          <w:sz w:val="30"/>
          <w:szCs w:val="30"/>
        </w:rPr>
      </w:pPr>
    </w:p>
    <w:p w:rsidR="00092652" w:rsidRDefault="0039522B">
      <w:pPr>
        <w:spacing w:line="540" w:lineRule="exact"/>
        <w:ind w:firstLineChars="200" w:firstLine="600"/>
        <w:rPr>
          <w:sz w:val="30"/>
          <w:szCs w:val="30"/>
        </w:rPr>
      </w:pPr>
      <w:r>
        <w:rPr>
          <w:rFonts w:ascii="仿宋_GB2312" w:eastAsia="仿宋_GB2312" w:hint="eastAsia"/>
          <w:sz w:val="30"/>
          <w:szCs w:val="30"/>
        </w:rPr>
        <w:t>附件：第八届监事会股东监事和外部监事候选人简历</w:t>
      </w:r>
    </w:p>
    <w:p w:rsidR="00092652" w:rsidRDefault="0039522B">
      <w:pPr>
        <w:spacing w:line="500" w:lineRule="exact"/>
        <w:rPr>
          <w:rFonts w:ascii="仿宋_GB2312" w:eastAsia="仿宋_GB2312" w:hAnsi="宋体"/>
          <w:sz w:val="30"/>
          <w:szCs w:val="30"/>
        </w:rPr>
      </w:pPr>
      <w:r>
        <w:rPr>
          <w:rFonts w:ascii="仿宋_GB2312" w:eastAsia="仿宋_GB2312" w:hint="eastAsia"/>
          <w:sz w:val="30"/>
          <w:szCs w:val="30"/>
        </w:rPr>
        <w:br w:type="page"/>
      </w:r>
      <w:r>
        <w:rPr>
          <w:rFonts w:ascii="仿宋_GB2312" w:eastAsia="仿宋_GB2312" w:hAnsi="宋体" w:hint="eastAsia"/>
          <w:sz w:val="30"/>
          <w:szCs w:val="30"/>
        </w:rPr>
        <w:lastRenderedPageBreak/>
        <w:t>附件</w:t>
      </w:r>
    </w:p>
    <w:p w:rsidR="00092652" w:rsidRDefault="0039522B">
      <w:pPr>
        <w:spacing w:line="500" w:lineRule="exact"/>
        <w:jc w:val="center"/>
        <w:rPr>
          <w:rFonts w:ascii="黑体" w:eastAsia="黑体"/>
          <w:sz w:val="30"/>
          <w:szCs w:val="30"/>
        </w:rPr>
      </w:pPr>
      <w:r>
        <w:rPr>
          <w:rFonts w:ascii="黑体" w:eastAsia="黑体" w:hint="eastAsia"/>
          <w:sz w:val="30"/>
          <w:szCs w:val="30"/>
        </w:rPr>
        <w:t>兴业银行股份有限公司</w:t>
      </w:r>
    </w:p>
    <w:p w:rsidR="00092652" w:rsidRDefault="0039522B">
      <w:pPr>
        <w:spacing w:line="500" w:lineRule="exact"/>
        <w:jc w:val="center"/>
        <w:rPr>
          <w:rFonts w:ascii="黑体" w:eastAsia="黑体"/>
          <w:sz w:val="30"/>
          <w:szCs w:val="30"/>
        </w:rPr>
      </w:pPr>
      <w:r>
        <w:rPr>
          <w:rFonts w:ascii="黑体" w:eastAsia="黑体" w:hint="eastAsia"/>
          <w:sz w:val="30"/>
          <w:szCs w:val="30"/>
        </w:rPr>
        <w:t>第八届监事会股东监事和外部监事候选人简历</w:t>
      </w:r>
    </w:p>
    <w:p w:rsidR="00092652" w:rsidRDefault="00092652" w:rsidP="003863DD">
      <w:pPr>
        <w:spacing w:beforeLines="50" w:before="120" w:line="520" w:lineRule="exact"/>
        <w:rPr>
          <w:rFonts w:ascii="仿宋_GB2312" w:eastAsia="仿宋_GB2312" w:hAnsi="宋体"/>
          <w:b/>
          <w:sz w:val="30"/>
          <w:szCs w:val="30"/>
        </w:rPr>
      </w:pPr>
    </w:p>
    <w:p w:rsidR="00FD2F9F" w:rsidRDefault="0039522B" w:rsidP="00D353E6">
      <w:pPr>
        <w:spacing w:beforeLines="50" w:before="120" w:line="540" w:lineRule="exact"/>
        <w:ind w:firstLineChars="200" w:firstLine="600"/>
        <w:rPr>
          <w:rFonts w:ascii="仿宋_GB2312" w:eastAsia="仿宋_GB2312" w:cs="仿宋_GB2312"/>
          <w:color w:val="000000"/>
          <w:kern w:val="0"/>
          <w:sz w:val="30"/>
          <w:szCs w:val="30"/>
        </w:rPr>
      </w:pPr>
      <w:r>
        <w:rPr>
          <w:rFonts w:ascii="仿宋_GB2312" w:eastAsia="仿宋_GB2312" w:cs="仿宋_GB2312" w:hint="eastAsia"/>
          <w:bCs/>
          <w:color w:val="000000"/>
          <w:kern w:val="0"/>
          <w:sz w:val="30"/>
          <w:szCs w:val="30"/>
        </w:rPr>
        <w:t>何旭东，</w:t>
      </w:r>
      <w:r>
        <w:rPr>
          <w:rFonts w:ascii="仿宋_GB2312" w:eastAsia="仿宋_GB2312" w:cs="仿宋_GB2312" w:hint="eastAsia"/>
          <w:color w:val="000000"/>
          <w:kern w:val="0"/>
          <w:sz w:val="30"/>
          <w:szCs w:val="30"/>
        </w:rPr>
        <w:t>男，1977年11月出生，大学本科学历，经济师。历任浙江电力开发公司项目管理部职员，浙江省能源集团资产经营部职员，浙能集团煤炭及运输分公司资产经营部主任，浙能集团煤炭及运输分公司综合办公室主任。现任浙江省能源集团有限公司资产经营部副主任，兼任江西省赣浙能源有限公司、中海浙江宁波液化天然气有限公司、浙江浙能嘉兴发电有限公司、浙江浙能嘉华发电有限公司、浙江浙能乐清发电有限责任公司、浙江浙能温州发电有限公司、浙江温州特鲁莱发电有限公司、温州燃机发电有限公司、浙江浙能长兴发电有限公司、浙江浙能钱清发电有限责任公司、浙江浙能兴源节能科技有限公司、浙江浙能兰溪发电有限责任公司、浙江浙能北仑发电有限公司、国电浙江北仑第三发电有限公司、浙江浙能中煤舟山煤电有限公司、浙江浙能台州第二发电有限公司董事。</w:t>
      </w:r>
    </w:p>
    <w:p w:rsidR="00FD2F9F" w:rsidRDefault="0039522B" w:rsidP="00D353E6">
      <w:pPr>
        <w:spacing w:beforeLines="50" w:before="120" w:line="540" w:lineRule="exact"/>
        <w:ind w:firstLineChars="200" w:firstLine="600"/>
        <w:rPr>
          <w:rFonts w:ascii="仿宋_GB2312" w:eastAsia="仿宋_GB2312" w:hAnsi="宋体"/>
          <w:sz w:val="30"/>
          <w:szCs w:val="30"/>
        </w:rPr>
      </w:pPr>
      <w:r>
        <w:rPr>
          <w:rFonts w:ascii="仿宋_GB2312" w:eastAsia="仿宋_GB2312"/>
          <w:bCs/>
          <w:sz w:val="30"/>
          <w:szCs w:val="30"/>
        </w:rPr>
        <w:t>Paul M.Theil</w:t>
      </w:r>
      <w:r>
        <w:rPr>
          <w:rFonts w:ascii="仿宋_GB2312" w:eastAsia="仿宋_GB2312" w:hint="eastAsia"/>
          <w:bCs/>
          <w:sz w:val="30"/>
          <w:szCs w:val="30"/>
        </w:rPr>
        <w:t>，</w:t>
      </w:r>
      <w:r>
        <w:rPr>
          <w:rFonts w:ascii="仿宋_GB2312" w:eastAsia="仿宋_GB2312" w:hint="eastAsia"/>
          <w:sz w:val="30"/>
          <w:szCs w:val="30"/>
        </w:rPr>
        <w:t>男，1953年5月出生，博士学历。历任美国驻华使馆一等秘书，商务参赞；现任深圳市中安信业创业投资有限公司董事长，摩氏实业发展（深圳）有限公司法定代表人、深圳市龙岗中银富登村镇银行董事、摩根士丹利华鑫基金独立董事、恒安国际集团有限公司独立董事、中国平安保险集团投资委员会独立委员、润晖基金管理有限公司董事、亲亲食品集团董事以及深圳市小额贷款行业协会会长、中国小额贷款公司协会副会长、深圳市创业投资同业公会副会长。</w:t>
      </w:r>
    </w:p>
    <w:p w:rsidR="00092652" w:rsidRDefault="0039522B">
      <w:pPr>
        <w:spacing w:before="50" w:line="540" w:lineRule="exact"/>
        <w:ind w:firstLineChars="200" w:firstLine="600"/>
        <w:rPr>
          <w:rFonts w:ascii="仿宋_GB2312" w:eastAsia="仿宋_GB2312"/>
          <w:sz w:val="30"/>
          <w:szCs w:val="30"/>
        </w:rPr>
      </w:pPr>
      <w:r>
        <w:rPr>
          <w:rFonts w:ascii="仿宋_GB2312" w:eastAsia="仿宋_GB2312" w:hint="eastAsia"/>
          <w:bCs/>
          <w:sz w:val="30"/>
          <w:szCs w:val="30"/>
        </w:rPr>
        <w:lastRenderedPageBreak/>
        <w:t>朱青，</w:t>
      </w:r>
      <w:r>
        <w:rPr>
          <w:rFonts w:ascii="仿宋_GB2312" w:eastAsia="仿宋_GB2312" w:hint="eastAsia"/>
          <w:sz w:val="30"/>
          <w:szCs w:val="30"/>
        </w:rPr>
        <w:t>男，1957年5月出生，博士研究生学历，教授。历任中国人民大学财政金融学院讲师、副教授、教授、博士生导师；曾在欧盟委员会预算司和关税司工作；现任中国人民大学财政金融学院教授、博士生导师，兼任中泰信托有限责任公司、江苏江阴农村商业银行股份有限公司、长城资产管理股份有限公司独立董事，中国信托业保障基金有限责任公司外部监事，中国税务学会副会长，中国财政学会常务理事，中国社会保障学会理事，国家税务总局扬州税务进修学院特聘教授，北京国家会计学院和厦门国家会计学院兼职教授。</w:t>
      </w:r>
    </w:p>
    <w:p w:rsidR="00092652" w:rsidRDefault="0039522B" w:rsidP="003863DD">
      <w:pPr>
        <w:adjustRightInd w:val="0"/>
        <w:snapToGrid w:val="0"/>
        <w:spacing w:beforeLines="50" w:before="120" w:line="540" w:lineRule="exact"/>
        <w:ind w:firstLineChars="200" w:firstLine="600"/>
        <w:rPr>
          <w:sz w:val="30"/>
          <w:szCs w:val="30"/>
        </w:rPr>
      </w:pPr>
      <w:r>
        <w:rPr>
          <w:rFonts w:ascii="仿宋_GB2312" w:eastAsia="仿宋_GB2312" w:hAnsi="宋体" w:hint="eastAsia"/>
          <w:bCs/>
          <w:sz w:val="30"/>
          <w:szCs w:val="30"/>
        </w:rPr>
        <w:t>夏大慰</w:t>
      </w:r>
      <w:r>
        <w:rPr>
          <w:rFonts w:ascii="仿宋_GB2312" w:eastAsia="仿宋_GB2312" w:hint="eastAsia"/>
          <w:bCs/>
          <w:sz w:val="30"/>
          <w:szCs w:val="30"/>
        </w:rPr>
        <w:t>，</w:t>
      </w:r>
      <w:r>
        <w:rPr>
          <w:rFonts w:ascii="仿宋_GB2312" w:eastAsia="仿宋_GB2312" w:hint="eastAsia"/>
          <w:sz w:val="30"/>
          <w:szCs w:val="30"/>
        </w:rPr>
        <w:t>男，</w:t>
      </w:r>
      <w:r>
        <w:rPr>
          <w:rFonts w:ascii="仿宋_GB2312" w:eastAsia="仿宋_GB2312" w:hAnsi="宋体" w:hint="eastAsia"/>
          <w:sz w:val="30"/>
          <w:szCs w:val="30"/>
        </w:rPr>
        <w:t>1953年2月出生，硕士研究生学历，教授，博士生导师。历任上海财经大学国际工商管理学院院长、校长助理、副校长，上海国家会计学院院长。现任上海国家会计学院学术委员会主任，兼任中国工业经济学会副会长、中国总会计师协会副会长、上海会计学会会长、香港中文大学名誉教授、复旦大学管理学院兼职教授等职务；国泰君安证券股份有限公司、联华超市股份有限公司、吉祥航空股份有限公司、阳光城集团股份有限公司独立董事，浙江浙商国际金融资产交易中心股份有限公司董事，上海城创投资管理股份有限公司董事。</w:t>
      </w:r>
    </w:p>
    <w:p w:rsidR="00092652" w:rsidRDefault="00092652">
      <w:pPr>
        <w:widowControl/>
        <w:spacing w:line="490" w:lineRule="exact"/>
        <w:ind w:firstLineChars="200" w:firstLine="600"/>
        <w:jc w:val="left"/>
        <w:rPr>
          <w:rFonts w:ascii="仿宋_GB2312" w:eastAsia="仿宋_GB2312" w:hAnsi="Calibri"/>
          <w:sz w:val="30"/>
          <w:szCs w:val="30"/>
        </w:rPr>
      </w:pPr>
    </w:p>
    <w:p w:rsidR="00092652" w:rsidRDefault="00092652">
      <w:pPr>
        <w:widowControl/>
        <w:spacing w:line="490" w:lineRule="exact"/>
        <w:ind w:firstLineChars="200" w:firstLine="600"/>
        <w:jc w:val="left"/>
        <w:rPr>
          <w:rFonts w:ascii="仿宋_GB2312" w:eastAsia="仿宋_GB2312" w:hAnsi="Calibri"/>
          <w:sz w:val="30"/>
          <w:szCs w:val="30"/>
        </w:rPr>
      </w:pPr>
    </w:p>
    <w:p w:rsidR="00092652" w:rsidRDefault="0039522B">
      <w:pPr>
        <w:widowControl/>
        <w:jc w:val="left"/>
        <w:rPr>
          <w:rFonts w:ascii="仿宋_GB2312" w:eastAsia="仿宋_GB2312" w:hAnsi="Calibri"/>
          <w:sz w:val="30"/>
          <w:szCs w:val="30"/>
        </w:rPr>
      </w:pPr>
      <w:r>
        <w:rPr>
          <w:rFonts w:ascii="仿宋_GB2312" w:eastAsia="仿宋_GB2312" w:hAnsi="Calibri"/>
          <w:sz w:val="30"/>
          <w:szCs w:val="30"/>
        </w:rPr>
        <w:br w:type="page"/>
      </w:r>
    </w:p>
    <w:p w:rsidR="00092652" w:rsidRDefault="00C4392E">
      <w:pPr>
        <w:tabs>
          <w:tab w:val="left" w:pos="416"/>
          <w:tab w:val="left" w:pos="1086"/>
          <w:tab w:val="center" w:pos="4156"/>
        </w:tabs>
        <w:spacing w:line="500" w:lineRule="exact"/>
        <w:ind w:firstLineChars="200" w:firstLine="640"/>
      </w:pPr>
      <w:r>
        <w:rPr>
          <w:rFonts w:ascii="黑体" w:eastAsia="黑体"/>
          <w:noProof/>
          <w:sz w:val="32"/>
          <w:szCs w:val="32"/>
        </w:rPr>
        <w:lastRenderedPageBreak/>
        <mc:AlternateContent>
          <mc:Choice Requires="wps">
            <w:drawing>
              <wp:anchor distT="0" distB="0" distL="114300" distR="114300" simplePos="0" relativeHeight="251682816" behindDoc="0" locked="0" layoutInCell="1" allowOverlap="1" wp14:anchorId="6B1FCAA3" wp14:editId="3DADB86A">
                <wp:simplePos x="0" y="0"/>
                <wp:positionH relativeFrom="column">
                  <wp:posOffset>-15875</wp:posOffset>
                </wp:positionH>
                <wp:positionV relativeFrom="paragraph">
                  <wp:posOffset>0</wp:posOffset>
                </wp:positionV>
                <wp:extent cx="1426210" cy="594360"/>
                <wp:effectExtent l="0" t="0" r="3175" b="0"/>
                <wp:wrapSquare wrapText="bothSides"/>
                <wp:docPr id="11" name="文本框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621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15BAA" w:rsidRDefault="00115BAA">
                            <w:pPr>
                              <w:spacing w:line="400" w:lineRule="exact"/>
                              <w:jc w:val="center"/>
                              <w:rPr>
                                <w:rFonts w:ascii="宋体"/>
                                <w:color w:val="000000"/>
                                <w:szCs w:val="21"/>
                              </w:rPr>
                            </w:pPr>
                            <w:r>
                              <w:rPr>
                                <w:rFonts w:ascii="宋体" w:hint="eastAsia"/>
                                <w:color w:val="000000"/>
                                <w:szCs w:val="21"/>
                              </w:rPr>
                              <w:t>2020年年度股东大会</w:t>
                            </w:r>
                          </w:p>
                          <w:p w:rsidR="00115BAA" w:rsidRDefault="00115BAA">
                            <w:pPr>
                              <w:spacing w:line="400" w:lineRule="exact"/>
                              <w:jc w:val="center"/>
                              <w:rPr>
                                <w:rFonts w:ascii="宋体"/>
                                <w:color w:val="000000"/>
                                <w:szCs w:val="21"/>
                              </w:rPr>
                            </w:pPr>
                            <w:r>
                              <w:rPr>
                                <w:rFonts w:ascii="宋体" w:hint="eastAsia"/>
                                <w:color w:val="000000"/>
                                <w:szCs w:val="21"/>
                              </w:rPr>
                              <w:t>文件十三　审议议案</w:t>
                            </w:r>
                          </w:p>
                          <w:p w:rsidR="00115BAA" w:rsidRDefault="00115BAA">
                            <w:pPr>
                              <w:rPr>
                                <w:szCs w:val="21"/>
                              </w:rPr>
                            </w:pPr>
                          </w:p>
                        </w:txbxContent>
                      </wps:txbx>
                      <wps:bodyPr wrap="none"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_x0000_s1039" type="#_x0000_t202" style="position:absolute;left:0;text-align:left;margin-left:-1.25pt;margin-top:0;width:112.3pt;height:46.8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">
                <v:path arrowok="t"/>
                <v:textbox>
                  <w:txbxContent>
                    <w:p w:rsidR="00115BAA" w:rsidRDefault="00115BAA">
                      <w:pPr>
                        <w:spacing w:line="400" w:lineRule="exact"/>
                        <w:jc w:val="center"/>
                        <w:rPr>
                          <w:rFonts w:ascii="宋体"/>
                          <w:color w:val="000000"/>
                          <w:szCs w:val="21"/>
                        </w:rPr>
                      </w:pPr>
                      <w:r>
                        <w:rPr>
                          <w:rFonts w:ascii="宋体" w:hint="eastAsia"/>
                          <w:color w:val="000000"/>
                          <w:szCs w:val="21"/>
                        </w:rPr>
                        <w:t>2020年年度股东大会</w:t>
                      </w:r>
                    </w:p>
                    <w:p w:rsidR="00115BAA" w:rsidRDefault="00115BAA">
                      <w:pPr>
                        <w:spacing w:line="400" w:lineRule="exact"/>
                        <w:jc w:val="center"/>
                        <w:rPr>
                          <w:rFonts w:ascii="宋体"/>
                          <w:color w:val="000000"/>
                          <w:szCs w:val="21"/>
                        </w:rPr>
                      </w:pPr>
                      <w:r>
                        <w:rPr>
                          <w:rFonts w:ascii="宋体" w:hint="eastAsia"/>
                          <w:color w:val="000000"/>
                          <w:szCs w:val="21"/>
                        </w:rPr>
                        <w:t>文件十三　审议议案</w:t>
                      </w:r>
                    </w:p>
                    <w:p w:rsidR="00115BAA" w:rsidRDefault="00115BAA">
                      <w:pPr>
                        <w:rPr>
                          <w:szCs w:val="21"/>
                        </w:rPr>
                      </w:pPr>
                    </w:p>
                  </w:txbxContent>
                </v:textbox>
                <w10:wrap type="square"/>
              </v:shape>
            </w:pict>
          </mc:Fallback>
        </mc:AlternateContent>
      </w:r>
    </w:p>
    <w:p w:rsidR="00092652" w:rsidRDefault="00092652">
      <w:pPr>
        <w:widowControl/>
        <w:spacing w:line="520" w:lineRule="exact"/>
        <w:jc w:val="center"/>
        <w:rPr>
          <w:rFonts w:ascii="黑体" w:eastAsia="黑体"/>
          <w:sz w:val="32"/>
          <w:szCs w:val="32"/>
        </w:rPr>
      </w:pPr>
    </w:p>
    <w:p w:rsidR="00092652" w:rsidRDefault="0039522B">
      <w:pPr>
        <w:widowControl/>
        <w:spacing w:line="520" w:lineRule="exact"/>
        <w:jc w:val="center"/>
        <w:rPr>
          <w:rFonts w:ascii="黑体" w:eastAsia="黑体"/>
          <w:sz w:val="32"/>
          <w:szCs w:val="32"/>
        </w:rPr>
      </w:pPr>
      <w:r>
        <w:rPr>
          <w:rFonts w:ascii="黑体" w:eastAsia="黑体" w:hint="eastAsia"/>
          <w:sz w:val="32"/>
          <w:szCs w:val="32"/>
        </w:rPr>
        <w:t>兴业银行股份有限公司</w:t>
      </w:r>
    </w:p>
    <w:p w:rsidR="00092652" w:rsidRDefault="0039522B">
      <w:pPr>
        <w:pStyle w:val="1"/>
        <w:tabs>
          <w:tab w:val="clear" w:pos="432"/>
        </w:tabs>
        <w:spacing w:before="0" w:after="0" w:line="520" w:lineRule="exact"/>
        <w:ind w:left="567" w:rightChars="290" w:right="609" w:firstLine="0"/>
        <w:rPr>
          <w:szCs w:val="32"/>
        </w:rPr>
      </w:pPr>
      <w:bookmarkStart w:id="19" w:name="_Toc72437659"/>
      <w:r>
        <w:rPr>
          <w:rFonts w:cs="黑体" w:hint="eastAsia"/>
          <w:szCs w:val="32"/>
        </w:rPr>
        <w:t>关于公司符合公开发行A股可转换公司债券条件的议案</w:t>
      </w:r>
      <w:bookmarkEnd w:id="19"/>
    </w:p>
    <w:p w:rsidR="006076FE" w:rsidRDefault="006076FE" w:rsidP="006076FE">
      <w:pPr>
        <w:overflowPunct w:val="0"/>
        <w:snapToGrid w:val="0"/>
        <w:spacing w:line="520" w:lineRule="exact"/>
        <w:jc w:val="center"/>
        <w:rPr>
          <w:rFonts w:ascii="仿宋_GB2312" w:eastAsia="仿宋_GB2312"/>
          <w:sz w:val="30"/>
          <w:szCs w:val="28"/>
        </w:rPr>
      </w:pPr>
      <w:r>
        <w:rPr>
          <w:rFonts w:ascii="仿宋_GB2312" w:eastAsia="仿宋_GB2312" w:hint="eastAsia"/>
          <w:sz w:val="30"/>
          <w:szCs w:val="28"/>
        </w:rPr>
        <w:t>董事、董事会秘书：陈信健</w:t>
      </w:r>
    </w:p>
    <w:p w:rsidR="00092652" w:rsidRDefault="00092652">
      <w:pPr>
        <w:widowControl/>
        <w:jc w:val="left"/>
      </w:pPr>
    </w:p>
    <w:p w:rsidR="00092652" w:rsidRDefault="0039522B">
      <w:pPr>
        <w:overflowPunct w:val="0"/>
        <w:snapToGrid w:val="0"/>
        <w:spacing w:line="520" w:lineRule="exact"/>
        <w:rPr>
          <w:rFonts w:ascii="仿宋_GB2312" w:eastAsia="仿宋_GB2312" w:hAnsi="Calibri"/>
          <w:sz w:val="30"/>
          <w:szCs w:val="30"/>
        </w:rPr>
      </w:pPr>
      <w:r>
        <w:rPr>
          <w:rFonts w:ascii="仿宋_GB2312" w:eastAsia="仿宋_GB2312" w:hAnsi="Calibri" w:hint="eastAsia"/>
          <w:sz w:val="30"/>
          <w:szCs w:val="30"/>
        </w:rPr>
        <w:t>各位股东：</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根据《中华人民共和国公司法》《中华人民共和国证券法》《上市公司证券发行管理办法》和《可转换公司债券管理办法》等法律、法规及规范性文件的有关规定，公司经过认真的自查论证，认为公司已经符合公开发行A股可转换公司债券的条件。</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专此报告，请予审议。</w:t>
      </w:r>
    </w:p>
    <w:p w:rsidR="00092652" w:rsidRDefault="00092652">
      <w:pPr>
        <w:spacing w:line="520" w:lineRule="exact"/>
        <w:ind w:firstLineChars="200" w:firstLine="600"/>
        <w:rPr>
          <w:rFonts w:ascii="仿宋_GB2312" w:eastAsia="仿宋_GB2312"/>
          <w:sz w:val="30"/>
          <w:szCs w:val="30"/>
        </w:rPr>
      </w:pP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附件：上市公司公开发行A股可转换公司债券条件的主要法规规定</w:t>
      </w:r>
    </w:p>
    <w:p w:rsidR="00092652" w:rsidRDefault="00092652">
      <w:pPr>
        <w:snapToGrid w:val="0"/>
        <w:spacing w:line="520" w:lineRule="exact"/>
        <w:ind w:firstLineChars="200" w:firstLine="600"/>
        <w:rPr>
          <w:kern w:val="0"/>
          <w:sz w:val="30"/>
          <w:szCs w:val="30"/>
        </w:rPr>
      </w:pPr>
    </w:p>
    <w:p w:rsidR="00092652" w:rsidRDefault="00092652">
      <w:pPr>
        <w:snapToGrid w:val="0"/>
        <w:spacing w:line="500" w:lineRule="exact"/>
        <w:ind w:firstLineChars="200" w:firstLine="640"/>
        <w:rPr>
          <w:kern w:val="0"/>
          <w:sz w:val="32"/>
          <w:szCs w:val="32"/>
        </w:rPr>
      </w:pPr>
    </w:p>
    <w:p w:rsidR="00092652" w:rsidRDefault="00092652" w:rsidP="003863DD">
      <w:pPr>
        <w:snapToGrid w:val="0"/>
        <w:spacing w:beforeLines="50" w:before="120" w:afterLines="50" w:after="120" w:line="360" w:lineRule="auto"/>
        <w:rPr>
          <w:kern w:val="0"/>
          <w:sz w:val="32"/>
          <w:szCs w:val="32"/>
        </w:rPr>
      </w:pPr>
    </w:p>
    <w:p w:rsidR="00092652" w:rsidRDefault="0039522B">
      <w:pPr>
        <w:snapToGrid w:val="0"/>
        <w:spacing w:before="50" w:after="50" w:line="360" w:lineRule="auto"/>
        <w:rPr>
          <w:rFonts w:ascii="宋体" w:hAnsi="宋体"/>
          <w:b/>
          <w:kern w:val="0"/>
          <w:szCs w:val="28"/>
        </w:rPr>
      </w:pPr>
      <w:r>
        <w:rPr>
          <w:b/>
          <w:kern w:val="0"/>
          <w:sz w:val="24"/>
        </w:rPr>
        <w:br w:type="page"/>
      </w:r>
      <w:r>
        <w:rPr>
          <w:rFonts w:ascii="仿宋_GB2312" w:eastAsia="仿宋_GB2312" w:hint="eastAsia"/>
          <w:sz w:val="30"/>
          <w:szCs w:val="30"/>
        </w:rPr>
        <w:lastRenderedPageBreak/>
        <w:t>附件</w:t>
      </w:r>
    </w:p>
    <w:p w:rsidR="00092652" w:rsidRDefault="0039522B">
      <w:pPr>
        <w:spacing w:line="360" w:lineRule="auto"/>
        <w:jc w:val="center"/>
        <w:rPr>
          <w:rFonts w:ascii="宋体" w:hAnsi="宋体"/>
          <w:b/>
          <w:bCs/>
          <w:sz w:val="30"/>
          <w:szCs w:val="30"/>
        </w:rPr>
      </w:pPr>
      <w:r>
        <w:rPr>
          <w:rFonts w:ascii="宋体" w:hAnsi="宋体"/>
          <w:b/>
          <w:bCs/>
          <w:sz w:val="30"/>
          <w:szCs w:val="30"/>
        </w:rPr>
        <w:t>上市公司</w:t>
      </w:r>
      <w:r>
        <w:rPr>
          <w:rFonts w:ascii="宋体" w:hAnsi="宋体" w:hint="eastAsia"/>
          <w:b/>
          <w:bCs/>
          <w:sz w:val="30"/>
          <w:szCs w:val="30"/>
        </w:rPr>
        <w:t>公开发行A股可转换公司债券条件</w:t>
      </w:r>
      <w:r>
        <w:rPr>
          <w:rFonts w:ascii="宋体" w:hAnsi="宋体"/>
          <w:b/>
          <w:bCs/>
          <w:sz w:val="30"/>
          <w:szCs w:val="30"/>
        </w:rPr>
        <w:t>的</w:t>
      </w:r>
      <w:r>
        <w:rPr>
          <w:rFonts w:ascii="宋体" w:hAnsi="宋体" w:hint="eastAsia"/>
          <w:b/>
          <w:bCs/>
          <w:sz w:val="30"/>
          <w:szCs w:val="30"/>
        </w:rPr>
        <w:t>主要</w:t>
      </w:r>
      <w:r>
        <w:rPr>
          <w:rFonts w:ascii="宋体" w:hAnsi="宋体"/>
          <w:b/>
          <w:bCs/>
          <w:sz w:val="30"/>
          <w:szCs w:val="30"/>
        </w:rPr>
        <w:t>法规规定</w:t>
      </w:r>
    </w:p>
    <w:p w:rsidR="00092652" w:rsidRDefault="00092652" w:rsidP="003863DD">
      <w:pPr>
        <w:snapToGrid w:val="0"/>
        <w:spacing w:beforeLines="50" w:before="120" w:afterLines="50" w:after="120" w:line="360" w:lineRule="auto"/>
        <w:jc w:val="center"/>
        <w:rPr>
          <w:b/>
          <w:kern w:val="0"/>
          <w:sz w:val="24"/>
        </w:rPr>
      </w:pPr>
    </w:p>
    <w:p w:rsidR="00092652" w:rsidRDefault="0039522B">
      <w:pPr>
        <w:snapToGrid w:val="0"/>
        <w:spacing w:before="50" w:after="50" w:line="520" w:lineRule="exact"/>
        <w:ind w:firstLineChars="200" w:firstLine="562"/>
        <w:rPr>
          <w:rFonts w:ascii="宋体" w:hAnsi="宋体"/>
          <w:b/>
          <w:kern w:val="0"/>
          <w:sz w:val="28"/>
          <w:szCs w:val="28"/>
        </w:rPr>
      </w:pPr>
      <w:r>
        <w:rPr>
          <w:rFonts w:ascii="宋体" w:hAnsi="宋体" w:hint="eastAsia"/>
          <w:b/>
          <w:kern w:val="0"/>
          <w:sz w:val="28"/>
          <w:szCs w:val="28"/>
        </w:rPr>
        <w:t>一、《中华人民共和国公司法》的有关规定</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第一百六十一条 上市公司经股东大会决议可以发行可转换为股票的公司债券，并在公司债券募集办法中规定具体的转换办法。上市公司发行可转换为股票的公司债券，应当报国务院证券监督管理机构核准。</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发行可转换为股票的公司债券，应当在债券上标明可转换公司债券字样，并在公司债券存根簿上载明可转换公司债券的数额。</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第一百六十二条 发行可转换为股票的公司债券的，公司应当按照其转换办法向债券持有人换发股票，但债券持有人对转换股票或者不转换股票有选择权。</w:t>
      </w:r>
    </w:p>
    <w:p w:rsidR="00092652" w:rsidRDefault="0039522B">
      <w:pPr>
        <w:snapToGrid w:val="0"/>
        <w:spacing w:before="50" w:after="50" w:line="520" w:lineRule="exact"/>
        <w:ind w:firstLineChars="200" w:firstLine="562"/>
        <w:rPr>
          <w:rFonts w:ascii="宋体" w:hAnsi="宋体"/>
          <w:b/>
          <w:kern w:val="0"/>
          <w:sz w:val="28"/>
          <w:szCs w:val="28"/>
        </w:rPr>
      </w:pPr>
      <w:r>
        <w:rPr>
          <w:rFonts w:ascii="宋体" w:hAnsi="宋体" w:hint="eastAsia"/>
          <w:b/>
          <w:kern w:val="0"/>
          <w:sz w:val="28"/>
          <w:szCs w:val="28"/>
        </w:rPr>
        <w:t>二、《中华人民共和国证券法》的有关规定</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第十二条 ……上市公司发行新股，应当符合经国务院批准的国务院证券监督管理机构规定的条件，具体管理办法由国务院证券监督管理机构规定。……</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第十五条 公开发行公司债券，应当符合下列条件：</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（一）具备健全且运行良好的组织机构；</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（二）最近三年平均可分配利润足以支付公司债券一年的利息；</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（三）国务院规定的其他条件。</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公开发行公司债券筹集的资金，必须按照公司债券募集办法所列资金用途使用；改变资金用途，必须经债券持有人会议作出决议。公开发行公司债券筹集的资金，不得用于弥补亏损和非生产性支出。</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上市公司发行可转换为股票的公司债券，除应当符合第一款规定的条</w:t>
      </w:r>
      <w:r>
        <w:rPr>
          <w:rFonts w:ascii="宋体" w:hAnsi="宋体" w:hint="eastAsia"/>
          <w:kern w:val="0"/>
          <w:sz w:val="28"/>
          <w:szCs w:val="28"/>
        </w:rPr>
        <w:lastRenderedPageBreak/>
        <w:t>件外，还应当遵守本法第十二条第二款的规定。但是，按照公司债券募集办法，上市公司通过收购本公司股份的方式进行公司债券转换的除外。</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第十七条 有下列情形之一的，不得再次公开发行公司债券：</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（一）对已公开发行的公司债券或者其他债务有违约或者延迟支付本息的事实，仍处于继续状态；</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（二）违反本法规定，改变公开发行公司债券所募资金的用途。</w:t>
      </w:r>
    </w:p>
    <w:p w:rsidR="00092652" w:rsidRDefault="0039522B">
      <w:pPr>
        <w:snapToGrid w:val="0"/>
        <w:spacing w:before="50" w:after="50" w:line="520" w:lineRule="exact"/>
        <w:ind w:firstLineChars="200" w:firstLine="562"/>
        <w:rPr>
          <w:rFonts w:ascii="宋体" w:hAnsi="宋体"/>
          <w:b/>
          <w:kern w:val="0"/>
          <w:sz w:val="28"/>
          <w:szCs w:val="28"/>
        </w:rPr>
      </w:pPr>
      <w:r>
        <w:rPr>
          <w:rFonts w:ascii="宋体" w:hAnsi="宋体" w:hint="eastAsia"/>
          <w:b/>
          <w:kern w:val="0"/>
          <w:sz w:val="28"/>
          <w:szCs w:val="28"/>
        </w:rPr>
        <w:t>三、《上市公司证券发行管理办法》的有关规定</w:t>
      </w:r>
    </w:p>
    <w:p w:rsidR="00092652" w:rsidRDefault="0039522B">
      <w:pPr>
        <w:snapToGrid w:val="0"/>
        <w:spacing w:before="50" w:after="50" w:line="520" w:lineRule="exact"/>
        <w:jc w:val="center"/>
        <w:rPr>
          <w:rFonts w:ascii="宋体" w:hAnsi="宋体"/>
          <w:b/>
          <w:kern w:val="0"/>
          <w:sz w:val="28"/>
          <w:szCs w:val="28"/>
        </w:rPr>
      </w:pPr>
      <w:r>
        <w:rPr>
          <w:rFonts w:ascii="宋体" w:hAnsi="宋体" w:hint="eastAsia"/>
          <w:b/>
          <w:kern w:val="0"/>
          <w:sz w:val="28"/>
          <w:szCs w:val="28"/>
        </w:rPr>
        <w:t>第二章 公开发行证券的条件</w:t>
      </w:r>
    </w:p>
    <w:p w:rsidR="00092652" w:rsidRDefault="0039522B">
      <w:pPr>
        <w:snapToGrid w:val="0"/>
        <w:spacing w:before="50" w:after="50" w:line="520" w:lineRule="exact"/>
        <w:jc w:val="center"/>
        <w:rPr>
          <w:rFonts w:ascii="宋体" w:hAnsi="宋体"/>
          <w:b/>
          <w:kern w:val="0"/>
          <w:sz w:val="28"/>
          <w:szCs w:val="28"/>
        </w:rPr>
      </w:pPr>
      <w:r>
        <w:rPr>
          <w:rFonts w:ascii="宋体" w:hAnsi="宋体" w:hint="eastAsia"/>
          <w:b/>
          <w:kern w:val="0"/>
          <w:sz w:val="28"/>
          <w:szCs w:val="28"/>
        </w:rPr>
        <w:t>第一节 一般规定</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第六条 上市公司的组织机构健全、运行良好，符合下列规定：</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（一）公司章程合法有效，股东大会、董事会、监事会和独立董事制度健全，能够依法有效履行职责；</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（二）公司内部控制制度健全，能够有效保证公司运行的效率、合法合规性和财务报告的可靠性；内部控制制度的完整性、合理性、有效性不存在重大缺陷；</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三）现任董事、监事和高级管理人员具备任职资格，能够忠实和勤勉地履行职务，不存在违反公司法第一百四十七条、第一百四十八条规定的行为，且最近三十六个月内未受到过中国证监会的行政处罚、最近十二个月内未受到过证券交易所的公开谴责；</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（四）上市公司与控股股东或实际控制人的人员、资产、财务分开，机构、业务独立，能够自主经营管理；</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（五）最近十二个月内不存在违规对外提供担保的行为。</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第七条 上市公司的盈利能力具有可持续性，符合下列规定：</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（一）最近三个会计年度连续盈利。扣除非经常性损益后的净利润与</w:t>
      </w:r>
      <w:r>
        <w:rPr>
          <w:rFonts w:ascii="宋体" w:hAnsi="宋体" w:hint="eastAsia"/>
          <w:kern w:val="0"/>
          <w:sz w:val="28"/>
          <w:szCs w:val="28"/>
        </w:rPr>
        <w:lastRenderedPageBreak/>
        <w:t>扣除前的净利润相比，以低者作为计算依据；</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（二）业务和盈利来源相对稳定，不存在严重依赖于控股股东、实际控制人的情形；</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（三）现有主营业务或投资方向能够可持续发展，经营模式和投资计划稳健，主要产品或服务的市场前景良好，行业经营环境和市场需求不存在现实或可预见的重大不利变化；</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（四）高级管理人员和核心技术人员稳定，最近十二个月内未发生重大不利变化；</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（五）公司重要资产、核心技术或其他重大权益的取得合法，能够持续使用，不存在现实或可预见的重大不利变化；</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（六）不存在可能严重影响公司持续经营的担保、诉讼、仲裁或其他重大事项；</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（七）最近二十四个月内曾公开发行证券的，不存在发行当年营业利润比上年下降百分之五十以上的情形。</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第八条 上市公司的财务状况良好，符合下列规定：</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（一）会计基础工作规范，严格遵循国家统一会计制度的规定；</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二）最近三年及一期财务报表未被注册会计师出具保留意见、否定意见或无法表示意见的审计报告；被注册会计师出具带强调事项段的无保留意见审计报告的，所涉及的事项对发行人无重大不利影响或者在发行前重大不利影响已经消除；</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（三）资产质量良好。不良资产不足以对公司财务状况造成重大不利影响；</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（四）经营成果真实，现金流量正常。营业收入和成本费用的确认严格遵循国家有关企业会计准则的规定，最近三年资产减值准备计提充分合</w:t>
      </w:r>
      <w:r>
        <w:rPr>
          <w:rFonts w:ascii="宋体" w:hAnsi="宋体" w:hint="eastAsia"/>
          <w:kern w:val="0"/>
          <w:sz w:val="28"/>
          <w:szCs w:val="28"/>
        </w:rPr>
        <w:lastRenderedPageBreak/>
        <w:t>理，不存在操纵经营业绩的情形；</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（五）最近三年以现金方式累计分配的利润不少于最近三年实现的年均可分配利润的百分之三十。</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第九条 上市公司最近三十六个月内财务会计文件无虚假记载，且不存在下列重大违法行为：</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（一）违反证券法律、行政法规或规章，受到中国证监会的行政处罚，或者受到刑事处罚；</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（二）违反工商、税收、土地、环保、海关法律、行政法规或规章，受到行政处罚且情节严重，或者受到刑事处罚；</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（三）违反国家其他法律、行政法规且情节严重的行为。</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第十条 上市公司募集资金的数额和使用应当符合下列规定：</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（一）募集资金数额不超过项目需要量；</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（二）募集资金用途符合国家产业政策和有关环境保护、土地管理等法律和行政法规的规定；</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（三）除金融类企业外，本次募集资金使用项目不得为持有交易性金融资产和可供出售的金融资产、借予他人、委托理财等财务性投资，不得直接或间接投资于以买卖有价证券为主要业务的公司；</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（四）投资项目实施后，不会与控股股东或实际控制人产生同业竞争或影响公司生产经营的独立性；</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（五）建立募集资金专项存储制度，募集资金必须存放于公司董事会决定的专项账户。</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第十一条 上市公司存在下列情形之一的，不得公开发行证券：</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（一）本次发行申请文件有虚假记载、误导性陈述或重大遗漏；</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（二）擅自改变前次公开发行证券募集资金的用途而未作纠正；</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lastRenderedPageBreak/>
        <w:t>（三）上市公司最近十二个月内受到过证券交易所的公开谴责；</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（四）上市公司及其控股股东或实际控制人最近十二个月内存在未履行向投资者作出的公开承诺的行为；</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（五）上市公司或其现任董事、高级管理人员因涉嫌犯罪被司法机关立案侦查或涉嫌违法违规被中国证监会立案调查；</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（六）严重损害投资者的合法权益和社会公共利益的其他情形。</w:t>
      </w:r>
    </w:p>
    <w:p w:rsidR="00092652" w:rsidRDefault="0039522B">
      <w:pPr>
        <w:snapToGrid w:val="0"/>
        <w:spacing w:before="50" w:after="50" w:line="520" w:lineRule="exact"/>
        <w:jc w:val="center"/>
        <w:rPr>
          <w:rFonts w:ascii="宋体" w:hAnsi="宋体"/>
          <w:b/>
          <w:kern w:val="0"/>
          <w:sz w:val="28"/>
          <w:szCs w:val="28"/>
        </w:rPr>
      </w:pPr>
      <w:r>
        <w:rPr>
          <w:rFonts w:ascii="宋体" w:hAnsi="宋体" w:hint="eastAsia"/>
          <w:b/>
          <w:kern w:val="0"/>
          <w:sz w:val="28"/>
          <w:szCs w:val="28"/>
        </w:rPr>
        <w:t>第三节 发行可转换公司债券</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第十四条 公开发行可转换公司债券的公司，除应当符合本章第一节规定外，还应当符合下列规定：</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（一）最近三个会计年度加权平均净资产收益率平均不低于百分之六。扣除非经常性损益后的净利润与扣除前的净利润相比，以低者作为加权平均净资产收益率的计算依据；</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（二）本次发行后累计公司债券余额不超过最近一期末净资产额的百分之四十；</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（三）最近三个会计年度实现的年均可分配利润不少于公司债券一年的利息。</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前款所称可转换公司债券，是指发行公司依法发行、在一定期间内依据约定的条件可以转换成股份的公司债券。</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第十五条 可转换公司债券的期限最短为一年，最长为六年。</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第十六条 可转换公司债券每张面值一百元。</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可转换公司债券的利率由发行公司与主承销商协商确定，但必须符合国家的有关规定。</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第十七条 公开发行可转换公司债券，应当委托具有资格的资信评级机构进行信用评级和跟踪评级。</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lastRenderedPageBreak/>
        <w:t>资信评级机构每年至少公告一次跟踪评级报告。</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第十八条 上市公司应当在可转换公司债券期满后五个工作日内办理完毕偿还债券余额本息的事项。</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第十九条 公开发行可转换公司债券，应当约定保护债券持有人权利的办法，以及债券持有人会议的权利、程序和决议生效条件。</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存在下列事项之一的，应当召开债券持有人会议：</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（一）拟变更募集说明书的约定；</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（二）发行人不能按期支付本息；</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（三）发行人减资、合并、分立、解散或者申请破产；</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（四）保证人或者担保物发生重大变化；</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（五）其他影响债券持有人重大权益的事项。</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第二十条 公开发行可转换公司债券，应当提供担保，但最近一期末经审计的净资产不低于人民币十五亿元的公司除外。</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提供担保的，应当为全额担保，担保范围包括债券的本金及利息、违约金、损害赔偿金和实现债权的费用。</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以保证方式提供担保的，应当为连带责任担保，且保证人最近一期经审计的净资产额应不低于其累计对外担保的金额。证券公司或上市公司不得作为发行可转债的担保人，但上市商业银行除外。</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设定抵押或质押的，抵押或质押财产的估值应不低于担保金额。估值应经有资格的资产评估机构评估。</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第二十一条 可转换公司债券自发行结束之日起六个月后方可转换为公司股票，转股期限由公司根据可转换公司债券的存续期限及公司财务状况确定。</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债券持有人对转换股票或者不转换股票有选择权，并于转股的次日成</w:t>
      </w:r>
      <w:r>
        <w:rPr>
          <w:rFonts w:ascii="宋体" w:hAnsi="宋体" w:hint="eastAsia"/>
          <w:kern w:val="0"/>
          <w:sz w:val="28"/>
          <w:szCs w:val="28"/>
        </w:rPr>
        <w:lastRenderedPageBreak/>
        <w:t>为发行公司的股东。</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第二十二条 转股价格应不低于募集说明书公告日前二十个交易日该公司股票交易均价和前一个交易日的均价。</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前款所称转股价格，是指募集说明书事先约定的可转换公司债券转换为每股股份所支付的价格。</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第二十三条 募集说明书可以约定赎回条款，规定上市公司可按事先约定的条件和价格赎回尚未转股的可转换公司债券。</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第二十四条 募集说明书可以约定回售条款，规定债券持有人可按事先约定的条件和价格将所持债券回售给上市公司。</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募集说明书应当约定，上市公司改变公告的募集资金用途的，赋予债券持有人一次回售的权利。</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第二十五条 募集说明书应当约定转股价格调整的原则及方式。发行可转换公司债券后，因配股、增发、送股、派息、分立及其他原因引起上市公司股份变动的，应当同时调整转股价格。</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第二十六条 募集说明书约定转股价格向下修正条款的，应当同时约定：</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（一）转股价格修正方案须提交公司股东大会表决，且须经出席会议的股东所持表决权的三分之二以上同意。股东大会进行表决时，持有公司可转换债券的股东应当回避；</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（二）修正后的转股价格不低于前项规定的股东大会召开日前二十个交易日该公司股票交易均价和前一个交易日的均价。</w:t>
      </w:r>
    </w:p>
    <w:p w:rsidR="00092652" w:rsidRDefault="0039522B">
      <w:pPr>
        <w:snapToGrid w:val="0"/>
        <w:spacing w:before="50" w:after="50" w:line="520" w:lineRule="exact"/>
        <w:ind w:firstLineChars="200" w:firstLine="562"/>
        <w:rPr>
          <w:rFonts w:ascii="宋体" w:hAnsi="宋体"/>
          <w:b/>
          <w:kern w:val="0"/>
          <w:sz w:val="28"/>
          <w:szCs w:val="28"/>
        </w:rPr>
      </w:pPr>
      <w:r>
        <w:rPr>
          <w:rFonts w:ascii="宋体" w:hAnsi="宋体" w:hint="eastAsia"/>
          <w:b/>
          <w:kern w:val="0"/>
          <w:sz w:val="28"/>
          <w:szCs w:val="28"/>
        </w:rPr>
        <w:t>四、《可转换公司债券管理办法》的有关规定</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第八条 可转债自发行结束之日起不少于六个月后方可转换为公司股票，转股期限由公司根据可转债的存续期限及公司财务状况确定。</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可转债持有人对转股或者不转股有选择权，并于转股的次日成为发行</w:t>
      </w:r>
      <w:r>
        <w:rPr>
          <w:rFonts w:ascii="宋体" w:hAnsi="宋体" w:hint="eastAsia"/>
          <w:kern w:val="0"/>
          <w:sz w:val="28"/>
          <w:szCs w:val="28"/>
        </w:rPr>
        <w:lastRenderedPageBreak/>
        <w:t>人股东。</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第九条 上市公司向不特定对象发行可转债的转股价格应当不低于募集说明书公告日前二十个交易日发行人股票交易均价和前一个交易日均价，且不得向上修正。</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上市公司向特定对象发行可转债的转股价格应当不低于认购邀请书发出前二十个交易日发行人股票交易均价和前一个交易日均价，且不得向下修正。</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第十条 募集说明书应当约定转股价格调整的原则及方式。</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发行可转债后，因配股、增发、送股、派息、分立、减资及其他原因引起发行人股份变动的，应当同时调整转股价格。</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上市公司可转债募集说明书约定转股价格向下修正条款的，应当同时约定：</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（一）转股价格修正方案须提交发行人股东大会表决，且须经出席会议的股东所持表决权的三分之二以上同意，持有发行人可转债的股东应当回避；</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（二）修正后的转股价格不低于前项通过修正方案的股东大会召开日前二十个交易日该发行人股票交易均价和前一个交易日均价。</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第十一条 募集说明书可以约定赎回条款，规定发行人可按事先约定的条件和价格赎回尚未转股的可转债。</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募集说明书可以约定回售条款，规定可转债持有人可按事先约定的条件和价格将所持可转债回售给发行人。募集说明书应当约定，发行人改变募集资金用途的，赋予可转债持有人一次回售的权利。</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第十六条 向不特定对象发行可转债的，发行人应当为可转债持有人聘请受托管理人，并订立可转债受托管理协议。向特定对象发行可转债的，</w:t>
      </w:r>
      <w:r>
        <w:rPr>
          <w:rFonts w:ascii="宋体" w:hAnsi="宋体" w:hint="eastAsia"/>
          <w:kern w:val="0"/>
          <w:sz w:val="28"/>
          <w:szCs w:val="28"/>
        </w:rPr>
        <w:lastRenderedPageBreak/>
        <w:t>发行人应当在募集说明书中约定可转债受托管理事项。</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可转债受托管理人应当按照《公司债券发行与交易管理办法》的规定以及可转债受托管理协议的约定履行受托管理职责。</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第十七条 募集说明书应当约定可转债持有人会议规则。可转债持有人会议规则应当公平、合理。</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可转债持有人会议规则应当明确可转债持有人通过可转债持有人会议行使权利的范围，可转债持有人会议的召集、通知、决策机制和其他重要事项。</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可转债持有人会议按照本办法的规定及会议规则的程序要求所形成的决议对全体可转债持有人具有约束力。</w:t>
      </w:r>
    </w:p>
    <w:p w:rsidR="00092652" w:rsidRDefault="0039522B">
      <w:pPr>
        <w:snapToGrid w:val="0"/>
        <w:spacing w:before="50" w:after="50" w:line="520" w:lineRule="exact"/>
        <w:ind w:firstLineChars="200" w:firstLine="560"/>
        <w:rPr>
          <w:rFonts w:ascii="宋体" w:hAnsi="宋体"/>
          <w:kern w:val="0"/>
          <w:sz w:val="28"/>
          <w:szCs w:val="28"/>
        </w:rPr>
      </w:pPr>
      <w:r>
        <w:rPr>
          <w:rFonts w:ascii="宋体" w:hAnsi="宋体" w:hint="eastAsia"/>
          <w:kern w:val="0"/>
          <w:sz w:val="28"/>
          <w:szCs w:val="28"/>
        </w:rPr>
        <w:t>第十九条 发行人应当在募集说明书中约定构成可转债违约的情形、违约责任及其承担方式以及可转债发生违约后的诉讼、仲裁或其他争议解决机制。</w:t>
      </w:r>
    </w:p>
    <w:p w:rsidR="00092652" w:rsidRDefault="00092652">
      <w:pPr>
        <w:widowControl/>
        <w:spacing w:line="490" w:lineRule="exact"/>
        <w:ind w:firstLineChars="200" w:firstLine="600"/>
        <w:jc w:val="left"/>
        <w:rPr>
          <w:rFonts w:ascii="仿宋_GB2312" w:eastAsia="仿宋_GB2312" w:hAnsi="Calibri"/>
          <w:sz w:val="30"/>
          <w:szCs w:val="30"/>
        </w:rPr>
      </w:pPr>
    </w:p>
    <w:p w:rsidR="00092652" w:rsidRDefault="0039522B">
      <w:pPr>
        <w:widowControl/>
        <w:jc w:val="left"/>
        <w:rPr>
          <w:rFonts w:ascii="仿宋_GB2312" w:eastAsia="仿宋_GB2312" w:hAnsi="Calibri"/>
          <w:sz w:val="30"/>
          <w:szCs w:val="30"/>
        </w:rPr>
      </w:pPr>
      <w:r>
        <w:rPr>
          <w:rFonts w:ascii="仿宋_GB2312" w:eastAsia="仿宋_GB2312" w:hAnsi="Calibri"/>
          <w:sz w:val="30"/>
          <w:szCs w:val="30"/>
        </w:rPr>
        <w:br w:type="page"/>
      </w:r>
    </w:p>
    <w:p w:rsidR="00092652" w:rsidRDefault="00C4392E">
      <w:pPr>
        <w:tabs>
          <w:tab w:val="left" w:pos="416"/>
          <w:tab w:val="left" w:pos="1086"/>
          <w:tab w:val="center" w:pos="4156"/>
        </w:tabs>
        <w:spacing w:line="500" w:lineRule="exact"/>
        <w:ind w:firstLineChars="200" w:firstLine="640"/>
      </w:pPr>
      <w:r>
        <w:rPr>
          <w:rFonts w:ascii="黑体" w:eastAsia="黑体"/>
          <w:noProof/>
          <w:sz w:val="32"/>
          <w:szCs w:val="32"/>
        </w:rPr>
        <w:lastRenderedPageBreak/>
        <mc:AlternateContent>
          <mc:Choice Requires="wps">
            <w:drawing>
              <wp:anchor distT="0" distB="0" distL="114300" distR="114300" simplePos="0" relativeHeight="251674624" behindDoc="0" locked="0" layoutInCell="1" allowOverlap="1" wp14:anchorId="4C88953F" wp14:editId="2ED26A74">
                <wp:simplePos x="0" y="0"/>
                <wp:positionH relativeFrom="column">
                  <wp:posOffset>-15875</wp:posOffset>
                </wp:positionH>
                <wp:positionV relativeFrom="paragraph">
                  <wp:posOffset>0</wp:posOffset>
                </wp:positionV>
                <wp:extent cx="1426210" cy="594360"/>
                <wp:effectExtent l="0" t="0" r="3175" b="0"/>
                <wp:wrapSquare wrapText="bothSides"/>
                <wp:docPr id="10" name="文本框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621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15BAA" w:rsidRDefault="00115BAA">
                            <w:pPr>
                              <w:spacing w:line="400" w:lineRule="exact"/>
                              <w:jc w:val="center"/>
                              <w:rPr>
                                <w:rFonts w:ascii="宋体"/>
                                <w:color w:val="000000"/>
                                <w:szCs w:val="21"/>
                              </w:rPr>
                            </w:pPr>
                            <w:r>
                              <w:rPr>
                                <w:rFonts w:ascii="宋体" w:hint="eastAsia"/>
                                <w:color w:val="000000"/>
                                <w:szCs w:val="21"/>
                              </w:rPr>
                              <w:t>2020年年度股东大会</w:t>
                            </w:r>
                          </w:p>
                          <w:p w:rsidR="00115BAA" w:rsidRDefault="00115BAA">
                            <w:pPr>
                              <w:spacing w:line="400" w:lineRule="exact"/>
                              <w:jc w:val="center"/>
                              <w:rPr>
                                <w:rFonts w:ascii="宋体"/>
                                <w:color w:val="000000"/>
                                <w:szCs w:val="21"/>
                              </w:rPr>
                            </w:pPr>
                            <w:r>
                              <w:rPr>
                                <w:rFonts w:ascii="宋体" w:hint="eastAsia"/>
                                <w:color w:val="000000"/>
                                <w:szCs w:val="21"/>
                              </w:rPr>
                              <w:t>文件十四　审议议案</w:t>
                            </w:r>
                          </w:p>
                          <w:p w:rsidR="00115BAA" w:rsidRDefault="00115BAA">
                            <w:pPr>
                              <w:rPr>
                                <w:szCs w:val="21"/>
                              </w:rPr>
                            </w:pPr>
                          </w:p>
                        </w:txbxContent>
                      </wps:txbx>
                      <wps:bodyPr wrap="none"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_x0000_s1040" type="#_x0000_t202" style="position:absolute;left:0;text-align:left;margin-left:-1.25pt;margin-top:0;width:112.3pt;height:46.8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">
                <v:path arrowok="t"/>
                <v:textbox>
                  <w:txbxContent>
                    <w:p w:rsidR="00115BAA" w:rsidRDefault="00115BAA">
                      <w:pPr>
                        <w:spacing w:line="400" w:lineRule="exact"/>
                        <w:jc w:val="center"/>
                        <w:rPr>
                          <w:rFonts w:ascii="宋体"/>
                          <w:color w:val="000000"/>
                          <w:szCs w:val="21"/>
                        </w:rPr>
                      </w:pPr>
                      <w:r>
                        <w:rPr>
                          <w:rFonts w:ascii="宋体" w:hint="eastAsia"/>
                          <w:color w:val="000000"/>
                          <w:szCs w:val="21"/>
                        </w:rPr>
                        <w:t>2020年年度股东大会</w:t>
                      </w:r>
                    </w:p>
                    <w:p w:rsidR="00115BAA" w:rsidRDefault="00115BAA">
                      <w:pPr>
                        <w:spacing w:line="400" w:lineRule="exact"/>
                        <w:jc w:val="center"/>
                        <w:rPr>
                          <w:rFonts w:ascii="宋体"/>
                          <w:color w:val="000000"/>
                          <w:szCs w:val="21"/>
                        </w:rPr>
                      </w:pPr>
                      <w:r>
                        <w:rPr>
                          <w:rFonts w:ascii="宋体" w:hint="eastAsia"/>
                          <w:color w:val="000000"/>
                          <w:szCs w:val="21"/>
                        </w:rPr>
                        <w:t>文件十四　审议议案</w:t>
                      </w:r>
                    </w:p>
                    <w:p w:rsidR="00115BAA" w:rsidRDefault="00115BAA">
                      <w:pPr>
                        <w:rPr>
                          <w:szCs w:val="21"/>
                        </w:rPr>
                      </w:pPr>
                    </w:p>
                  </w:txbxContent>
                </v:textbox>
                <w10:wrap type="square"/>
              </v:shape>
            </w:pict>
          </mc:Fallback>
        </mc:AlternateContent>
      </w:r>
    </w:p>
    <w:p w:rsidR="00092652" w:rsidRDefault="00092652">
      <w:pPr>
        <w:widowControl/>
        <w:spacing w:line="560" w:lineRule="exact"/>
        <w:jc w:val="center"/>
        <w:rPr>
          <w:rFonts w:ascii="黑体" w:eastAsia="黑体"/>
          <w:sz w:val="32"/>
          <w:szCs w:val="32"/>
        </w:rPr>
      </w:pPr>
    </w:p>
    <w:p w:rsidR="00092652" w:rsidRDefault="0039522B">
      <w:pPr>
        <w:widowControl/>
        <w:spacing w:line="520" w:lineRule="exact"/>
        <w:jc w:val="center"/>
        <w:rPr>
          <w:rFonts w:ascii="黑体" w:eastAsia="黑体"/>
          <w:sz w:val="32"/>
          <w:szCs w:val="32"/>
        </w:rPr>
      </w:pPr>
      <w:r>
        <w:rPr>
          <w:rFonts w:ascii="黑体" w:eastAsia="黑体" w:hint="eastAsia"/>
          <w:sz w:val="32"/>
          <w:szCs w:val="32"/>
        </w:rPr>
        <w:t>兴业银行股份有限公司</w:t>
      </w:r>
    </w:p>
    <w:p w:rsidR="00092652" w:rsidRDefault="0039522B">
      <w:pPr>
        <w:pStyle w:val="1"/>
        <w:tabs>
          <w:tab w:val="clear" w:pos="432"/>
        </w:tabs>
        <w:spacing w:before="0" w:after="0" w:line="520" w:lineRule="exact"/>
        <w:ind w:left="567" w:rightChars="290" w:right="609" w:firstLine="0"/>
        <w:rPr>
          <w:rFonts w:cs="黑体"/>
          <w:szCs w:val="32"/>
        </w:rPr>
      </w:pPr>
      <w:bookmarkStart w:id="20" w:name="_Toc72437660"/>
      <w:r>
        <w:rPr>
          <w:rFonts w:cs="黑体" w:hint="eastAsia"/>
          <w:szCs w:val="32"/>
        </w:rPr>
        <w:t>关于公开发行A股可转换公司债券并上市方案的</w:t>
      </w:r>
      <w:bookmarkEnd w:id="20"/>
    </w:p>
    <w:p w:rsidR="00092652" w:rsidRDefault="0039522B">
      <w:pPr>
        <w:pStyle w:val="af6"/>
        <w:spacing w:before="0" w:after="0"/>
        <w:rPr>
          <w:rFonts w:ascii="黑体" w:eastAsia="黑体" w:hAnsi="黑体"/>
          <w:b w:val="0"/>
        </w:rPr>
      </w:pPr>
      <w:bookmarkStart w:id="21" w:name="_Toc70587005"/>
      <w:bookmarkStart w:id="22" w:name="_Toc72436746"/>
      <w:bookmarkStart w:id="23" w:name="_Toc72437661"/>
      <w:r>
        <w:rPr>
          <w:rFonts w:ascii="黑体" w:eastAsia="黑体" w:hAnsi="黑体" w:hint="eastAsia"/>
          <w:b w:val="0"/>
        </w:rPr>
        <w:t>议案</w:t>
      </w:r>
      <w:bookmarkEnd w:id="21"/>
      <w:bookmarkEnd w:id="22"/>
      <w:bookmarkEnd w:id="23"/>
    </w:p>
    <w:p w:rsidR="00410E7E" w:rsidRDefault="00410E7E" w:rsidP="00410E7E">
      <w:pPr>
        <w:overflowPunct w:val="0"/>
        <w:snapToGrid w:val="0"/>
        <w:spacing w:line="520" w:lineRule="exact"/>
        <w:jc w:val="center"/>
        <w:rPr>
          <w:rFonts w:ascii="仿宋_GB2312" w:eastAsia="仿宋_GB2312"/>
          <w:sz w:val="30"/>
          <w:szCs w:val="28"/>
        </w:rPr>
      </w:pPr>
      <w:r>
        <w:rPr>
          <w:rFonts w:ascii="仿宋_GB2312" w:eastAsia="仿宋_GB2312" w:hint="eastAsia"/>
          <w:sz w:val="30"/>
          <w:szCs w:val="28"/>
        </w:rPr>
        <w:t>董事、董事会秘书：陈信健</w:t>
      </w:r>
    </w:p>
    <w:p w:rsidR="00092652" w:rsidRDefault="00092652">
      <w:pPr>
        <w:widowControl/>
        <w:jc w:val="left"/>
      </w:pPr>
    </w:p>
    <w:p w:rsidR="00092652" w:rsidRDefault="0039522B">
      <w:pPr>
        <w:overflowPunct w:val="0"/>
        <w:snapToGrid w:val="0"/>
        <w:spacing w:line="520" w:lineRule="exact"/>
        <w:rPr>
          <w:rFonts w:ascii="仿宋_GB2312" w:eastAsia="仿宋_GB2312" w:hAnsi="Calibri"/>
          <w:sz w:val="30"/>
          <w:szCs w:val="30"/>
        </w:rPr>
      </w:pPr>
      <w:r>
        <w:rPr>
          <w:rFonts w:ascii="仿宋_GB2312" w:eastAsia="仿宋_GB2312" w:hAnsi="Calibri" w:hint="eastAsia"/>
          <w:sz w:val="30"/>
          <w:szCs w:val="30"/>
        </w:rPr>
        <w:t>各位股东：</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为适应日益严格的监管要求，增强风险抵御能力，支持公司各项业务稳健发展，公司拟公开发行A股可转换公司债券（以下简称“可转债”）并上市，具体方案如下：</w:t>
      </w:r>
    </w:p>
    <w:p w:rsidR="00092652" w:rsidRDefault="0039522B">
      <w:pPr>
        <w:spacing w:line="520" w:lineRule="exact"/>
        <w:ind w:firstLineChars="200" w:firstLine="602"/>
        <w:rPr>
          <w:rFonts w:ascii="仿宋_GB2312" w:eastAsia="仿宋_GB2312"/>
          <w:b/>
          <w:sz w:val="30"/>
          <w:szCs w:val="30"/>
        </w:rPr>
      </w:pPr>
      <w:r>
        <w:rPr>
          <w:rFonts w:ascii="仿宋_GB2312" w:eastAsia="仿宋_GB2312" w:hint="eastAsia"/>
          <w:b/>
          <w:sz w:val="30"/>
          <w:szCs w:val="30"/>
        </w:rPr>
        <w:t>一、发行证券的种类</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本次发行证券的种类为可转换为公司A股股票的公司债券。该可转债及未来转换的公司A股股票将在上海证券交易所上市。</w:t>
      </w:r>
    </w:p>
    <w:p w:rsidR="00092652" w:rsidRDefault="0039522B">
      <w:pPr>
        <w:spacing w:line="520" w:lineRule="exact"/>
        <w:ind w:firstLineChars="200" w:firstLine="602"/>
        <w:rPr>
          <w:rFonts w:ascii="仿宋_GB2312" w:eastAsia="仿宋_GB2312"/>
          <w:b/>
          <w:sz w:val="30"/>
          <w:szCs w:val="30"/>
        </w:rPr>
      </w:pPr>
      <w:r>
        <w:rPr>
          <w:rFonts w:ascii="仿宋_GB2312" w:eastAsia="仿宋_GB2312" w:hint="eastAsia"/>
          <w:b/>
          <w:sz w:val="30"/>
          <w:szCs w:val="30"/>
        </w:rPr>
        <w:t>二、发行规模</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本次拟发行可转债总额为不超过人民币500亿元，具体发行规模提请股东大会授权公司董事会（或由董事会转授权的人士）在上述额度范围内确定。</w:t>
      </w:r>
    </w:p>
    <w:p w:rsidR="00092652" w:rsidRDefault="0039522B">
      <w:pPr>
        <w:spacing w:line="520" w:lineRule="exact"/>
        <w:ind w:firstLineChars="200" w:firstLine="602"/>
        <w:rPr>
          <w:rFonts w:ascii="仿宋_GB2312" w:eastAsia="仿宋_GB2312"/>
          <w:b/>
          <w:sz w:val="30"/>
          <w:szCs w:val="30"/>
        </w:rPr>
      </w:pPr>
      <w:r>
        <w:rPr>
          <w:rFonts w:ascii="仿宋_GB2312" w:eastAsia="仿宋_GB2312" w:hint="eastAsia"/>
          <w:b/>
          <w:sz w:val="30"/>
          <w:szCs w:val="30"/>
        </w:rPr>
        <w:t>三、票面金额和发行价格</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本次发行的可转债每张面值为人民币100元，按面值发行。</w:t>
      </w:r>
    </w:p>
    <w:p w:rsidR="00092652" w:rsidRDefault="0039522B">
      <w:pPr>
        <w:spacing w:line="520" w:lineRule="exact"/>
        <w:ind w:firstLineChars="200" w:firstLine="602"/>
        <w:rPr>
          <w:rFonts w:ascii="仿宋_GB2312" w:eastAsia="仿宋_GB2312"/>
          <w:b/>
          <w:sz w:val="30"/>
          <w:szCs w:val="30"/>
        </w:rPr>
      </w:pPr>
      <w:r>
        <w:rPr>
          <w:rFonts w:ascii="仿宋_GB2312" w:eastAsia="仿宋_GB2312" w:hint="eastAsia"/>
          <w:b/>
          <w:sz w:val="30"/>
          <w:szCs w:val="30"/>
        </w:rPr>
        <w:t>四、债券期限</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本次发行的可转债期限为发行之日起六年。</w:t>
      </w:r>
    </w:p>
    <w:p w:rsidR="00092652" w:rsidRDefault="0039522B">
      <w:pPr>
        <w:spacing w:line="520" w:lineRule="exact"/>
        <w:ind w:firstLineChars="200" w:firstLine="602"/>
        <w:rPr>
          <w:rFonts w:ascii="仿宋_GB2312" w:eastAsia="仿宋_GB2312"/>
          <w:b/>
          <w:sz w:val="30"/>
          <w:szCs w:val="30"/>
        </w:rPr>
      </w:pPr>
      <w:r>
        <w:rPr>
          <w:rFonts w:ascii="仿宋_GB2312" w:eastAsia="仿宋_GB2312" w:hint="eastAsia"/>
          <w:b/>
          <w:sz w:val="30"/>
          <w:szCs w:val="30"/>
        </w:rPr>
        <w:t>五、债券利率</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本次发行可转债票面利率的确定方式及每一计息年度的最终利率水平，提请股东大会授权公司董事会（或由董事会转授权的人士）在发行前根据国家政策、市场状况和公司具体情况确定。</w:t>
      </w:r>
    </w:p>
    <w:p w:rsidR="00092652" w:rsidRDefault="0039522B">
      <w:pPr>
        <w:spacing w:line="520" w:lineRule="exact"/>
        <w:ind w:firstLineChars="200" w:firstLine="602"/>
        <w:rPr>
          <w:rFonts w:ascii="仿宋_GB2312" w:eastAsia="仿宋_GB2312"/>
          <w:b/>
          <w:sz w:val="30"/>
          <w:szCs w:val="30"/>
        </w:rPr>
      </w:pPr>
      <w:r>
        <w:rPr>
          <w:rFonts w:ascii="仿宋_GB2312" w:eastAsia="仿宋_GB2312" w:hint="eastAsia"/>
          <w:b/>
          <w:sz w:val="30"/>
          <w:szCs w:val="30"/>
        </w:rPr>
        <w:lastRenderedPageBreak/>
        <w:t>六、付息的期限和方式</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（一）计息年度的利息计算</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计息年度的利息（以下简称“年利息”）指可转债持有人按持有的可转债票面总金额自可转债发行首日起每满一年可享受的当期利息。</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年利息的计算公式为：I=B×i</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I：指年利息额；</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B：指本次发行的可转债持有人在计息年度（以下简称“当年”或“每年”）付息债权登记日持有的可转债票面总金额；</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i：指可转债当年票面利率。</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（二）付息方式</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1、本次发行的可转债采用每年付息一次的付息方式，计息起始日为可转债发行首日。</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2、付息日：每年的付息日为本次发行的可转债发行首日起每满一年的当日，如该日为法定节假日或休息日，则顺延至下一个工作日，顺延期间不另付息。每相邻的两个付息日之间为一个计息年度。</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3、付息债权登记日：每年的付息债权登记日为每年付息日的前一交易日，公司将在每年付息日之后的五个交易日内支付当年利息。在付息债权登记日前（包括付息债权登记日）申请转换成公司A股股票的可转债，公司不再向其持有人支付本计息年度及以后计息年度的利息。</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4、可转债持有人所获得利息收入的应付税项由持有人承担。</w:t>
      </w:r>
    </w:p>
    <w:p w:rsidR="00092652" w:rsidRDefault="0039522B">
      <w:pPr>
        <w:spacing w:line="520" w:lineRule="exact"/>
        <w:ind w:firstLineChars="200" w:firstLine="602"/>
        <w:rPr>
          <w:rFonts w:ascii="仿宋_GB2312" w:eastAsia="仿宋_GB2312"/>
          <w:b/>
          <w:sz w:val="30"/>
          <w:szCs w:val="30"/>
        </w:rPr>
      </w:pPr>
      <w:r>
        <w:rPr>
          <w:rFonts w:ascii="仿宋_GB2312" w:eastAsia="仿宋_GB2312" w:hint="eastAsia"/>
          <w:b/>
          <w:sz w:val="30"/>
          <w:szCs w:val="30"/>
        </w:rPr>
        <w:t>七、转股期限</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本次可转债转股期自可转债发行结束之日满六个月后的第一个交易日起至可转债到期之日止。</w:t>
      </w:r>
    </w:p>
    <w:p w:rsidR="00092652" w:rsidRDefault="0039522B">
      <w:pPr>
        <w:spacing w:line="520" w:lineRule="exact"/>
        <w:ind w:firstLineChars="200" w:firstLine="602"/>
        <w:rPr>
          <w:rFonts w:ascii="仿宋_GB2312" w:eastAsia="仿宋_GB2312"/>
          <w:b/>
          <w:sz w:val="30"/>
          <w:szCs w:val="30"/>
        </w:rPr>
      </w:pPr>
      <w:r>
        <w:rPr>
          <w:rFonts w:ascii="仿宋_GB2312" w:eastAsia="仿宋_GB2312" w:hint="eastAsia"/>
          <w:b/>
          <w:sz w:val="30"/>
          <w:szCs w:val="30"/>
        </w:rPr>
        <w:t>八、转股价格的确定及其调整</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lastRenderedPageBreak/>
        <w:t>（一）初始转股价格的确定依据</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本次发行可转债的初始转股价格不低于募集说明书公告之日前三十个交易日、前二十个交易日公司A股股票交易均价（若在该三十个交易日或二十个交易日内发生过因除权、除息引起股价调整的情形，则对调整前交易日的交易价按经过相应除权、除息调整后的价格计算）和前一个交易日公司A股股票交易均价，以及最近一期经审计的每股净资产（若自最近一期经审计的财务报告资产负债表日至募集说明书公告日期间发生送股、资本公积金转增股本或配股等除权事项，则最近一期经审计的每股净资产按经过相应除权调整后的数值确定）和股票面值。具体初始转股价格提请股东大会授权公司董事会（或由董事会转授权的人士）在发行前根据市场状况确定。</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前三十个交易日公司A股股票交易均价=前三十个交易日公司A股股票交易总额/该三十个交易日公司A股股票交易总量；前二十个交易日公司A股股票交易均价=前二十个交易日公司A股股票交易总额/该二十个交易日公司A股股票交易总量；前一个交易日公司A股股票交易均价=前一个交易日公司A股股票交易总额/该日公司A股股票交易总量。</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（二）转股价格的调整方式及计算公式</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在本次发行之后，当公司因派送股票股利、转增股本、增发新股或配股（不包括因本次发行的可转债转股而增加的股本）使公司股份发生变化及派送现金股利等情况时，公司将视具体情况按照公平、公正、公允的原则以及充分保护本次发行的可转债持有人权益的原则调整转股价格。具体的转股价格调整公式由公司董事会（或由董事会转授权的人士）根据股东大会的授权及相关规定在募集说明书中予以明确。</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lastRenderedPageBreak/>
        <w:t>当公司出现上述股份和/或股东权益变化情况时，公司将按照最终确定的方式进行转股价格调整，并在上海证券交易所的网站和符合中国证券监督管理委员会（以下简称“中国证监会”）规定条件的媒体上披露转股价格调整的公告，并于公告中载明转股价格的调整日、调整办法及暂停转股的期间（如需）。当转股价格调整日为本次发行的可转债持有人转股申请日或之后、转换股票登记日之前，则该持有人的转股申请按公司调整后的转股价格执行。</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当公司可能发生股份回购、合并、分立或任何其他情形使公司股份类别、数量和/或股东权益发生变化从而可能影响本次发行的可转债持有人的债权利益或转股衍生权益时，公司将视具体情况按照公平、公正、公允的原则以及充分保护本次发行的可转债持有人权益的原则调整转股价格。有关转股价格调整的内容及操作办法将依据当时国家有关法律法规及证券监管部门的相关规定来制订。</w:t>
      </w:r>
    </w:p>
    <w:p w:rsidR="00092652" w:rsidRDefault="0039522B">
      <w:pPr>
        <w:spacing w:line="520" w:lineRule="exact"/>
        <w:ind w:firstLineChars="200" w:firstLine="602"/>
        <w:rPr>
          <w:rFonts w:ascii="仿宋_GB2312" w:eastAsia="仿宋_GB2312"/>
          <w:b/>
          <w:sz w:val="30"/>
          <w:szCs w:val="30"/>
        </w:rPr>
      </w:pPr>
      <w:r>
        <w:rPr>
          <w:rFonts w:ascii="仿宋_GB2312" w:eastAsia="仿宋_GB2312" w:hint="eastAsia"/>
          <w:b/>
          <w:sz w:val="30"/>
          <w:szCs w:val="30"/>
        </w:rPr>
        <w:t>九、转股价格向下修正条款</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（一）修正权限与修正幅度</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在本次发行的可转债存续期间，当公司A股股票在任意连续三十个交易日中有十五个交易日的收盘价低于当期转股价格的80%时，公司董事会有权提出转股价格向下修正方案并提交公司股东大会审议表决。</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若在上述交易日内发生过因除权、除息等引起公司转股价格调整的情形，则在转股价格调整日前的交易日按调整前的转股价格和收盘价计算，在转股价格调整日及之后的交易日按调整后的转股价格和收盘价计算。</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上述方案须经出席会议的股东所持表决权的三分之二以上通过方可实施。股东大会进行表决时，持有本次发行的可转债的股东应当回</w:t>
      </w:r>
      <w:r>
        <w:rPr>
          <w:rFonts w:ascii="仿宋_GB2312" w:eastAsia="仿宋_GB2312" w:hint="eastAsia"/>
          <w:sz w:val="30"/>
          <w:szCs w:val="30"/>
        </w:rPr>
        <w:lastRenderedPageBreak/>
        <w:t>避。修正后的转股价格应不低于审议上述方案的股东大会召开日前三十个交易日、前二十个交易日公司A股股票交易均价（若在该三十个交易日或二十个交易日内发生过因除权、除息引起股价调整的情形，则对调整前交易日的交易价按经过相应除权、除息调整后的价格计算）和前一个交易日公司A股股票交易均价，同时修正后的转股价格不低于最近一期经审计的每股净资产（若自最近一期经审计的财务报告资产负债表日至审议上述方案的股东大会召开日期间发生送股、资本公积金转增股本或配股等除权事项、现金红利分配等除息事项，则最近一期经审计的每股净资产按经过相应除权、除息调整后的数值确定）和股票面值。</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（二）修正程序</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如公司决定向下修正转股价格，公司将在上海证券交易所的网站和符合中国证监会规定条件的媒体上披露股东大会决议公告，公告修正幅度、股权登记日及暂停转股的期间（如需）等有关信息。从股权登记日后的第一个交易日（即转股价格修正日）起，开始恢复转股申请并执行修正后的转股价格。</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若转股价格修正日为转股申请日或之后、转换股份登记日之前，该类转股申请应按修正后的转股价格执行。</w:t>
      </w:r>
    </w:p>
    <w:p w:rsidR="00092652" w:rsidRDefault="0039522B">
      <w:pPr>
        <w:spacing w:line="520" w:lineRule="exact"/>
        <w:ind w:firstLineChars="200" w:firstLine="602"/>
        <w:rPr>
          <w:rFonts w:ascii="仿宋_GB2312" w:eastAsia="仿宋_GB2312"/>
          <w:b/>
          <w:sz w:val="30"/>
          <w:szCs w:val="30"/>
        </w:rPr>
      </w:pPr>
      <w:r>
        <w:rPr>
          <w:rFonts w:ascii="仿宋_GB2312" w:eastAsia="仿宋_GB2312" w:hint="eastAsia"/>
          <w:b/>
          <w:sz w:val="30"/>
          <w:szCs w:val="30"/>
        </w:rPr>
        <w:t>十、转股数量的确定方式</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本次发行的可转债持有人在转股期内申请转股时，转股数量的计算方式为：Q=V/P，并以去尾法取一股的整数倍。</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其中：V为可转债持有人申请转股的可转债票面总金额；P为申请转股当日有效的转股价格。</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转股时不足转换为一股的可转债余额，公司将按照上海证券交易所等部门的有关规定，在可转债持有人转股当日后的五个交易日内以</w:t>
      </w:r>
      <w:r>
        <w:rPr>
          <w:rFonts w:ascii="仿宋_GB2312" w:eastAsia="仿宋_GB2312" w:hint="eastAsia"/>
          <w:sz w:val="30"/>
          <w:szCs w:val="30"/>
        </w:rPr>
        <w:lastRenderedPageBreak/>
        <w:t>现金兑付该可转债余额及该余额所对应的当期应计利息（当期应计利息的计算方式参见第十二条赎回条款的相关内容）。</w:t>
      </w:r>
    </w:p>
    <w:p w:rsidR="00092652" w:rsidRDefault="0039522B">
      <w:pPr>
        <w:spacing w:line="520" w:lineRule="exact"/>
        <w:ind w:firstLineChars="200" w:firstLine="602"/>
        <w:rPr>
          <w:rFonts w:ascii="仿宋_GB2312" w:eastAsia="仿宋_GB2312"/>
          <w:b/>
          <w:sz w:val="30"/>
          <w:szCs w:val="30"/>
        </w:rPr>
      </w:pPr>
      <w:r>
        <w:rPr>
          <w:rFonts w:ascii="仿宋_GB2312" w:eastAsia="仿宋_GB2312" w:hint="eastAsia"/>
          <w:b/>
          <w:sz w:val="30"/>
          <w:szCs w:val="30"/>
        </w:rPr>
        <w:t>十一、转股年度有关股利的归属</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因本次发行的可转债转股而增加的公司A股股票享有与原A股股票同等的权益，在股利分配股权登记日当日登记在册的所有A股股东均享受当期股利。</w:t>
      </w:r>
    </w:p>
    <w:p w:rsidR="00092652" w:rsidRDefault="0039522B">
      <w:pPr>
        <w:spacing w:line="520" w:lineRule="exact"/>
        <w:ind w:firstLineChars="200" w:firstLine="602"/>
        <w:rPr>
          <w:rFonts w:ascii="仿宋_GB2312" w:eastAsia="仿宋_GB2312"/>
          <w:b/>
          <w:sz w:val="30"/>
          <w:szCs w:val="30"/>
        </w:rPr>
      </w:pPr>
      <w:r>
        <w:rPr>
          <w:rFonts w:ascii="仿宋_GB2312" w:eastAsia="仿宋_GB2312" w:hint="eastAsia"/>
          <w:b/>
          <w:sz w:val="30"/>
          <w:szCs w:val="30"/>
        </w:rPr>
        <w:t>十二、赎回条款</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（一）到期赎回条款</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在本次发行的可转债期满后五个交易日内，公司将以本次发行的可转债的票面面值上浮一定比率（含最后一期年度利息）的价格向投资者赎回全部未转股的可转债，具体上浮比率由股东大会授权董事会（或由董事会转授权的人士）根据市场情况确定。</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（二）有条件赎回条款</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在本次发行可转债的转股期内，如果公司A股股票连续三十个交易日中至少有十五个交易日的收盘价格不低于当期转股价格的130%（含130%），公司有权按照债券面值加当期应计利息的价格赎回全部或部分未转股的可转债。若在上述交易日内发生过因除权、除息等引起公司转股价格调整的情形，则在调整前的交易日按调整前的转股价格和收盘价格计算，在调整后的交易日按调整后的转股价格和收盘价格计算。</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此外，当本次发行的可转债未转股的票面总金额不足人民币3,000万元时，公司有权按面值加当期应计利息的价格赎回全部未转股的可转债。</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当期应计利息的计算公式为：</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IA=B×i×t/365；</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lastRenderedPageBreak/>
        <w:t>IA：指当期应计利息；</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B：指本次发行的可转债持有人持有的将赎回的可转债票面总金额；</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i：指可转债当年票面利率；</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t：指计息天数，即从上一个付息日起至本计息年度赎回日止的实际日历天数（算头不算尾）。</w:t>
      </w:r>
    </w:p>
    <w:p w:rsidR="00092652" w:rsidRDefault="0039522B">
      <w:pPr>
        <w:spacing w:line="520" w:lineRule="exact"/>
        <w:ind w:firstLineChars="200" w:firstLine="602"/>
        <w:rPr>
          <w:rFonts w:ascii="仿宋_GB2312" w:eastAsia="仿宋_GB2312"/>
          <w:b/>
          <w:sz w:val="30"/>
          <w:szCs w:val="30"/>
        </w:rPr>
      </w:pPr>
      <w:r>
        <w:rPr>
          <w:rFonts w:ascii="仿宋_GB2312" w:eastAsia="仿宋_GB2312" w:hint="eastAsia"/>
          <w:b/>
          <w:sz w:val="30"/>
          <w:szCs w:val="30"/>
        </w:rPr>
        <w:t>十三、回售条款</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若本次发行可转债募集资金运用的实施情况与公司在募集说明书中的承诺相比出现变化，该变化被中国证监会认定为改变募集资金用途的，可转债持有人享有一次以面值加上当期应计利息的价格向公司回售本次发行的可转债的权利。在上述情形下，可转债持有人可以在公司公告后的回售申报期内进行回售，该次回售申报期内不实施回售的，自动丧失该回售权。除此之外，可转债不可由持有人主动回售。</w:t>
      </w:r>
    </w:p>
    <w:p w:rsidR="00092652" w:rsidRDefault="0039522B">
      <w:pPr>
        <w:spacing w:line="520" w:lineRule="exact"/>
        <w:ind w:firstLineChars="200" w:firstLine="602"/>
        <w:rPr>
          <w:rFonts w:ascii="仿宋_GB2312" w:eastAsia="仿宋_GB2312"/>
          <w:b/>
          <w:sz w:val="30"/>
          <w:szCs w:val="30"/>
        </w:rPr>
      </w:pPr>
      <w:r>
        <w:rPr>
          <w:rFonts w:ascii="仿宋_GB2312" w:eastAsia="仿宋_GB2312" w:hint="eastAsia"/>
          <w:b/>
          <w:sz w:val="30"/>
          <w:szCs w:val="30"/>
        </w:rPr>
        <w:t>十四、发行方式及发行对象</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本次可转债的具体发行方式由公司董事会（或由董事会转授权的人士）根据股东大会的授权确定。本次可转债的发行对象为持有中国证券登记结算有限责任公司上海分公司证券账户的自然人、法人、证券投资基金、符合法律规定的其他投资者等（国家法律、法规禁止者除外）。</w:t>
      </w:r>
    </w:p>
    <w:p w:rsidR="00092652" w:rsidRDefault="0039522B">
      <w:pPr>
        <w:spacing w:line="520" w:lineRule="exact"/>
        <w:ind w:firstLineChars="200" w:firstLine="602"/>
        <w:rPr>
          <w:rFonts w:ascii="仿宋_GB2312" w:eastAsia="仿宋_GB2312"/>
          <w:b/>
          <w:sz w:val="30"/>
          <w:szCs w:val="30"/>
        </w:rPr>
      </w:pPr>
      <w:r>
        <w:rPr>
          <w:rFonts w:ascii="仿宋_GB2312" w:eastAsia="仿宋_GB2312" w:hint="eastAsia"/>
          <w:b/>
          <w:sz w:val="30"/>
          <w:szCs w:val="30"/>
        </w:rPr>
        <w:t>十五、向原股东配售的安排</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本次发行的可转债给予原A股股东优先配售权。具体优先配售数量提请股东大会授权董事会（或由董事会转授权的人士）在发行前根据市场情况确定，并在本次发行的可转债的募集说明书中予以披露。</w:t>
      </w:r>
    </w:p>
    <w:p w:rsidR="00092652" w:rsidRDefault="0039522B">
      <w:pPr>
        <w:spacing w:line="520" w:lineRule="exact"/>
        <w:ind w:firstLineChars="200" w:firstLine="602"/>
        <w:rPr>
          <w:rFonts w:ascii="仿宋_GB2312" w:eastAsia="仿宋_GB2312"/>
          <w:b/>
          <w:sz w:val="30"/>
          <w:szCs w:val="30"/>
        </w:rPr>
      </w:pPr>
      <w:r>
        <w:rPr>
          <w:rFonts w:ascii="仿宋_GB2312" w:eastAsia="仿宋_GB2312" w:hint="eastAsia"/>
          <w:b/>
          <w:sz w:val="30"/>
          <w:szCs w:val="30"/>
        </w:rPr>
        <w:t>十六、可转债持有人及可转债持有人会议</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（一）可转债持有人的权利与义务</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1、可转债持有人的权利</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lastRenderedPageBreak/>
        <w:t>（1）依照其所持有可转债数额享有约定利息；</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（2）根据约定条件将所持有的可转债转为发行人A股股份；</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（3）根据约定的条件行使回售权；</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（4）依照法律、行政法规及《公司章程》的规定转让、赠与或质押其所持有的可转债；</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（5）依照法律、行政法规及《公司章程》的规定获得有关信息；</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（6）按约定的期限和方式要求发行人偿付可转债本息；</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（7）依照法律、行政法规等相关规定参与或委托代理人参与可转债持有人会议并行使表决权；</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（8）法律、行政法规及《公司章程》所赋予的其作为发行人债权人的其他权利。</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2、可转债持有人的义务</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（1）遵守发行人所发行的可转债条款的相关规定；</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（2）依其所认购的可转债数额缴纳认购资金；</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（3）遵守可转债持有人会议形成的有效决议；</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（4）除法律、法规规定及可转债募集说明书约定之外，不得要求发行人提前偿付可转债的本金和利息；</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（5）法律、行政法规及《公司章程》规定应当由可转债持有人承担的其他义务。</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（二）可转债持有人会议</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1、可转债持有人会议行使权利的范围</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本次可转债存续期内，出现下列情形之一的，应当通过可转债持有人会议决议方式进行决策：</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（1）拟变更可转债募集说明书的约定；</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（2）拟修改可转债持有人会议规则；</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lastRenderedPageBreak/>
        <w:t>（3）拟变更可转债受托管理人或受托管理协议的主要内容；</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（4）发行人不能按期支付本息；</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（5）发行人减资、合并等可能导致偿债能力发生重大不利变化，需要决定或者授权采取相应措施；</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（6）发行人分立、被托管、解散、申请破产或者依法进入破产程序；</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（7）偿债保障措施发生重大变化；</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（8）发行人管理层不能正常履行职责，导致发行人债务清偿能力面临严重不确定性；</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（9）发行人提出债务重组方案的；</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（10）发生其他对可转债持有人权益有重大影响的事项。</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2、可转债持有人会议的召集</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1）可转债持有人会议主要由可转债受托管理人负责召集。本次可转债存续期间，出现可转债持有人会议行使权利范围的约定情形之一且符合可转债持有人会议规则约定要求的拟审议议案的，可转债受托管理人原则上应于15个交易日内召开可转债持有人会议，经单独或合计持有本次可转债未偿还面值总额30%以上的可转债持有人同意延期召开的除外。延期时间原则上不超过15个交易日；</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（2）发行人、单独或合计持有本次可转债未偿还面值总额10%以上的持有人、中国证监会及上海证券交易所规定的其他机构或人士（以下简称“提议人”）有权提议可转债受托管理人召集可转债持有人会议。</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提议人拟提议召集可转债持有人会议的，应当以书面形式告知可转债受托管理人，提出符合可转债持有人会议规则约定权限范围及其他要求的拟审议议案。可转债受托管理人应当自收到书面提议之日起5个交易日内向提议人书面回复是否召集可转债持有人会议，并说明</w:t>
      </w:r>
      <w:r>
        <w:rPr>
          <w:rFonts w:ascii="仿宋_GB2312" w:eastAsia="仿宋_GB2312" w:hint="eastAsia"/>
          <w:sz w:val="30"/>
          <w:szCs w:val="30"/>
        </w:rPr>
        <w:lastRenderedPageBreak/>
        <w:t>召集会议的具体安排或不召集会议的理由。同意召集会议的，应当于书面回复日起15个交易日内召开可转债持有人会议，提议人同意延期召开的除外；</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3）可转债受托管理人不同意召集会议或者应当召集而未召集会议的，发行人、单独或合计持有本次可转债未偿还面值总额10%以上的持有人、中国证监会及上海证券交易所规定的其他机构或人士有权自行召集可转债持有人会议，可转债受托管理人应当为召开可转债持有人会议提供必要协助。</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3、可转债持有人会议的通知</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召集人应当最晚于可转债持有人会议召开日前第10个交易日披露召开可转债持有人会议的通知公告。可转债受托管理人认为需要紧急召集可转债持有人会议以有利于可转债持有人权益保护的，应最晚于现场会议（包括现场、非现场相结合形式召开的会议）召开日前第3个交易日或者非现场会议召开日前第2个交易日披露召开可转债持有人会议的通知公告。</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通知公告内容包括但不限于可转债基本情况、会议时间、会议召开形式、会议地点（如有）、会议拟审议议案、债权登记日、会议表决方式及表决时间等议事程序、委托事项、召集人及会务负责人的姓名和联系方式等。</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4、可转债持有人会议的决策机制</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（1）可转债持有人会议采取记名方式投票表决</w:t>
      </w:r>
      <w:r w:rsidR="00C4392E">
        <w:rPr>
          <w:rFonts w:ascii="仿宋_GB2312" w:eastAsia="仿宋_GB2312" w:hint="eastAsia"/>
          <w:sz w:val="30"/>
          <w:szCs w:val="30"/>
        </w:rPr>
        <w:t>；</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2）可转债持有人进行表决时，每一张未偿还的债券享有一票表决权，但发行人及其关联方、债券清偿义务承继方及其他与拟审议事项存在利益冲突的机构或个人等直接持有或间接控制的债券份额除外。可转债持有人会议表决开始前，上述机构、个人或者其委托投资的资</w:t>
      </w:r>
      <w:r>
        <w:rPr>
          <w:rFonts w:ascii="仿宋_GB2312" w:eastAsia="仿宋_GB2312" w:hint="eastAsia"/>
          <w:sz w:val="30"/>
          <w:szCs w:val="30"/>
        </w:rPr>
        <w:lastRenderedPageBreak/>
        <w:t>产管理产品的管理人应当主动向召集人申报关联关系或利益冲突有关情况并回避表决</w:t>
      </w:r>
      <w:r w:rsidR="00C4392E">
        <w:rPr>
          <w:rFonts w:ascii="仿宋_GB2312" w:eastAsia="仿宋_GB2312" w:hint="eastAsia"/>
          <w:sz w:val="30"/>
          <w:szCs w:val="30"/>
        </w:rPr>
        <w:t>；</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（3）出席会议的可转债持有人按照会议通知中披露的议案顺序，依次逐项对提交审议的议案进行表决</w:t>
      </w:r>
      <w:r w:rsidR="00C4392E">
        <w:rPr>
          <w:rFonts w:ascii="仿宋_GB2312" w:eastAsia="仿宋_GB2312" w:hint="eastAsia"/>
          <w:sz w:val="30"/>
          <w:szCs w:val="30"/>
        </w:rPr>
        <w:t>；</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（4）可转债持有人会议须经出席会议的三分之二以上可转债面值总额的持有人同意方能形成有效决议</w:t>
      </w:r>
      <w:r w:rsidR="00C4392E">
        <w:rPr>
          <w:rFonts w:ascii="仿宋_GB2312" w:eastAsia="仿宋_GB2312" w:hint="eastAsia"/>
          <w:sz w:val="30"/>
          <w:szCs w:val="30"/>
        </w:rPr>
        <w:t>；</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（5）可转债持有人会议决议经表决通过后生效，但其中需中国证监会或其他有权机构批准的，自批准之日或相关批准另行确定的日期起生效；</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（6）可转债持有人会议按照《可转换公司债券管理办法》等规定及可转债持有人会议规则的程序要求所形成的决议对全体可转债持有人具有约束力；</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7）可转债持有人会议应当由律师见证。见证律师应当针对会议的召集、召开、表决程序，出席会议人员资格，有效表决权的确定、决议的效力及其合法性等事项出具法律意见书。法律意见书应当与可转债持有人会议决议一同披露；</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8）可转债持有人会议均由可转债受托管理人负责记录，并由召集人指定代表及见证律师共同签字确认。可转债持有人会议记录、表决票、可转债持有人参会资格证明文件、代理人的委托书及其他会议材料由可转债受托管理人保存。保存期限至少至本次可转债债权债务关系终止后的5年；</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9）召集人应最晚于可转债持有人会议表决截止日次一交易日披露会议决议公告。按照可转债持有人会议规则约定的权限范围及会议程序形成的可转债持有人会议生效决议，可转债受托管理人应当积极落实，及时告知发行人或其他相关方并督促其予以落实。</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lastRenderedPageBreak/>
        <w:t>5、可转债持有人会议的会议议程</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（1）召集人介绍召集会议的缘由、背景及会议出席人员；</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（2）召集人或提案人介绍所提议案的背景、具体内容、可行性等；</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（3）享有表决权的可转债持有人针对拟审议议案询问提案人或出席会议的其他利益相关方，可转债持有人之间进行沟通协商，可转债持有人与发行人、债券清偿义务承继方等就拟审议议案进行沟通协商；</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（4）享有表决权的持有人依据可转债持有人会议规则约定程序进行表决。</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6、可转债投资者通过认购、交易、受让、继承或其他合法方式持有本次可转债的，视为同意并接受可转债持有人会议规则相关约定，并受可转债持有人会议规则之约束。</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提请股东大会授权公司董事会（或由董事会转授权的人士）在上述框架下，按照相关监管部门的要求，落实可转债受托管理安排及可转债持有人会议规则等相关事宜。若届时监管部门对可转债持有人的权利与义务、可转债持有人会议规则另有规定的，从其规定。</w:t>
      </w:r>
    </w:p>
    <w:p w:rsidR="00092652" w:rsidRDefault="0039522B">
      <w:pPr>
        <w:spacing w:line="520" w:lineRule="exact"/>
        <w:ind w:firstLineChars="200" w:firstLine="602"/>
        <w:rPr>
          <w:rFonts w:ascii="仿宋_GB2312" w:eastAsia="仿宋_GB2312"/>
          <w:b/>
          <w:sz w:val="30"/>
          <w:szCs w:val="30"/>
        </w:rPr>
      </w:pPr>
      <w:r>
        <w:rPr>
          <w:rFonts w:ascii="仿宋_GB2312" w:eastAsia="仿宋_GB2312" w:hint="eastAsia"/>
          <w:b/>
          <w:sz w:val="30"/>
          <w:szCs w:val="30"/>
        </w:rPr>
        <w:t>十七、本次募集资金用途</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公司本次发行可转债募集的资金，扣除发行费用后将全部用于支持公司未来业务发展，在可转债持有人转股后按照相关监管要求用于补充公司核心一级资本。</w:t>
      </w:r>
    </w:p>
    <w:p w:rsidR="00092652" w:rsidRDefault="0039522B">
      <w:pPr>
        <w:spacing w:line="520" w:lineRule="exact"/>
        <w:ind w:firstLineChars="200" w:firstLine="602"/>
        <w:rPr>
          <w:rFonts w:ascii="仿宋_GB2312" w:eastAsia="仿宋_GB2312"/>
          <w:b/>
          <w:sz w:val="30"/>
          <w:szCs w:val="30"/>
        </w:rPr>
      </w:pPr>
      <w:r>
        <w:rPr>
          <w:rFonts w:ascii="仿宋_GB2312" w:eastAsia="仿宋_GB2312" w:hint="eastAsia"/>
          <w:b/>
          <w:sz w:val="30"/>
          <w:szCs w:val="30"/>
        </w:rPr>
        <w:t>十八、担保事项</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本次发行的可转债不提供担保。</w:t>
      </w:r>
    </w:p>
    <w:p w:rsidR="00092652" w:rsidRDefault="0039522B">
      <w:pPr>
        <w:spacing w:line="520" w:lineRule="exact"/>
        <w:ind w:firstLineChars="200" w:firstLine="602"/>
        <w:rPr>
          <w:rFonts w:ascii="仿宋_GB2312" w:eastAsia="仿宋_GB2312"/>
          <w:b/>
          <w:sz w:val="30"/>
          <w:szCs w:val="30"/>
        </w:rPr>
      </w:pPr>
      <w:r>
        <w:rPr>
          <w:rFonts w:ascii="仿宋_GB2312" w:eastAsia="仿宋_GB2312" w:hint="eastAsia"/>
          <w:b/>
          <w:sz w:val="30"/>
          <w:szCs w:val="30"/>
        </w:rPr>
        <w:t>十九、本次决议的有效期</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本次发行可转债决议的有效期为公司股东大会审议通过本次发行方案之日起十二个月。</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以上议案经股东大会逐项审议通过后，尚需中国银行保险监督管</w:t>
      </w:r>
      <w:r>
        <w:rPr>
          <w:rFonts w:ascii="仿宋_GB2312" w:eastAsia="仿宋_GB2312" w:hint="eastAsia"/>
          <w:sz w:val="30"/>
          <w:szCs w:val="30"/>
        </w:rPr>
        <w:lastRenderedPageBreak/>
        <w:t>理委员会批准和中国证监会核准后方可实施，并以中国证监会最后核准的方案为准。</w:t>
      </w:r>
    </w:p>
    <w:p w:rsidR="00092652" w:rsidRDefault="0039522B">
      <w:pPr>
        <w:widowControl/>
        <w:spacing w:line="490" w:lineRule="exact"/>
        <w:ind w:firstLineChars="200" w:firstLine="600"/>
        <w:jc w:val="left"/>
        <w:rPr>
          <w:rFonts w:ascii="仿宋_GB2312" w:eastAsia="仿宋_GB2312" w:hAnsi="Calibri"/>
          <w:sz w:val="30"/>
          <w:szCs w:val="30"/>
        </w:rPr>
      </w:pPr>
      <w:r>
        <w:rPr>
          <w:rFonts w:ascii="仿宋_GB2312" w:eastAsia="仿宋_GB2312" w:hint="eastAsia"/>
          <w:sz w:val="30"/>
          <w:szCs w:val="30"/>
        </w:rPr>
        <w:t>专此报告，请予逐项审议。</w:t>
      </w:r>
      <w:r>
        <w:rPr>
          <w:rFonts w:ascii="仿宋_GB2312" w:eastAsia="仿宋_GB2312" w:hAnsi="Calibri"/>
          <w:sz w:val="30"/>
          <w:szCs w:val="30"/>
        </w:rPr>
        <w:t xml:space="preserve"> </w:t>
      </w:r>
    </w:p>
    <w:p w:rsidR="00092652" w:rsidRDefault="0039522B">
      <w:pPr>
        <w:widowControl/>
        <w:jc w:val="left"/>
        <w:rPr>
          <w:rFonts w:ascii="仿宋_GB2312" w:eastAsia="仿宋_GB2312" w:hAnsi="Calibri"/>
          <w:sz w:val="30"/>
          <w:szCs w:val="30"/>
        </w:rPr>
      </w:pPr>
      <w:r>
        <w:rPr>
          <w:rFonts w:ascii="仿宋_GB2312" w:eastAsia="仿宋_GB2312" w:hAnsi="Calibri"/>
          <w:sz w:val="30"/>
          <w:szCs w:val="30"/>
        </w:rPr>
        <w:br w:type="page"/>
      </w:r>
    </w:p>
    <w:p w:rsidR="00092652" w:rsidRDefault="00C4392E">
      <w:pPr>
        <w:tabs>
          <w:tab w:val="left" w:pos="416"/>
          <w:tab w:val="left" w:pos="1086"/>
          <w:tab w:val="center" w:pos="4156"/>
        </w:tabs>
        <w:spacing w:line="500" w:lineRule="exact"/>
        <w:ind w:firstLineChars="200" w:firstLine="640"/>
      </w:pPr>
      <w:r>
        <w:rPr>
          <w:rFonts w:ascii="黑体" w:eastAsia="黑体"/>
          <w:noProof/>
          <w:sz w:val="32"/>
          <w:szCs w:val="32"/>
        </w:rPr>
        <w:lastRenderedPageBreak/>
        <mc:AlternateContent>
          <mc:Choice Requires="wps">
            <w:drawing>
              <wp:anchor distT="0" distB="0" distL="114300" distR="114300" simplePos="0" relativeHeight="251675648" behindDoc="0" locked="0" layoutInCell="1" allowOverlap="1" wp14:anchorId="76846F7D" wp14:editId="51B60DA3">
                <wp:simplePos x="0" y="0"/>
                <wp:positionH relativeFrom="column">
                  <wp:posOffset>-15875</wp:posOffset>
                </wp:positionH>
                <wp:positionV relativeFrom="paragraph">
                  <wp:posOffset>0</wp:posOffset>
                </wp:positionV>
                <wp:extent cx="1426210" cy="594360"/>
                <wp:effectExtent l="0" t="0" r="3175" b="0"/>
                <wp:wrapSquare wrapText="bothSides"/>
                <wp:docPr id="9" name="文本框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621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15BAA" w:rsidRDefault="00115BAA">
                            <w:pPr>
                              <w:spacing w:line="400" w:lineRule="exact"/>
                              <w:jc w:val="center"/>
                              <w:rPr>
                                <w:rFonts w:ascii="宋体"/>
                                <w:color w:val="000000"/>
                                <w:szCs w:val="21"/>
                              </w:rPr>
                            </w:pPr>
                            <w:r>
                              <w:rPr>
                                <w:rFonts w:ascii="宋体" w:hint="eastAsia"/>
                                <w:color w:val="000000"/>
                                <w:szCs w:val="21"/>
                              </w:rPr>
                              <w:t>2020年年度股东大会</w:t>
                            </w:r>
                          </w:p>
                          <w:p w:rsidR="00115BAA" w:rsidRDefault="00115BAA">
                            <w:pPr>
                              <w:spacing w:line="400" w:lineRule="exact"/>
                              <w:jc w:val="center"/>
                              <w:rPr>
                                <w:rFonts w:ascii="宋体"/>
                                <w:color w:val="000000"/>
                                <w:szCs w:val="21"/>
                              </w:rPr>
                            </w:pPr>
                            <w:r>
                              <w:rPr>
                                <w:rFonts w:ascii="宋体" w:hint="eastAsia"/>
                                <w:color w:val="000000"/>
                                <w:szCs w:val="21"/>
                              </w:rPr>
                              <w:t>文件十五　审议议案</w:t>
                            </w:r>
                          </w:p>
                          <w:p w:rsidR="00115BAA" w:rsidRDefault="00115BAA">
                            <w:pPr>
                              <w:rPr>
                                <w:szCs w:val="21"/>
                              </w:rPr>
                            </w:pPr>
                          </w:p>
                        </w:txbxContent>
                      </wps:txbx>
                      <wps:bodyPr wrap="none"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_x0000_s1041" type="#_x0000_t202" style="position:absolute;left:0;text-align:left;margin-left:-1.25pt;margin-top:0;width:112.3pt;height:46.8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">
                <v:path arrowok="t"/>
                <v:textbox>
                  <w:txbxContent>
                    <w:p w:rsidR="00115BAA" w:rsidRDefault="00115BAA">
                      <w:pPr>
                        <w:spacing w:line="400" w:lineRule="exact"/>
                        <w:jc w:val="center"/>
                        <w:rPr>
                          <w:rFonts w:ascii="宋体"/>
                          <w:color w:val="000000"/>
                          <w:szCs w:val="21"/>
                        </w:rPr>
                      </w:pPr>
                      <w:r>
                        <w:rPr>
                          <w:rFonts w:ascii="宋体" w:hint="eastAsia"/>
                          <w:color w:val="000000"/>
                          <w:szCs w:val="21"/>
                        </w:rPr>
                        <w:t>2020年年度股东大会</w:t>
                      </w:r>
                    </w:p>
                    <w:p w:rsidR="00115BAA" w:rsidRDefault="00115BAA">
                      <w:pPr>
                        <w:spacing w:line="400" w:lineRule="exact"/>
                        <w:jc w:val="center"/>
                        <w:rPr>
                          <w:rFonts w:ascii="宋体"/>
                          <w:color w:val="000000"/>
                          <w:szCs w:val="21"/>
                        </w:rPr>
                      </w:pPr>
                      <w:r>
                        <w:rPr>
                          <w:rFonts w:ascii="宋体" w:hint="eastAsia"/>
                          <w:color w:val="000000"/>
                          <w:szCs w:val="21"/>
                        </w:rPr>
                        <w:t>文件十五　审议议案</w:t>
                      </w:r>
                    </w:p>
                    <w:p w:rsidR="00115BAA" w:rsidRDefault="00115BAA">
                      <w:pPr>
                        <w:rPr>
                          <w:szCs w:val="21"/>
                        </w:rPr>
                      </w:pPr>
                    </w:p>
                  </w:txbxContent>
                </v:textbox>
                <w10:wrap type="square"/>
              </v:shape>
            </w:pict>
          </mc:Fallback>
        </mc:AlternateContent>
      </w:r>
    </w:p>
    <w:p w:rsidR="00092652" w:rsidRDefault="00092652">
      <w:pPr>
        <w:widowControl/>
        <w:spacing w:line="560" w:lineRule="exact"/>
        <w:jc w:val="center"/>
        <w:rPr>
          <w:rFonts w:ascii="黑体" w:eastAsia="黑体"/>
          <w:sz w:val="32"/>
          <w:szCs w:val="32"/>
        </w:rPr>
      </w:pPr>
    </w:p>
    <w:p w:rsidR="00092652" w:rsidRDefault="0039522B">
      <w:pPr>
        <w:widowControl/>
        <w:spacing w:line="520" w:lineRule="exact"/>
        <w:jc w:val="center"/>
        <w:rPr>
          <w:rFonts w:ascii="黑体" w:eastAsia="黑体"/>
          <w:sz w:val="32"/>
          <w:szCs w:val="32"/>
        </w:rPr>
      </w:pPr>
      <w:r>
        <w:rPr>
          <w:rFonts w:ascii="黑体" w:eastAsia="黑体" w:hint="eastAsia"/>
          <w:sz w:val="32"/>
          <w:szCs w:val="32"/>
        </w:rPr>
        <w:t>兴业银行股份有限公司</w:t>
      </w:r>
    </w:p>
    <w:p w:rsidR="00092652" w:rsidRDefault="0039522B">
      <w:pPr>
        <w:pStyle w:val="1"/>
        <w:tabs>
          <w:tab w:val="clear" w:pos="432"/>
        </w:tabs>
        <w:spacing w:before="0" w:after="0" w:line="520" w:lineRule="exact"/>
        <w:ind w:left="567" w:rightChars="290" w:right="609" w:firstLine="0"/>
        <w:rPr>
          <w:rFonts w:cs="黑体"/>
          <w:szCs w:val="32"/>
        </w:rPr>
      </w:pPr>
      <w:bookmarkStart w:id="24" w:name="_Toc72437662"/>
      <w:r>
        <w:rPr>
          <w:rFonts w:cs="黑体" w:hint="eastAsia"/>
          <w:szCs w:val="32"/>
        </w:rPr>
        <w:t>关于本次公开发行A股可转换公司债券募集资金</w:t>
      </w:r>
      <w:bookmarkEnd w:id="24"/>
    </w:p>
    <w:p w:rsidR="00092652" w:rsidRDefault="0039522B">
      <w:pPr>
        <w:widowControl/>
        <w:spacing w:line="520" w:lineRule="exact"/>
        <w:jc w:val="center"/>
        <w:rPr>
          <w:rFonts w:ascii="黑体" w:eastAsia="黑体"/>
          <w:sz w:val="32"/>
          <w:szCs w:val="32"/>
        </w:rPr>
      </w:pPr>
      <w:r>
        <w:rPr>
          <w:rFonts w:ascii="黑体" w:eastAsia="黑体" w:hint="eastAsia"/>
          <w:sz w:val="32"/>
          <w:szCs w:val="32"/>
        </w:rPr>
        <w:t>使用可行性报告的议案</w:t>
      </w:r>
    </w:p>
    <w:p w:rsidR="00092652" w:rsidRDefault="0039522B">
      <w:pPr>
        <w:overflowPunct w:val="0"/>
        <w:snapToGrid w:val="0"/>
        <w:spacing w:line="500" w:lineRule="exact"/>
        <w:jc w:val="center"/>
        <w:rPr>
          <w:rFonts w:asciiTheme="minorHAnsi" w:eastAsia="仿宋_GB2312" w:hAnsiTheme="minorHAnsi"/>
          <w:sz w:val="30"/>
          <w:szCs w:val="30"/>
        </w:rPr>
      </w:pPr>
      <w:r>
        <w:rPr>
          <w:rFonts w:asciiTheme="minorHAnsi" w:eastAsia="仿宋_GB2312" w:hAnsiTheme="minorHAnsi" w:hint="eastAsia"/>
          <w:sz w:val="30"/>
          <w:szCs w:val="30"/>
        </w:rPr>
        <w:t>报告人：赖富荣</w:t>
      </w:r>
    </w:p>
    <w:p w:rsidR="00092652" w:rsidRDefault="00092652">
      <w:pPr>
        <w:widowControl/>
        <w:jc w:val="left"/>
      </w:pPr>
    </w:p>
    <w:p w:rsidR="00092652" w:rsidRDefault="0039522B">
      <w:pPr>
        <w:overflowPunct w:val="0"/>
        <w:snapToGrid w:val="0"/>
        <w:spacing w:line="520" w:lineRule="exact"/>
        <w:rPr>
          <w:rFonts w:ascii="仿宋_GB2312" w:eastAsia="仿宋_GB2312" w:hAnsi="Calibri"/>
          <w:sz w:val="30"/>
          <w:szCs w:val="30"/>
        </w:rPr>
      </w:pPr>
      <w:r>
        <w:rPr>
          <w:rFonts w:ascii="仿宋_GB2312" w:eastAsia="仿宋_GB2312" w:hAnsi="Calibri" w:hint="eastAsia"/>
          <w:sz w:val="30"/>
          <w:szCs w:val="30"/>
        </w:rPr>
        <w:t>各位股东：</w:t>
      </w:r>
    </w:p>
    <w:p w:rsidR="00092652" w:rsidRDefault="0039522B">
      <w:pPr>
        <w:spacing w:line="520" w:lineRule="exact"/>
        <w:ind w:firstLineChars="200" w:firstLine="600"/>
        <w:rPr>
          <w:rFonts w:ascii="仿宋_GB2312" w:eastAsia="仿宋_GB2312"/>
          <w:sz w:val="30"/>
          <w:szCs w:val="30"/>
        </w:rPr>
      </w:pPr>
      <w:r>
        <w:rPr>
          <w:rFonts w:ascii="仿宋_GB2312" w:eastAsia="仿宋_GB2312"/>
          <w:sz w:val="30"/>
          <w:szCs w:val="30"/>
        </w:rPr>
        <w:t>根据</w:t>
      </w:r>
      <w:r>
        <w:rPr>
          <w:rFonts w:ascii="仿宋_GB2312" w:eastAsia="仿宋_GB2312" w:hint="eastAsia"/>
          <w:sz w:val="30"/>
          <w:szCs w:val="30"/>
        </w:rPr>
        <w:t>中国证券监督管理委员会</w:t>
      </w:r>
      <w:r>
        <w:rPr>
          <w:rFonts w:ascii="仿宋_GB2312" w:eastAsia="仿宋_GB2312"/>
          <w:sz w:val="30"/>
          <w:szCs w:val="30"/>
        </w:rPr>
        <w:t>《上市公司证券发行管理办法》的相关规定，公司编制了《</w:t>
      </w:r>
      <w:r>
        <w:rPr>
          <w:rFonts w:ascii="仿宋_GB2312" w:eastAsia="仿宋_GB2312" w:hint="eastAsia"/>
          <w:sz w:val="30"/>
          <w:szCs w:val="30"/>
        </w:rPr>
        <w:t>兴业银行股份有限公司关于本次</w:t>
      </w:r>
      <w:r>
        <w:rPr>
          <w:rFonts w:ascii="仿宋_GB2312" w:eastAsia="仿宋_GB2312"/>
          <w:sz w:val="30"/>
          <w:szCs w:val="30"/>
        </w:rPr>
        <w:t>公开发行A股</w:t>
      </w:r>
      <w:r>
        <w:rPr>
          <w:rFonts w:ascii="仿宋_GB2312" w:eastAsia="仿宋_GB2312" w:hint="eastAsia"/>
          <w:sz w:val="30"/>
          <w:szCs w:val="30"/>
        </w:rPr>
        <w:t>可转换公司债券</w:t>
      </w:r>
      <w:r>
        <w:rPr>
          <w:rFonts w:ascii="仿宋_GB2312" w:eastAsia="仿宋_GB2312"/>
          <w:sz w:val="30"/>
          <w:szCs w:val="30"/>
        </w:rPr>
        <w:t>募集资金使用可行性报告》，详见附件。</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专此报告，请予审议。</w:t>
      </w:r>
    </w:p>
    <w:p w:rsidR="00092652" w:rsidRDefault="00092652">
      <w:pPr>
        <w:spacing w:line="520" w:lineRule="exact"/>
        <w:ind w:firstLineChars="200" w:firstLine="600"/>
        <w:rPr>
          <w:rFonts w:ascii="仿宋_GB2312" w:eastAsia="仿宋_GB2312"/>
          <w:sz w:val="30"/>
          <w:szCs w:val="30"/>
        </w:rPr>
      </w:pPr>
    </w:p>
    <w:p w:rsidR="00092652" w:rsidRDefault="0039522B">
      <w:pPr>
        <w:spacing w:line="520" w:lineRule="exact"/>
        <w:ind w:firstLineChars="200" w:firstLine="600"/>
        <w:rPr>
          <w:rFonts w:ascii="仿宋_GB2312" w:eastAsia="仿宋_GB2312"/>
          <w:sz w:val="30"/>
          <w:szCs w:val="30"/>
        </w:rPr>
      </w:pPr>
      <w:r>
        <w:rPr>
          <w:rFonts w:ascii="仿宋_GB2312" w:eastAsia="仿宋_GB2312"/>
          <w:sz w:val="30"/>
          <w:szCs w:val="30"/>
        </w:rPr>
        <w:t>附件：</w:t>
      </w:r>
      <w:r>
        <w:rPr>
          <w:rFonts w:ascii="仿宋_GB2312" w:eastAsia="仿宋_GB2312" w:hint="eastAsia"/>
          <w:sz w:val="30"/>
          <w:szCs w:val="30"/>
        </w:rPr>
        <w:t>兴业银行股份有限公司关于本次</w:t>
      </w:r>
      <w:r>
        <w:rPr>
          <w:rFonts w:ascii="仿宋_GB2312" w:eastAsia="仿宋_GB2312"/>
          <w:sz w:val="30"/>
          <w:szCs w:val="30"/>
        </w:rPr>
        <w:t>公开发行A股</w:t>
      </w:r>
      <w:r>
        <w:rPr>
          <w:rFonts w:ascii="仿宋_GB2312" w:eastAsia="仿宋_GB2312" w:hint="eastAsia"/>
          <w:sz w:val="30"/>
          <w:szCs w:val="30"/>
        </w:rPr>
        <w:t>可转换公司债券</w:t>
      </w:r>
      <w:r>
        <w:rPr>
          <w:rFonts w:ascii="仿宋_GB2312" w:eastAsia="仿宋_GB2312"/>
          <w:sz w:val="30"/>
          <w:szCs w:val="30"/>
        </w:rPr>
        <w:t>募集资金使用可行性报告</w:t>
      </w:r>
    </w:p>
    <w:p w:rsidR="00092652" w:rsidRDefault="00092652">
      <w:pPr>
        <w:spacing w:before="50" w:after="50" w:line="360" w:lineRule="auto"/>
        <w:ind w:firstLineChars="200" w:firstLine="560"/>
        <w:jc w:val="right"/>
        <w:rPr>
          <w:rFonts w:eastAsia="仿宋_GB2312"/>
          <w:sz w:val="28"/>
          <w:szCs w:val="28"/>
        </w:rPr>
      </w:pPr>
    </w:p>
    <w:p w:rsidR="00092652" w:rsidRDefault="00092652">
      <w:pPr>
        <w:spacing w:line="360" w:lineRule="auto"/>
        <w:jc w:val="left"/>
        <w:rPr>
          <w:rFonts w:eastAsia="黑体"/>
          <w:bCs/>
          <w:sz w:val="32"/>
          <w:szCs w:val="32"/>
        </w:rPr>
      </w:pPr>
    </w:p>
    <w:p w:rsidR="00092652" w:rsidRDefault="00092652">
      <w:pPr>
        <w:rPr>
          <w:rFonts w:eastAsia="黑体"/>
          <w:sz w:val="32"/>
          <w:szCs w:val="32"/>
        </w:rPr>
      </w:pPr>
    </w:p>
    <w:p w:rsidR="00092652" w:rsidRDefault="00092652">
      <w:pPr>
        <w:rPr>
          <w:rFonts w:eastAsia="黑体"/>
          <w:sz w:val="32"/>
          <w:szCs w:val="32"/>
        </w:rPr>
      </w:pPr>
    </w:p>
    <w:p w:rsidR="00092652" w:rsidRDefault="0039522B">
      <w:pPr>
        <w:tabs>
          <w:tab w:val="left" w:pos="5472"/>
        </w:tabs>
        <w:rPr>
          <w:rFonts w:eastAsia="黑体"/>
          <w:sz w:val="32"/>
          <w:szCs w:val="32"/>
        </w:rPr>
      </w:pPr>
      <w:r>
        <w:rPr>
          <w:rFonts w:eastAsia="黑体"/>
          <w:sz w:val="32"/>
          <w:szCs w:val="32"/>
        </w:rPr>
        <w:tab/>
      </w:r>
    </w:p>
    <w:p w:rsidR="00092652" w:rsidRDefault="00092652">
      <w:pPr>
        <w:rPr>
          <w:rFonts w:eastAsia="黑体"/>
          <w:sz w:val="32"/>
          <w:szCs w:val="32"/>
        </w:rPr>
      </w:pPr>
    </w:p>
    <w:p w:rsidR="00092652" w:rsidRDefault="0039522B">
      <w:pPr>
        <w:spacing w:line="360" w:lineRule="auto"/>
        <w:jc w:val="left"/>
        <w:rPr>
          <w:rFonts w:ascii="宋体" w:hAnsi="宋体"/>
          <w:b/>
          <w:bCs/>
          <w:sz w:val="24"/>
          <w:szCs w:val="24"/>
        </w:rPr>
      </w:pPr>
      <w:r>
        <w:rPr>
          <w:rFonts w:eastAsia="黑体"/>
          <w:sz w:val="32"/>
          <w:szCs w:val="32"/>
        </w:rPr>
        <w:br w:type="page"/>
      </w:r>
      <w:r>
        <w:rPr>
          <w:rFonts w:ascii="仿宋_GB2312" w:eastAsia="仿宋_GB2312"/>
          <w:sz w:val="30"/>
          <w:szCs w:val="30"/>
        </w:rPr>
        <w:lastRenderedPageBreak/>
        <w:t>附件</w:t>
      </w:r>
    </w:p>
    <w:p w:rsidR="00092652" w:rsidRDefault="0039522B">
      <w:pPr>
        <w:spacing w:line="520" w:lineRule="exact"/>
        <w:jc w:val="center"/>
        <w:rPr>
          <w:rFonts w:ascii="宋体" w:hAnsi="宋体"/>
          <w:b/>
          <w:bCs/>
          <w:sz w:val="30"/>
          <w:szCs w:val="30"/>
        </w:rPr>
      </w:pPr>
      <w:r>
        <w:rPr>
          <w:rFonts w:ascii="宋体" w:hAnsi="宋体"/>
          <w:b/>
          <w:bCs/>
          <w:sz w:val="30"/>
          <w:szCs w:val="30"/>
        </w:rPr>
        <w:t>兴业银行股份有限公司</w:t>
      </w:r>
    </w:p>
    <w:p w:rsidR="00092652" w:rsidRDefault="0039522B">
      <w:pPr>
        <w:spacing w:line="520" w:lineRule="exact"/>
        <w:jc w:val="center"/>
        <w:rPr>
          <w:rFonts w:ascii="宋体" w:hAnsi="宋体"/>
          <w:b/>
          <w:bCs/>
          <w:sz w:val="30"/>
          <w:szCs w:val="30"/>
        </w:rPr>
      </w:pPr>
      <w:r>
        <w:rPr>
          <w:rFonts w:ascii="宋体" w:hAnsi="宋体" w:hint="eastAsia"/>
          <w:b/>
          <w:bCs/>
          <w:sz w:val="30"/>
          <w:szCs w:val="30"/>
        </w:rPr>
        <w:t>关于本次</w:t>
      </w:r>
      <w:r>
        <w:rPr>
          <w:rFonts w:ascii="宋体" w:hAnsi="宋体"/>
          <w:b/>
          <w:bCs/>
          <w:sz w:val="30"/>
          <w:szCs w:val="30"/>
        </w:rPr>
        <w:t>公开发行A股</w:t>
      </w:r>
      <w:r>
        <w:rPr>
          <w:rFonts w:ascii="宋体" w:hAnsi="宋体" w:hint="eastAsia"/>
          <w:b/>
          <w:bCs/>
          <w:sz w:val="30"/>
          <w:szCs w:val="30"/>
        </w:rPr>
        <w:t>可转换公司债券</w:t>
      </w:r>
    </w:p>
    <w:p w:rsidR="00092652" w:rsidRDefault="0039522B">
      <w:pPr>
        <w:spacing w:line="520" w:lineRule="exact"/>
        <w:jc w:val="center"/>
        <w:rPr>
          <w:rFonts w:ascii="宋体" w:hAnsi="宋体"/>
          <w:b/>
          <w:bCs/>
          <w:sz w:val="30"/>
          <w:szCs w:val="30"/>
        </w:rPr>
      </w:pPr>
      <w:r>
        <w:rPr>
          <w:rFonts w:ascii="宋体" w:hAnsi="宋体"/>
          <w:b/>
          <w:bCs/>
          <w:sz w:val="30"/>
          <w:szCs w:val="30"/>
        </w:rPr>
        <w:t>募集资金使用可行性报告</w:t>
      </w:r>
    </w:p>
    <w:p w:rsidR="00092652" w:rsidRDefault="00092652">
      <w:pPr>
        <w:spacing w:line="360" w:lineRule="auto"/>
        <w:jc w:val="center"/>
        <w:rPr>
          <w:rFonts w:eastAsia="仿宋_GB2312"/>
          <w:sz w:val="28"/>
          <w:szCs w:val="28"/>
        </w:rPr>
      </w:pPr>
    </w:p>
    <w:p w:rsidR="00092652" w:rsidRDefault="0039522B">
      <w:pPr>
        <w:spacing w:line="520" w:lineRule="exact"/>
        <w:ind w:firstLine="482"/>
        <w:rPr>
          <w:rFonts w:ascii="宋体" w:hAnsi="宋体"/>
          <w:sz w:val="28"/>
          <w:szCs w:val="28"/>
        </w:rPr>
      </w:pPr>
      <w:r>
        <w:rPr>
          <w:rFonts w:ascii="宋体" w:hAnsi="宋体" w:hint="eastAsia"/>
          <w:sz w:val="28"/>
          <w:szCs w:val="28"/>
        </w:rPr>
        <w:t>兴业银行股份有限公司（以下简称“公司”）拟公开发行A股可转换公司债券（以下简称“可转债”），募集资金总额不超过人民币5</w:t>
      </w:r>
      <w:r>
        <w:rPr>
          <w:rFonts w:ascii="宋体" w:hAnsi="宋体"/>
          <w:sz w:val="28"/>
          <w:szCs w:val="28"/>
        </w:rPr>
        <w:t>00</w:t>
      </w:r>
      <w:r>
        <w:rPr>
          <w:rFonts w:ascii="宋体" w:hAnsi="宋体" w:hint="eastAsia"/>
          <w:sz w:val="28"/>
          <w:szCs w:val="28"/>
        </w:rPr>
        <w:t>亿元（以下简称“本次发行”）。根据中国证券监督管理委员会《上市公司证券发行管理办法》的规定，上市公司申请发行证券，董事会应就本次募集资金使用的可行性报告作出决议，并提请股东大会批准。现将公司本次募集资金使用的可行性分析报告如下：</w:t>
      </w:r>
    </w:p>
    <w:p w:rsidR="00092652" w:rsidRDefault="0039522B">
      <w:pPr>
        <w:spacing w:before="50" w:after="50" w:line="520" w:lineRule="exact"/>
        <w:ind w:firstLineChars="200" w:firstLine="562"/>
        <w:rPr>
          <w:rFonts w:hAnsi="宋体"/>
          <w:b/>
          <w:bCs/>
          <w:kern w:val="28"/>
          <w:sz w:val="28"/>
          <w:szCs w:val="28"/>
        </w:rPr>
      </w:pPr>
      <w:r>
        <w:rPr>
          <w:rFonts w:hAnsi="宋体" w:hint="eastAsia"/>
          <w:b/>
          <w:bCs/>
          <w:kern w:val="28"/>
          <w:sz w:val="28"/>
          <w:szCs w:val="28"/>
        </w:rPr>
        <w:t>一、</w:t>
      </w:r>
      <w:r>
        <w:rPr>
          <w:rFonts w:hAnsi="宋体"/>
          <w:b/>
          <w:bCs/>
          <w:kern w:val="28"/>
          <w:sz w:val="28"/>
          <w:szCs w:val="28"/>
        </w:rPr>
        <w:t>本次发行募集资金总额及用途</w:t>
      </w:r>
    </w:p>
    <w:p w:rsidR="00092652" w:rsidRDefault="0039522B">
      <w:pPr>
        <w:spacing w:line="520" w:lineRule="exact"/>
        <w:ind w:firstLine="482"/>
        <w:rPr>
          <w:rFonts w:ascii="宋体" w:hAnsi="宋体"/>
          <w:sz w:val="28"/>
          <w:szCs w:val="28"/>
        </w:rPr>
      </w:pPr>
      <w:r>
        <w:rPr>
          <w:rFonts w:ascii="宋体" w:hAnsi="宋体" w:hint="eastAsia"/>
          <w:sz w:val="28"/>
          <w:szCs w:val="28"/>
        </w:rPr>
        <w:t>本次发行可转债募集资金总额不超过人民币5</w:t>
      </w:r>
      <w:r>
        <w:rPr>
          <w:rFonts w:ascii="宋体" w:hAnsi="宋体"/>
          <w:sz w:val="28"/>
          <w:szCs w:val="28"/>
        </w:rPr>
        <w:t>00</w:t>
      </w:r>
      <w:r>
        <w:rPr>
          <w:rFonts w:ascii="宋体" w:hAnsi="宋体" w:hint="eastAsia"/>
          <w:sz w:val="28"/>
          <w:szCs w:val="28"/>
        </w:rPr>
        <w:t>亿元，扣除发行费用后将全部用于支持公司未来业务发展，在可转债持有人转股后按照相关监管要求用于补充公司核心一级资本。</w:t>
      </w:r>
    </w:p>
    <w:p w:rsidR="00092652" w:rsidRDefault="0039522B">
      <w:pPr>
        <w:spacing w:before="50" w:after="50" w:line="520" w:lineRule="exact"/>
        <w:ind w:firstLineChars="200" w:firstLine="562"/>
        <w:rPr>
          <w:rFonts w:hAnsi="宋体"/>
          <w:b/>
          <w:bCs/>
          <w:kern w:val="28"/>
          <w:sz w:val="28"/>
          <w:szCs w:val="28"/>
        </w:rPr>
      </w:pPr>
      <w:r>
        <w:rPr>
          <w:rFonts w:hAnsi="宋体" w:hint="eastAsia"/>
          <w:b/>
          <w:bCs/>
          <w:kern w:val="28"/>
          <w:sz w:val="28"/>
          <w:szCs w:val="28"/>
        </w:rPr>
        <w:t>二、本次发行的必要性分析</w:t>
      </w:r>
    </w:p>
    <w:p w:rsidR="00092652" w:rsidRDefault="0039522B">
      <w:pPr>
        <w:spacing w:line="520" w:lineRule="exact"/>
        <w:ind w:firstLine="482"/>
        <w:rPr>
          <w:rFonts w:ascii="宋体" w:hAnsi="宋体"/>
          <w:sz w:val="28"/>
          <w:szCs w:val="28"/>
        </w:rPr>
      </w:pPr>
      <w:r>
        <w:rPr>
          <w:rFonts w:ascii="宋体" w:hAnsi="宋体" w:hint="eastAsia"/>
          <w:sz w:val="28"/>
          <w:szCs w:val="28"/>
        </w:rPr>
        <w:t>本次发行可转债有利于公司进一步夯实资本基础，增强风险抵御能力，更好应对外部经营环境及监管环境的变化，继续保持稳健运行，不断提升市场竞争力并实现既定的战略目标。</w:t>
      </w:r>
    </w:p>
    <w:p w:rsidR="00092652" w:rsidRDefault="0039522B">
      <w:pPr>
        <w:spacing w:line="520" w:lineRule="exact"/>
        <w:ind w:firstLine="482"/>
        <w:rPr>
          <w:rFonts w:ascii="宋体" w:hAnsi="宋体"/>
          <w:b/>
          <w:sz w:val="28"/>
          <w:szCs w:val="28"/>
        </w:rPr>
      </w:pPr>
      <w:r>
        <w:rPr>
          <w:rFonts w:ascii="宋体" w:hAnsi="宋体" w:hint="eastAsia"/>
          <w:b/>
          <w:sz w:val="28"/>
          <w:szCs w:val="28"/>
        </w:rPr>
        <w:t>（一）满足资本监管要求，进一步夯实资本基础</w:t>
      </w:r>
    </w:p>
    <w:p w:rsidR="00092652" w:rsidRDefault="0039522B">
      <w:pPr>
        <w:spacing w:line="520" w:lineRule="exact"/>
        <w:ind w:firstLine="482"/>
        <w:rPr>
          <w:rFonts w:ascii="宋体" w:hAnsi="宋体"/>
          <w:sz w:val="28"/>
          <w:szCs w:val="28"/>
        </w:rPr>
      </w:pPr>
      <w:r>
        <w:rPr>
          <w:rFonts w:ascii="宋体" w:hAnsi="宋体" w:hint="eastAsia"/>
          <w:sz w:val="28"/>
          <w:szCs w:val="28"/>
        </w:rPr>
        <w:t>根据《巴塞尔协议Ⅲ》确定的资本监管精神，原中国银行业监督管理委员会制定并发布了《商业银行资本管理办法（试行）》，并于2013年起实施，全面提升了商业银行资本的监管要求。中国人民银行于2016年起实施宏观审慎评估体系（MPA），引导银行业金融机构加强自我约束和自律管理，其中宏观审慎资本充足率是决定评估结果的最核心指标之一。2</w:t>
      </w:r>
      <w:r>
        <w:rPr>
          <w:rFonts w:ascii="宋体" w:hAnsi="宋体"/>
          <w:sz w:val="28"/>
          <w:szCs w:val="28"/>
        </w:rPr>
        <w:t>020</w:t>
      </w:r>
      <w:r>
        <w:rPr>
          <w:rFonts w:ascii="宋体" w:hAnsi="宋体" w:hint="eastAsia"/>
          <w:sz w:val="28"/>
          <w:szCs w:val="28"/>
        </w:rPr>
        <w:t>年9月，</w:t>
      </w:r>
      <w:r>
        <w:rPr>
          <w:rFonts w:ascii="宋体" w:hAnsi="宋体" w:hint="eastAsia"/>
          <w:sz w:val="28"/>
          <w:szCs w:val="28"/>
        </w:rPr>
        <w:lastRenderedPageBreak/>
        <w:t>中国人民银行、中国银行保险监督管理委员会（以下简称“中国银保监会”）发布《关于建立逆周期资本缓冲机制的通知》，明确了我国逆周期资本缓冲的计提方式、覆盖范围及评估机制，逆周期资本缓冲要求为0%-2.5%，用核心一级资本进行满足。现阶段逆周期缓冲资本暂定为0%，后续将定期评估和调整逆周期资本缓冲要求，对于商业银行资本充足水平提出了更高要求。2020年12月，中国人民银行和中国银保监会联合发布《系统重要性银行评估办法》，该办法从2021年1月1日起实施，将对入选国内系统重要性银行的金融机构从附加资本、杠杆率、大额风险暴露、公司治理、恢复处置计划、信息披露和数据报送等方面提出监管要求，其中附加资本预计在1%以内，用核心一级资本进行满足。</w:t>
      </w:r>
    </w:p>
    <w:p w:rsidR="00092652" w:rsidRDefault="0039522B">
      <w:pPr>
        <w:spacing w:line="520" w:lineRule="exact"/>
        <w:ind w:firstLine="482"/>
        <w:rPr>
          <w:rFonts w:ascii="宋体" w:hAnsi="宋体"/>
          <w:sz w:val="28"/>
          <w:szCs w:val="28"/>
        </w:rPr>
      </w:pPr>
      <w:r>
        <w:rPr>
          <w:rFonts w:ascii="宋体" w:hAnsi="宋体" w:hint="eastAsia"/>
          <w:sz w:val="28"/>
          <w:szCs w:val="28"/>
        </w:rPr>
        <w:t>截至2020年</w:t>
      </w:r>
      <w:r>
        <w:rPr>
          <w:rFonts w:ascii="宋体" w:hAnsi="宋体"/>
          <w:sz w:val="28"/>
          <w:szCs w:val="28"/>
        </w:rPr>
        <w:t>12</w:t>
      </w:r>
      <w:r>
        <w:rPr>
          <w:rFonts w:ascii="宋体" w:hAnsi="宋体" w:hint="eastAsia"/>
          <w:sz w:val="28"/>
          <w:szCs w:val="28"/>
        </w:rPr>
        <w:t>月3</w:t>
      </w:r>
      <w:r>
        <w:rPr>
          <w:rFonts w:ascii="宋体" w:hAnsi="宋体"/>
          <w:sz w:val="28"/>
          <w:szCs w:val="28"/>
        </w:rPr>
        <w:t>1</w:t>
      </w:r>
      <w:r>
        <w:rPr>
          <w:rFonts w:ascii="宋体" w:hAnsi="宋体" w:hint="eastAsia"/>
          <w:sz w:val="28"/>
          <w:szCs w:val="28"/>
        </w:rPr>
        <w:t>日，公司合并报表口径下的核心一级资本充足率、一级资本充足率和资本充足率分别为</w:t>
      </w:r>
      <w:r>
        <w:rPr>
          <w:rFonts w:ascii="宋体" w:hAnsi="宋体"/>
          <w:sz w:val="28"/>
          <w:szCs w:val="28"/>
        </w:rPr>
        <w:t>9</w:t>
      </w:r>
      <w:r>
        <w:rPr>
          <w:rFonts w:ascii="宋体" w:hAnsi="宋体" w:hint="eastAsia"/>
          <w:sz w:val="28"/>
          <w:szCs w:val="28"/>
        </w:rPr>
        <w:t>.</w:t>
      </w:r>
      <w:r>
        <w:rPr>
          <w:rFonts w:ascii="宋体" w:hAnsi="宋体"/>
          <w:sz w:val="28"/>
          <w:szCs w:val="28"/>
        </w:rPr>
        <w:t>33</w:t>
      </w:r>
      <w:r>
        <w:rPr>
          <w:rFonts w:ascii="宋体" w:hAnsi="宋体" w:hint="eastAsia"/>
          <w:sz w:val="28"/>
          <w:szCs w:val="28"/>
        </w:rPr>
        <w:t>%、</w:t>
      </w:r>
      <w:r>
        <w:rPr>
          <w:rFonts w:ascii="宋体" w:hAnsi="宋体"/>
          <w:sz w:val="28"/>
          <w:szCs w:val="28"/>
        </w:rPr>
        <w:t>10</w:t>
      </w:r>
      <w:r>
        <w:rPr>
          <w:rFonts w:ascii="宋体" w:hAnsi="宋体" w:hint="eastAsia"/>
          <w:sz w:val="28"/>
          <w:szCs w:val="28"/>
        </w:rPr>
        <w:t>.</w:t>
      </w:r>
      <w:r>
        <w:rPr>
          <w:rFonts w:ascii="宋体" w:hAnsi="宋体"/>
          <w:sz w:val="28"/>
          <w:szCs w:val="28"/>
        </w:rPr>
        <w:t>85</w:t>
      </w:r>
      <w:r>
        <w:rPr>
          <w:rFonts w:ascii="宋体" w:hAnsi="宋体" w:hint="eastAsia"/>
          <w:sz w:val="28"/>
          <w:szCs w:val="28"/>
        </w:rPr>
        <w:t>%和</w:t>
      </w:r>
      <w:r>
        <w:rPr>
          <w:rFonts w:ascii="宋体" w:hAnsi="宋体"/>
          <w:sz w:val="28"/>
          <w:szCs w:val="28"/>
        </w:rPr>
        <w:t>13</w:t>
      </w:r>
      <w:r>
        <w:rPr>
          <w:rFonts w:ascii="宋体" w:hAnsi="宋体" w:hint="eastAsia"/>
          <w:sz w:val="28"/>
          <w:szCs w:val="28"/>
        </w:rPr>
        <w:t>.</w:t>
      </w:r>
      <w:r>
        <w:rPr>
          <w:rFonts w:ascii="宋体" w:hAnsi="宋体"/>
          <w:sz w:val="28"/>
          <w:szCs w:val="28"/>
        </w:rPr>
        <w:t>47</w:t>
      </w:r>
      <w:r>
        <w:rPr>
          <w:rFonts w:ascii="宋体" w:hAnsi="宋体" w:hint="eastAsia"/>
          <w:sz w:val="28"/>
          <w:szCs w:val="28"/>
        </w:rPr>
        <w:t>%，虽然仍能满足当前资本监管要求，但在监管力度不断加强的背景下，公司有必要进一步夯实资本基础，在满足未来发展需要的同时，预留缓冲空间，提升风险抵御能力，以灵活应对不断变化的外部经营环境及监管环境。</w:t>
      </w:r>
    </w:p>
    <w:p w:rsidR="00092652" w:rsidRDefault="0039522B">
      <w:pPr>
        <w:spacing w:line="520" w:lineRule="exact"/>
        <w:ind w:firstLine="482"/>
        <w:rPr>
          <w:rFonts w:ascii="宋体" w:hAnsi="宋体"/>
          <w:b/>
          <w:sz w:val="28"/>
          <w:szCs w:val="28"/>
        </w:rPr>
      </w:pPr>
      <w:r>
        <w:rPr>
          <w:rFonts w:ascii="宋体" w:hAnsi="宋体" w:hint="eastAsia"/>
          <w:b/>
          <w:sz w:val="28"/>
          <w:szCs w:val="28"/>
        </w:rPr>
        <w:t>（二）支持公司转型发展，更好服务实体经济</w:t>
      </w:r>
    </w:p>
    <w:p w:rsidR="00092652" w:rsidRDefault="0039522B">
      <w:pPr>
        <w:spacing w:line="520" w:lineRule="exact"/>
        <w:ind w:firstLine="482"/>
        <w:rPr>
          <w:rFonts w:ascii="宋体" w:hAnsi="宋体"/>
          <w:sz w:val="28"/>
          <w:szCs w:val="28"/>
        </w:rPr>
      </w:pPr>
      <w:r>
        <w:rPr>
          <w:rFonts w:ascii="宋体" w:hAnsi="宋体" w:hint="eastAsia"/>
          <w:sz w:val="28"/>
          <w:szCs w:val="28"/>
        </w:rPr>
        <w:t>近年来，公司持续深化改革，坚定推进经营转型，优化业务布局，强化风险管控，着力提升新时代数字化经营能力和管理能力，保障各项业务稳健、可持续发展。截至2020年</w:t>
      </w:r>
      <w:r>
        <w:rPr>
          <w:rFonts w:ascii="宋体" w:hAnsi="宋体"/>
          <w:sz w:val="28"/>
          <w:szCs w:val="28"/>
        </w:rPr>
        <w:t>12</w:t>
      </w:r>
      <w:r>
        <w:rPr>
          <w:rFonts w:ascii="宋体" w:hAnsi="宋体" w:hint="eastAsia"/>
          <w:sz w:val="28"/>
          <w:szCs w:val="28"/>
        </w:rPr>
        <w:t>月3</w:t>
      </w:r>
      <w:r>
        <w:rPr>
          <w:rFonts w:ascii="宋体" w:hAnsi="宋体"/>
          <w:sz w:val="28"/>
          <w:szCs w:val="28"/>
        </w:rPr>
        <w:t>1</w:t>
      </w:r>
      <w:r>
        <w:rPr>
          <w:rFonts w:ascii="宋体" w:hAnsi="宋体" w:hint="eastAsia"/>
          <w:sz w:val="28"/>
          <w:szCs w:val="28"/>
        </w:rPr>
        <w:t>日，公司总资产7</w:t>
      </w:r>
      <w:r>
        <w:rPr>
          <w:rFonts w:ascii="宋体" w:hAnsi="宋体"/>
          <w:sz w:val="28"/>
          <w:szCs w:val="28"/>
        </w:rPr>
        <w:t>.89</w:t>
      </w:r>
      <w:r>
        <w:rPr>
          <w:rFonts w:ascii="宋体" w:hAnsi="宋体" w:hint="eastAsia"/>
          <w:sz w:val="28"/>
          <w:szCs w:val="28"/>
        </w:rPr>
        <w:t>万亿元，较年初增长</w:t>
      </w:r>
      <w:r>
        <w:rPr>
          <w:rFonts w:ascii="宋体" w:hAnsi="宋体"/>
          <w:sz w:val="28"/>
          <w:szCs w:val="28"/>
        </w:rPr>
        <w:t>10</w:t>
      </w:r>
      <w:r>
        <w:rPr>
          <w:rFonts w:ascii="宋体" w:hAnsi="宋体" w:hint="eastAsia"/>
          <w:sz w:val="28"/>
          <w:szCs w:val="28"/>
        </w:rPr>
        <w:t>.</w:t>
      </w:r>
      <w:r>
        <w:rPr>
          <w:rFonts w:ascii="宋体" w:hAnsi="宋体"/>
          <w:sz w:val="28"/>
          <w:szCs w:val="28"/>
        </w:rPr>
        <w:t>47</w:t>
      </w:r>
      <w:r>
        <w:rPr>
          <w:rFonts w:ascii="宋体" w:hAnsi="宋体" w:hint="eastAsia"/>
          <w:sz w:val="28"/>
          <w:szCs w:val="28"/>
        </w:rPr>
        <w:t>%；2020年度，公司实现归属于母公司股东的净利润</w:t>
      </w:r>
      <w:r>
        <w:rPr>
          <w:rFonts w:ascii="宋体" w:hAnsi="宋体"/>
          <w:sz w:val="28"/>
          <w:szCs w:val="28"/>
        </w:rPr>
        <w:t>666</w:t>
      </w:r>
      <w:r>
        <w:rPr>
          <w:rFonts w:ascii="宋体" w:hAnsi="宋体" w:hint="eastAsia"/>
          <w:sz w:val="28"/>
          <w:szCs w:val="28"/>
        </w:rPr>
        <w:t>.</w:t>
      </w:r>
      <w:r>
        <w:rPr>
          <w:rFonts w:ascii="宋体" w:hAnsi="宋体"/>
          <w:sz w:val="28"/>
          <w:szCs w:val="28"/>
        </w:rPr>
        <w:t>26</w:t>
      </w:r>
      <w:r>
        <w:rPr>
          <w:rFonts w:ascii="宋体" w:hAnsi="宋体" w:hint="eastAsia"/>
          <w:sz w:val="28"/>
          <w:szCs w:val="28"/>
        </w:rPr>
        <w:t>亿元；截至2020年</w:t>
      </w:r>
      <w:r>
        <w:rPr>
          <w:rFonts w:ascii="宋体" w:hAnsi="宋体"/>
          <w:sz w:val="28"/>
          <w:szCs w:val="28"/>
        </w:rPr>
        <w:t>12</w:t>
      </w:r>
      <w:r>
        <w:rPr>
          <w:rFonts w:ascii="宋体" w:hAnsi="宋体" w:hint="eastAsia"/>
          <w:sz w:val="28"/>
          <w:szCs w:val="28"/>
        </w:rPr>
        <w:t>月3</w:t>
      </w:r>
      <w:r>
        <w:rPr>
          <w:rFonts w:ascii="宋体" w:hAnsi="宋体"/>
          <w:sz w:val="28"/>
          <w:szCs w:val="28"/>
        </w:rPr>
        <w:t>1</w:t>
      </w:r>
      <w:r>
        <w:rPr>
          <w:rFonts w:ascii="宋体" w:hAnsi="宋体" w:hint="eastAsia"/>
          <w:sz w:val="28"/>
          <w:szCs w:val="28"/>
        </w:rPr>
        <w:t>日，公司不良贷款率1</w:t>
      </w:r>
      <w:r>
        <w:rPr>
          <w:rFonts w:ascii="宋体" w:hAnsi="宋体"/>
          <w:sz w:val="28"/>
          <w:szCs w:val="28"/>
        </w:rPr>
        <w:t>.25</w:t>
      </w:r>
      <w:r>
        <w:rPr>
          <w:rFonts w:ascii="宋体" w:hAnsi="宋体" w:hint="eastAsia"/>
          <w:sz w:val="28"/>
          <w:szCs w:val="28"/>
        </w:rPr>
        <w:t>%，拨贷比</w:t>
      </w:r>
      <w:r>
        <w:rPr>
          <w:rFonts w:ascii="宋体" w:hAnsi="宋体"/>
          <w:sz w:val="28"/>
          <w:szCs w:val="28"/>
        </w:rPr>
        <w:t>2</w:t>
      </w:r>
      <w:r>
        <w:rPr>
          <w:rFonts w:ascii="宋体" w:hAnsi="宋体" w:hint="eastAsia"/>
          <w:sz w:val="28"/>
          <w:szCs w:val="28"/>
        </w:rPr>
        <w:t>.</w:t>
      </w:r>
      <w:r>
        <w:rPr>
          <w:rFonts w:ascii="宋体" w:hAnsi="宋体"/>
          <w:sz w:val="28"/>
          <w:szCs w:val="28"/>
        </w:rPr>
        <w:t>74</w:t>
      </w:r>
      <w:r>
        <w:rPr>
          <w:rFonts w:ascii="宋体" w:hAnsi="宋体" w:hint="eastAsia"/>
          <w:sz w:val="28"/>
          <w:szCs w:val="28"/>
        </w:rPr>
        <w:t>%，拨备覆盖率2</w:t>
      </w:r>
      <w:r>
        <w:rPr>
          <w:rFonts w:ascii="宋体" w:hAnsi="宋体"/>
          <w:sz w:val="28"/>
          <w:szCs w:val="28"/>
        </w:rPr>
        <w:t>18</w:t>
      </w:r>
      <w:r>
        <w:rPr>
          <w:rFonts w:ascii="宋体" w:hAnsi="宋体" w:hint="eastAsia"/>
          <w:sz w:val="28"/>
          <w:szCs w:val="28"/>
        </w:rPr>
        <w:t>.</w:t>
      </w:r>
      <w:r>
        <w:rPr>
          <w:rFonts w:ascii="宋体" w:hAnsi="宋体"/>
          <w:sz w:val="28"/>
          <w:szCs w:val="28"/>
        </w:rPr>
        <w:t>83</w:t>
      </w:r>
      <w:r>
        <w:rPr>
          <w:rFonts w:ascii="宋体" w:hAnsi="宋体" w:hint="eastAsia"/>
          <w:sz w:val="28"/>
          <w:szCs w:val="28"/>
        </w:rPr>
        <w:t>%。</w:t>
      </w:r>
    </w:p>
    <w:p w:rsidR="00092652" w:rsidRDefault="0039522B">
      <w:pPr>
        <w:spacing w:line="520" w:lineRule="exact"/>
        <w:ind w:firstLine="420"/>
        <w:rPr>
          <w:rFonts w:ascii="宋体" w:hAnsi="宋体"/>
          <w:sz w:val="28"/>
          <w:szCs w:val="28"/>
        </w:rPr>
      </w:pPr>
      <w:r>
        <w:rPr>
          <w:rFonts w:ascii="宋体" w:hAnsi="宋体" w:hint="eastAsia"/>
          <w:sz w:val="28"/>
          <w:szCs w:val="28"/>
        </w:rPr>
        <w:t>随着各项业务的稳健发展，公司风险资产保持合理增长，服务实体经济力度不断加大。截至2020年</w:t>
      </w:r>
      <w:r>
        <w:rPr>
          <w:rFonts w:ascii="宋体" w:hAnsi="宋体"/>
          <w:sz w:val="28"/>
          <w:szCs w:val="28"/>
        </w:rPr>
        <w:t>12</w:t>
      </w:r>
      <w:r>
        <w:rPr>
          <w:rFonts w:ascii="宋体" w:hAnsi="宋体" w:hint="eastAsia"/>
          <w:sz w:val="28"/>
          <w:szCs w:val="28"/>
        </w:rPr>
        <w:t>月3</w:t>
      </w:r>
      <w:r>
        <w:rPr>
          <w:rFonts w:ascii="宋体" w:hAnsi="宋体"/>
          <w:sz w:val="28"/>
          <w:szCs w:val="28"/>
        </w:rPr>
        <w:t>1</w:t>
      </w:r>
      <w:r>
        <w:rPr>
          <w:rFonts w:ascii="宋体" w:hAnsi="宋体" w:hint="eastAsia"/>
          <w:sz w:val="28"/>
          <w:szCs w:val="28"/>
        </w:rPr>
        <w:t>日，公司加权风险资产规模为5</w:t>
      </w:r>
      <w:r>
        <w:rPr>
          <w:rFonts w:ascii="宋体" w:hAnsi="宋体"/>
          <w:sz w:val="28"/>
          <w:szCs w:val="28"/>
        </w:rPr>
        <w:t>.66</w:t>
      </w:r>
      <w:r>
        <w:rPr>
          <w:rFonts w:ascii="宋体" w:hAnsi="宋体" w:hint="eastAsia"/>
          <w:sz w:val="28"/>
          <w:szCs w:val="28"/>
        </w:rPr>
        <w:t>万亿元，较年初增长1</w:t>
      </w:r>
      <w:r>
        <w:rPr>
          <w:rFonts w:ascii="宋体" w:hAnsi="宋体"/>
          <w:sz w:val="28"/>
          <w:szCs w:val="28"/>
        </w:rPr>
        <w:t>0.55%</w:t>
      </w:r>
      <w:r>
        <w:rPr>
          <w:rFonts w:ascii="宋体" w:hAnsi="宋体" w:hint="eastAsia"/>
          <w:sz w:val="28"/>
          <w:szCs w:val="28"/>
        </w:rPr>
        <w:t>；贷款总额3</w:t>
      </w:r>
      <w:r>
        <w:rPr>
          <w:rFonts w:ascii="宋体" w:hAnsi="宋体"/>
          <w:sz w:val="28"/>
          <w:szCs w:val="28"/>
        </w:rPr>
        <w:t>.97</w:t>
      </w:r>
      <w:r>
        <w:rPr>
          <w:rFonts w:ascii="宋体" w:hAnsi="宋体" w:hint="eastAsia"/>
          <w:sz w:val="28"/>
          <w:szCs w:val="28"/>
        </w:rPr>
        <w:t>万亿元，较年初增长</w:t>
      </w:r>
      <w:r>
        <w:rPr>
          <w:rFonts w:ascii="宋体" w:hAnsi="宋体"/>
          <w:sz w:val="28"/>
          <w:szCs w:val="28"/>
        </w:rPr>
        <w:t>15</w:t>
      </w:r>
      <w:r>
        <w:rPr>
          <w:rFonts w:ascii="宋体" w:hAnsi="宋体" w:hint="eastAsia"/>
          <w:sz w:val="28"/>
          <w:szCs w:val="28"/>
        </w:rPr>
        <w:t>.2</w:t>
      </w:r>
      <w:r>
        <w:rPr>
          <w:rFonts w:ascii="宋体" w:hAnsi="宋体"/>
          <w:sz w:val="28"/>
          <w:szCs w:val="28"/>
        </w:rPr>
        <w:t>3</w:t>
      </w:r>
      <w:r>
        <w:rPr>
          <w:rFonts w:ascii="宋体" w:hAnsi="宋体" w:hint="eastAsia"/>
          <w:sz w:val="28"/>
          <w:szCs w:val="28"/>
        </w:rPr>
        <w:t>%。</w:t>
      </w:r>
      <w:r>
        <w:rPr>
          <w:rFonts w:ascii="宋体" w:hAnsi="宋体" w:hint="eastAsia"/>
          <w:sz w:val="28"/>
          <w:szCs w:val="28"/>
        </w:rPr>
        <w:lastRenderedPageBreak/>
        <w:t>根据对中国银行业发展趋势的总体判断并结合公司实际，预计公司在未来几年内的业务发展将保持较稳定的增长。同时，公司将坚持客户为本、商行为体、投行为用，积极打造新的增长点；坚持走多市场、综合化发展道路，构建优质、高效、专业的综合金融服务体系。因此，公司有必要在内部利润留存的基础上进行必要的外部融资，为公司未来发展提供坚实的资本基础，提升公司整体竞争力。</w:t>
      </w:r>
    </w:p>
    <w:p w:rsidR="00092652" w:rsidRDefault="0039522B">
      <w:pPr>
        <w:spacing w:before="50" w:after="50" w:line="520" w:lineRule="exact"/>
        <w:ind w:firstLineChars="200" w:firstLine="562"/>
        <w:rPr>
          <w:rFonts w:hAnsi="宋体"/>
          <w:b/>
          <w:bCs/>
          <w:kern w:val="28"/>
          <w:sz w:val="28"/>
          <w:szCs w:val="28"/>
        </w:rPr>
      </w:pPr>
      <w:r>
        <w:rPr>
          <w:rFonts w:hAnsi="宋体" w:hint="eastAsia"/>
          <w:b/>
          <w:bCs/>
          <w:kern w:val="28"/>
          <w:sz w:val="28"/>
          <w:szCs w:val="28"/>
        </w:rPr>
        <w:t>三、本次发行的可行性分析</w:t>
      </w:r>
    </w:p>
    <w:p w:rsidR="00092652" w:rsidRDefault="0039522B">
      <w:pPr>
        <w:spacing w:before="50" w:after="50" w:line="520" w:lineRule="exact"/>
        <w:ind w:firstLineChars="200" w:firstLine="560"/>
        <w:rPr>
          <w:rFonts w:ascii="宋体" w:hAnsi="宋体"/>
          <w:sz w:val="28"/>
          <w:szCs w:val="28"/>
        </w:rPr>
      </w:pPr>
      <w:r>
        <w:rPr>
          <w:rFonts w:ascii="宋体" w:hAnsi="宋体" w:hint="eastAsia"/>
          <w:sz w:val="28"/>
          <w:szCs w:val="28"/>
        </w:rPr>
        <w:t>公司将通过对本次发行可转债募集资金的合理运用，稳步推进各项业务的持续健康发展，按照推动高质量发展、打造价值银行总要求，以服务实体经济为根本出发点，以金融科技为核心趋动力，根据转型发展需要继续深化改革，为“一流银行、百年兴业”打下更加坚实的基础：</w:t>
      </w:r>
    </w:p>
    <w:p w:rsidR="00092652" w:rsidRDefault="0039522B">
      <w:pPr>
        <w:spacing w:before="50" w:after="50" w:line="520" w:lineRule="exact"/>
        <w:ind w:firstLineChars="200" w:firstLine="562"/>
        <w:rPr>
          <w:rFonts w:hAnsi="宋体"/>
          <w:b/>
          <w:bCs/>
          <w:kern w:val="28"/>
          <w:sz w:val="28"/>
          <w:szCs w:val="28"/>
        </w:rPr>
      </w:pPr>
      <w:r>
        <w:rPr>
          <w:rFonts w:hAnsi="宋体" w:hint="eastAsia"/>
          <w:b/>
          <w:bCs/>
          <w:kern w:val="28"/>
          <w:sz w:val="28"/>
          <w:szCs w:val="28"/>
        </w:rPr>
        <w:t>（一）优化战略布局，坚定推进经营转型</w:t>
      </w:r>
    </w:p>
    <w:p w:rsidR="00092652" w:rsidRDefault="0039522B">
      <w:pPr>
        <w:spacing w:before="50" w:after="50" w:line="520" w:lineRule="exact"/>
        <w:ind w:firstLineChars="200" w:firstLine="560"/>
        <w:rPr>
          <w:rFonts w:hAnsi="宋体"/>
          <w:bCs/>
          <w:kern w:val="28"/>
          <w:sz w:val="28"/>
          <w:szCs w:val="28"/>
        </w:rPr>
      </w:pPr>
      <w:r>
        <w:rPr>
          <w:rFonts w:hAnsi="宋体" w:hint="eastAsia"/>
          <w:bCs/>
          <w:kern w:val="28"/>
          <w:sz w:val="28"/>
          <w:szCs w:val="28"/>
        </w:rPr>
        <w:t>公司将顺应金融市场化发展大趋势，围绕实体经济综合金融服务需求，继续坚定践行“</w:t>
      </w:r>
      <w:r>
        <w:rPr>
          <w:rFonts w:hAnsi="宋体" w:hint="eastAsia"/>
          <w:bCs/>
          <w:kern w:val="28"/>
          <w:sz w:val="28"/>
          <w:szCs w:val="28"/>
        </w:rPr>
        <w:t>1234</w:t>
      </w:r>
      <w:r>
        <w:rPr>
          <w:rFonts w:hAnsi="宋体" w:hint="eastAsia"/>
          <w:bCs/>
          <w:kern w:val="28"/>
          <w:sz w:val="28"/>
          <w:szCs w:val="28"/>
        </w:rPr>
        <w:t>”战略，深入调整业务布局，形成更加合理的业务结构和收入结构，实现表内结构优化、表外增量发展，通过重点产品的强劲带动、重点区域的潜能发挥、重点行业的服务创新、重点客户的合作深化带动公司高质量、内涵式发展。</w:t>
      </w:r>
    </w:p>
    <w:p w:rsidR="00092652" w:rsidRDefault="0039522B">
      <w:pPr>
        <w:spacing w:before="50" w:after="50" w:line="520" w:lineRule="exact"/>
        <w:ind w:firstLineChars="200" w:firstLine="562"/>
        <w:rPr>
          <w:rFonts w:hAnsi="宋体"/>
          <w:b/>
          <w:bCs/>
          <w:kern w:val="28"/>
          <w:sz w:val="28"/>
          <w:szCs w:val="28"/>
        </w:rPr>
      </w:pPr>
      <w:r>
        <w:rPr>
          <w:rFonts w:hAnsi="宋体" w:hint="eastAsia"/>
          <w:b/>
          <w:bCs/>
          <w:kern w:val="28"/>
          <w:sz w:val="28"/>
          <w:szCs w:val="28"/>
        </w:rPr>
        <w:t>（二）持续完善公司治理机制，提升内部运营效率</w:t>
      </w:r>
    </w:p>
    <w:p w:rsidR="00092652" w:rsidRDefault="0039522B">
      <w:pPr>
        <w:spacing w:before="50" w:after="50" w:line="520" w:lineRule="exact"/>
        <w:ind w:firstLineChars="200" w:firstLine="560"/>
        <w:rPr>
          <w:rFonts w:hAnsi="宋体"/>
          <w:bCs/>
          <w:kern w:val="28"/>
          <w:sz w:val="28"/>
          <w:szCs w:val="28"/>
        </w:rPr>
      </w:pPr>
      <w:r>
        <w:rPr>
          <w:rFonts w:hAnsi="宋体" w:hint="eastAsia"/>
          <w:bCs/>
          <w:kern w:val="28"/>
          <w:sz w:val="28"/>
          <w:szCs w:val="28"/>
        </w:rPr>
        <w:t>公司始终坚持通过规范化、专业化、科学化管理提升内部运营效率。持续健全“党委领导核心、董事会战略决策、高管层执行落实、监事会依法监督”的公司治理机制。根据国家政策导向、市场环境变化，持续调整组织架构，优化体制机制，建设流程银行，并在业内率先建立普惠金融业务体系。</w:t>
      </w:r>
      <w:r>
        <w:rPr>
          <w:rFonts w:hAnsi="宋体"/>
          <w:bCs/>
          <w:kern w:val="28"/>
          <w:sz w:val="28"/>
          <w:szCs w:val="28"/>
        </w:rPr>
        <w:t>建立健全客户部门和产品部门相对分离</w:t>
      </w:r>
      <w:r>
        <w:rPr>
          <w:rFonts w:hAnsi="宋体" w:hint="eastAsia"/>
          <w:bCs/>
          <w:kern w:val="28"/>
          <w:sz w:val="28"/>
          <w:szCs w:val="28"/>
        </w:rPr>
        <w:t>、</w:t>
      </w:r>
      <w:r>
        <w:rPr>
          <w:rFonts w:hAnsi="宋体"/>
          <w:bCs/>
          <w:kern w:val="28"/>
          <w:sz w:val="28"/>
          <w:szCs w:val="28"/>
        </w:rPr>
        <w:t>传统业务和新型业务相对分离的管理架构</w:t>
      </w:r>
      <w:r>
        <w:rPr>
          <w:rFonts w:hAnsi="宋体" w:hint="eastAsia"/>
          <w:bCs/>
          <w:kern w:val="28"/>
          <w:sz w:val="28"/>
          <w:szCs w:val="28"/>
        </w:rPr>
        <w:t>，梳理优化配套机制流程，增强转型发展的内生动力。</w:t>
      </w:r>
    </w:p>
    <w:p w:rsidR="00092652" w:rsidRDefault="0039522B">
      <w:pPr>
        <w:spacing w:before="50" w:after="50" w:line="520" w:lineRule="exact"/>
        <w:ind w:firstLineChars="200" w:firstLine="562"/>
        <w:rPr>
          <w:rFonts w:hAnsi="宋体"/>
          <w:b/>
          <w:bCs/>
          <w:kern w:val="28"/>
          <w:sz w:val="28"/>
          <w:szCs w:val="28"/>
        </w:rPr>
      </w:pPr>
      <w:r>
        <w:rPr>
          <w:rFonts w:hAnsi="宋体" w:hint="eastAsia"/>
          <w:b/>
          <w:bCs/>
          <w:kern w:val="28"/>
          <w:sz w:val="28"/>
          <w:szCs w:val="28"/>
        </w:rPr>
        <w:t>（三）加强集团一体化建设，稳步提升核心能力</w:t>
      </w:r>
    </w:p>
    <w:p w:rsidR="00092652" w:rsidRDefault="0039522B">
      <w:pPr>
        <w:spacing w:before="50" w:after="50" w:line="520" w:lineRule="exact"/>
        <w:ind w:firstLineChars="200" w:firstLine="560"/>
        <w:rPr>
          <w:rFonts w:hAnsi="宋体"/>
          <w:bCs/>
          <w:kern w:val="28"/>
          <w:sz w:val="28"/>
          <w:szCs w:val="28"/>
        </w:rPr>
      </w:pPr>
      <w:r>
        <w:rPr>
          <w:rFonts w:hAnsi="宋体" w:hint="eastAsia"/>
          <w:bCs/>
          <w:kern w:val="28"/>
          <w:sz w:val="28"/>
          <w:szCs w:val="28"/>
        </w:rPr>
        <w:lastRenderedPageBreak/>
        <w:t>公司将从银行业务延伸和跨业经营两个维度，稳步推进综合化、集团化进程，</w:t>
      </w:r>
      <w:r>
        <w:rPr>
          <w:rFonts w:ascii="宋体" w:hAnsi="Calibri" w:cs="宋体" w:hint="eastAsia"/>
          <w:kern w:val="0"/>
          <w:sz w:val="28"/>
          <w:szCs w:val="28"/>
        </w:rPr>
        <w:t>持续优化集团管控模式，推动子公司在集团统一的战略共识和风险偏好引导下，严格落实集团政策措施，全面融入集团经营管理，更好实现商行和投行业务功能的有机融合、母行与集团成员的协同联动、信息和资源的互通共享，</w:t>
      </w:r>
      <w:r>
        <w:rPr>
          <w:rFonts w:hAnsi="宋体" w:hint="eastAsia"/>
          <w:bCs/>
          <w:kern w:val="28"/>
          <w:sz w:val="28"/>
          <w:szCs w:val="28"/>
        </w:rPr>
        <w:t>持续提升对客户的综合服务能力。</w:t>
      </w:r>
    </w:p>
    <w:p w:rsidR="00092652" w:rsidRDefault="0039522B">
      <w:pPr>
        <w:spacing w:before="50" w:after="50" w:line="520" w:lineRule="exact"/>
        <w:ind w:firstLineChars="200" w:firstLine="562"/>
        <w:rPr>
          <w:rFonts w:hAnsi="宋体"/>
          <w:b/>
          <w:bCs/>
          <w:kern w:val="28"/>
          <w:sz w:val="28"/>
          <w:szCs w:val="28"/>
        </w:rPr>
      </w:pPr>
      <w:r>
        <w:rPr>
          <w:rFonts w:hAnsi="宋体" w:hint="eastAsia"/>
          <w:b/>
          <w:bCs/>
          <w:kern w:val="28"/>
          <w:sz w:val="28"/>
          <w:szCs w:val="28"/>
        </w:rPr>
        <w:t>（四）深化科技赋能，引领数字化转型</w:t>
      </w:r>
    </w:p>
    <w:p w:rsidR="00092652" w:rsidRDefault="0039522B">
      <w:pPr>
        <w:spacing w:before="50" w:after="50" w:line="520" w:lineRule="exact"/>
        <w:ind w:firstLineChars="200" w:firstLine="560"/>
        <w:rPr>
          <w:rFonts w:hAnsi="宋体"/>
          <w:bCs/>
          <w:kern w:val="28"/>
          <w:sz w:val="28"/>
          <w:szCs w:val="28"/>
        </w:rPr>
      </w:pPr>
      <w:r>
        <w:rPr>
          <w:rFonts w:hAnsi="宋体" w:hint="eastAsia"/>
          <w:bCs/>
          <w:kern w:val="28"/>
          <w:sz w:val="28"/>
          <w:szCs w:val="28"/>
        </w:rPr>
        <w:t>公司将以客户需求驱动变革创新，从顶层战略到生态结构、再到基础设施，推动银行经营理念与数字商业逻辑的有机融合。以“场景驱动、科技赋能、开放共赢”的平台运营模式，打造</w:t>
      </w:r>
      <w:r>
        <w:rPr>
          <w:rFonts w:hAnsi="宋体" w:hint="eastAsia"/>
          <w:bCs/>
          <w:kern w:val="28"/>
          <w:sz w:val="28"/>
          <w:szCs w:val="28"/>
        </w:rPr>
        <w:t>FGBC</w:t>
      </w:r>
      <w:r>
        <w:rPr>
          <w:rFonts w:hAnsi="宋体" w:hint="eastAsia"/>
          <w:bCs/>
          <w:kern w:val="28"/>
          <w:sz w:val="28"/>
          <w:szCs w:val="28"/>
        </w:rPr>
        <w:t>融合赋能新生态；运用数字化工具和手段整合渠道服务，优化业务流程；打造强有力的业务、数据和技术中台，提炼共享复用能力、增强数据应用能力、提升支持保障能力。</w:t>
      </w:r>
    </w:p>
    <w:p w:rsidR="00092652" w:rsidRDefault="0039522B">
      <w:pPr>
        <w:spacing w:before="50" w:after="50" w:line="520" w:lineRule="exact"/>
        <w:ind w:firstLineChars="200" w:firstLine="560"/>
        <w:rPr>
          <w:rFonts w:hAnsi="宋体"/>
          <w:bCs/>
          <w:kern w:val="28"/>
          <w:sz w:val="28"/>
          <w:szCs w:val="28"/>
        </w:rPr>
      </w:pPr>
      <w:r>
        <w:rPr>
          <w:rFonts w:hAnsi="宋体" w:hint="eastAsia"/>
          <w:bCs/>
          <w:kern w:val="28"/>
          <w:sz w:val="28"/>
          <w:szCs w:val="28"/>
        </w:rPr>
        <w:t>综上所述，本次发行可转债募集资金扣除发行费用后将全部用于支持公司未来业务发展，在可转债持有人转股后按照相关监管要求用于补充公司核心一级资本，符合相关法律法规的规定和资本监管要求。同时，本次发行可转债将进一步增强公司的资本实力和风险抵御能力，有利于推动公司持续健康</w:t>
      </w:r>
      <w:r>
        <w:rPr>
          <w:rFonts w:hAnsi="宋体"/>
          <w:bCs/>
          <w:kern w:val="28"/>
          <w:sz w:val="28"/>
          <w:szCs w:val="28"/>
        </w:rPr>
        <w:t>发展</w:t>
      </w:r>
      <w:r>
        <w:rPr>
          <w:rFonts w:hAnsi="宋体" w:hint="eastAsia"/>
          <w:bCs/>
          <w:kern w:val="28"/>
          <w:sz w:val="28"/>
          <w:szCs w:val="28"/>
        </w:rPr>
        <w:t>，符合公司整体发展战略及全体股东的利益，是必要且可行的。</w:t>
      </w:r>
    </w:p>
    <w:p w:rsidR="00092652" w:rsidRDefault="00092652">
      <w:pPr>
        <w:widowControl/>
        <w:spacing w:line="490" w:lineRule="exact"/>
        <w:ind w:firstLineChars="200" w:firstLine="600"/>
        <w:jc w:val="left"/>
        <w:rPr>
          <w:rFonts w:ascii="仿宋_GB2312" w:eastAsia="仿宋_GB2312" w:hAnsi="Calibri"/>
          <w:sz w:val="30"/>
          <w:szCs w:val="30"/>
        </w:rPr>
      </w:pPr>
    </w:p>
    <w:p w:rsidR="00092652" w:rsidRDefault="00092652">
      <w:pPr>
        <w:widowControl/>
        <w:spacing w:line="490" w:lineRule="exact"/>
        <w:ind w:firstLineChars="200" w:firstLine="600"/>
        <w:jc w:val="left"/>
        <w:rPr>
          <w:rFonts w:ascii="仿宋_GB2312" w:eastAsia="仿宋_GB2312" w:hAnsi="Calibri"/>
          <w:sz w:val="30"/>
          <w:szCs w:val="30"/>
        </w:rPr>
      </w:pPr>
    </w:p>
    <w:p w:rsidR="00092652" w:rsidRDefault="0039522B">
      <w:pPr>
        <w:widowControl/>
        <w:jc w:val="left"/>
        <w:rPr>
          <w:rFonts w:ascii="仿宋_GB2312" w:eastAsia="仿宋_GB2312" w:hAnsi="Calibri"/>
          <w:sz w:val="30"/>
          <w:szCs w:val="30"/>
        </w:rPr>
      </w:pPr>
      <w:r>
        <w:rPr>
          <w:rFonts w:ascii="仿宋_GB2312" w:eastAsia="仿宋_GB2312" w:hAnsi="Calibri"/>
          <w:sz w:val="30"/>
          <w:szCs w:val="30"/>
        </w:rPr>
        <w:br w:type="page"/>
      </w:r>
    </w:p>
    <w:p w:rsidR="00092652" w:rsidRDefault="00C4392E">
      <w:pPr>
        <w:tabs>
          <w:tab w:val="left" w:pos="416"/>
          <w:tab w:val="left" w:pos="1086"/>
          <w:tab w:val="center" w:pos="4156"/>
        </w:tabs>
        <w:spacing w:line="500" w:lineRule="exact"/>
        <w:ind w:firstLineChars="200" w:firstLine="640"/>
      </w:pPr>
      <w:r>
        <w:rPr>
          <w:rFonts w:ascii="黑体" w:eastAsia="黑体"/>
          <w:noProof/>
          <w:sz w:val="32"/>
          <w:szCs w:val="32"/>
        </w:rPr>
        <w:lastRenderedPageBreak/>
        <mc:AlternateContent>
          <mc:Choice Requires="wps">
            <w:drawing>
              <wp:anchor distT="0" distB="0" distL="114300" distR="114300" simplePos="0" relativeHeight="251676672" behindDoc="0" locked="0" layoutInCell="1" allowOverlap="1" wp14:anchorId="50361063" wp14:editId="451F8E91">
                <wp:simplePos x="0" y="0"/>
                <wp:positionH relativeFrom="column">
                  <wp:posOffset>-15875</wp:posOffset>
                </wp:positionH>
                <wp:positionV relativeFrom="paragraph">
                  <wp:posOffset>0</wp:posOffset>
                </wp:positionV>
                <wp:extent cx="1426210" cy="594360"/>
                <wp:effectExtent l="0" t="0" r="3175" b="0"/>
                <wp:wrapSquare wrapText="bothSides"/>
                <wp:docPr id="8" name="文本框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621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15BAA" w:rsidRDefault="00115BAA">
                            <w:pPr>
                              <w:spacing w:line="400" w:lineRule="exact"/>
                              <w:jc w:val="center"/>
                              <w:rPr>
                                <w:rFonts w:ascii="宋体"/>
                                <w:color w:val="000000"/>
                                <w:szCs w:val="21"/>
                              </w:rPr>
                            </w:pPr>
                            <w:r>
                              <w:rPr>
                                <w:rFonts w:ascii="宋体" w:hint="eastAsia"/>
                                <w:color w:val="000000"/>
                                <w:szCs w:val="21"/>
                              </w:rPr>
                              <w:t>2020年年度股东大会</w:t>
                            </w:r>
                          </w:p>
                          <w:p w:rsidR="00115BAA" w:rsidRDefault="00115BAA">
                            <w:pPr>
                              <w:spacing w:line="400" w:lineRule="exact"/>
                              <w:jc w:val="center"/>
                              <w:rPr>
                                <w:rFonts w:ascii="宋体"/>
                                <w:color w:val="000000"/>
                                <w:szCs w:val="21"/>
                              </w:rPr>
                            </w:pPr>
                            <w:r>
                              <w:rPr>
                                <w:rFonts w:ascii="宋体" w:hint="eastAsia"/>
                                <w:color w:val="000000"/>
                                <w:szCs w:val="21"/>
                              </w:rPr>
                              <w:t>文件十六　审议议案</w:t>
                            </w:r>
                          </w:p>
                          <w:p w:rsidR="00115BAA" w:rsidRDefault="00115BAA">
                            <w:pPr>
                              <w:rPr>
                                <w:szCs w:val="21"/>
                              </w:rPr>
                            </w:pPr>
                          </w:p>
                        </w:txbxContent>
                      </wps:txbx>
                      <wps:bodyPr wrap="none"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_x0000_s1042" type="#_x0000_t202" style="position:absolute;left:0;text-align:left;margin-left:-1.25pt;margin-top:0;width:112.3pt;height:46.8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">
                <v:path arrowok="t"/>
                <v:textbox>
                  <w:txbxContent>
                    <w:p w:rsidR="00115BAA" w:rsidRDefault="00115BAA">
                      <w:pPr>
                        <w:spacing w:line="400" w:lineRule="exact"/>
                        <w:jc w:val="center"/>
                        <w:rPr>
                          <w:rFonts w:ascii="宋体"/>
                          <w:color w:val="000000"/>
                          <w:szCs w:val="21"/>
                        </w:rPr>
                      </w:pPr>
                      <w:r>
                        <w:rPr>
                          <w:rFonts w:ascii="宋体" w:hint="eastAsia"/>
                          <w:color w:val="000000"/>
                          <w:szCs w:val="21"/>
                        </w:rPr>
                        <w:t>2020年年度股东大会</w:t>
                      </w:r>
                    </w:p>
                    <w:p w:rsidR="00115BAA" w:rsidRDefault="00115BAA">
                      <w:pPr>
                        <w:spacing w:line="400" w:lineRule="exact"/>
                        <w:jc w:val="center"/>
                        <w:rPr>
                          <w:rFonts w:ascii="宋体"/>
                          <w:color w:val="000000"/>
                          <w:szCs w:val="21"/>
                        </w:rPr>
                      </w:pPr>
                      <w:r>
                        <w:rPr>
                          <w:rFonts w:ascii="宋体" w:hint="eastAsia"/>
                          <w:color w:val="000000"/>
                          <w:szCs w:val="21"/>
                        </w:rPr>
                        <w:t>文件十六　审议议案</w:t>
                      </w:r>
                    </w:p>
                    <w:p w:rsidR="00115BAA" w:rsidRDefault="00115BAA">
                      <w:pPr>
                        <w:rPr>
                          <w:szCs w:val="21"/>
                        </w:rPr>
                      </w:pPr>
                    </w:p>
                  </w:txbxContent>
                </v:textbox>
                <w10:wrap type="square"/>
              </v:shape>
            </w:pict>
          </mc:Fallback>
        </mc:AlternateContent>
      </w:r>
    </w:p>
    <w:p w:rsidR="00092652" w:rsidRDefault="00092652">
      <w:pPr>
        <w:widowControl/>
        <w:spacing w:line="560" w:lineRule="exact"/>
        <w:jc w:val="center"/>
        <w:rPr>
          <w:rFonts w:ascii="黑体" w:eastAsia="黑体"/>
          <w:sz w:val="32"/>
          <w:szCs w:val="32"/>
        </w:rPr>
      </w:pPr>
    </w:p>
    <w:p w:rsidR="00092652" w:rsidRDefault="0039522B">
      <w:pPr>
        <w:widowControl/>
        <w:spacing w:line="520" w:lineRule="exact"/>
        <w:jc w:val="center"/>
        <w:rPr>
          <w:rFonts w:ascii="黑体" w:eastAsia="黑体"/>
          <w:sz w:val="32"/>
          <w:szCs w:val="32"/>
        </w:rPr>
      </w:pPr>
      <w:r>
        <w:rPr>
          <w:rFonts w:ascii="黑体" w:eastAsia="黑体" w:hint="eastAsia"/>
          <w:sz w:val="32"/>
          <w:szCs w:val="32"/>
        </w:rPr>
        <w:t>兴业银行股份有限公司</w:t>
      </w:r>
    </w:p>
    <w:p w:rsidR="00092652" w:rsidRDefault="0039522B">
      <w:pPr>
        <w:pStyle w:val="1"/>
        <w:tabs>
          <w:tab w:val="clear" w:pos="432"/>
        </w:tabs>
        <w:spacing w:before="0" w:after="0" w:line="520" w:lineRule="exact"/>
        <w:ind w:left="567" w:rightChars="290" w:right="609" w:firstLine="0"/>
        <w:rPr>
          <w:szCs w:val="32"/>
        </w:rPr>
      </w:pPr>
      <w:bookmarkStart w:id="25" w:name="_Toc72437663"/>
      <w:r>
        <w:rPr>
          <w:rFonts w:cs="黑体" w:hint="eastAsia"/>
          <w:szCs w:val="32"/>
        </w:rPr>
        <w:t>关于前次募集资金使用情况报告的议案</w:t>
      </w:r>
      <w:bookmarkEnd w:id="25"/>
    </w:p>
    <w:p w:rsidR="00092652" w:rsidRDefault="0039522B">
      <w:pPr>
        <w:overflowPunct w:val="0"/>
        <w:snapToGrid w:val="0"/>
        <w:spacing w:line="500" w:lineRule="exact"/>
        <w:jc w:val="center"/>
        <w:rPr>
          <w:rFonts w:asciiTheme="minorHAnsi" w:eastAsia="仿宋_GB2312" w:hAnsiTheme="minorHAnsi"/>
          <w:sz w:val="30"/>
          <w:szCs w:val="30"/>
        </w:rPr>
      </w:pPr>
      <w:r>
        <w:rPr>
          <w:rFonts w:asciiTheme="minorHAnsi" w:eastAsia="仿宋_GB2312" w:hAnsiTheme="minorHAnsi" w:hint="eastAsia"/>
          <w:sz w:val="30"/>
          <w:szCs w:val="30"/>
        </w:rPr>
        <w:t>报告人：赖富荣</w:t>
      </w:r>
    </w:p>
    <w:p w:rsidR="00092652" w:rsidRDefault="00092652">
      <w:pPr>
        <w:widowControl/>
        <w:jc w:val="left"/>
      </w:pPr>
    </w:p>
    <w:p w:rsidR="00092652" w:rsidRDefault="0039522B">
      <w:pPr>
        <w:overflowPunct w:val="0"/>
        <w:snapToGrid w:val="0"/>
        <w:spacing w:line="520" w:lineRule="exact"/>
        <w:rPr>
          <w:rFonts w:ascii="仿宋_GB2312" w:eastAsia="仿宋_GB2312" w:hAnsi="Calibri"/>
          <w:sz w:val="30"/>
          <w:szCs w:val="30"/>
        </w:rPr>
      </w:pPr>
      <w:r>
        <w:rPr>
          <w:rFonts w:ascii="仿宋_GB2312" w:eastAsia="仿宋_GB2312" w:hAnsi="Calibri" w:hint="eastAsia"/>
          <w:sz w:val="30"/>
          <w:szCs w:val="30"/>
        </w:rPr>
        <w:t>各位股东：</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根据中国证券监督管理委员会（以下简称“中国证监会”）《关于前次募集资金使用情况报告的规定》（证监发行字[2007]500号）规定，上市公司申请发行证券，且前次募集资金到账时间距今未满五个会计年度的，董事会应编制前次募集资金使用情况报告，</w:t>
      </w:r>
      <w:r>
        <w:rPr>
          <w:rFonts w:eastAsia="仿宋_GB2312" w:hint="eastAsia"/>
          <w:spacing w:val="-2"/>
          <w:sz w:val="30"/>
          <w:szCs w:val="30"/>
        </w:rPr>
        <w:t>就前次募集资金使用情况报告作出决议后提请股东大会批准。</w:t>
      </w:r>
      <w:r>
        <w:rPr>
          <w:rFonts w:ascii="仿宋_GB2312" w:eastAsia="仿宋_GB2312" w:hint="eastAsia"/>
          <w:sz w:val="30"/>
          <w:szCs w:val="30"/>
        </w:rPr>
        <w:t>同时，</w:t>
      </w:r>
      <w:r>
        <w:rPr>
          <w:rFonts w:eastAsia="仿宋_GB2312" w:hint="eastAsia"/>
          <w:spacing w:val="-2"/>
          <w:sz w:val="30"/>
          <w:szCs w:val="30"/>
        </w:rPr>
        <w:t>前次募集资金使用情况报告应</w:t>
      </w:r>
      <w:r>
        <w:rPr>
          <w:rFonts w:ascii="仿宋_GB2312" w:eastAsia="仿宋_GB2312" w:hint="eastAsia"/>
          <w:sz w:val="30"/>
          <w:szCs w:val="30"/>
        </w:rPr>
        <w:t>由会计师事务所出具鉴证报告。</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现将公司前次募集资金使用情况提请审议如下：</w:t>
      </w:r>
    </w:p>
    <w:p w:rsidR="00092652" w:rsidRDefault="0039522B">
      <w:pPr>
        <w:spacing w:line="520" w:lineRule="exact"/>
        <w:ind w:firstLineChars="200" w:firstLine="602"/>
        <w:rPr>
          <w:rFonts w:ascii="仿宋_GB2312" w:eastAsia="仿宋_GB2312"/>
          <w:b/>
          <w:sz w:val="30"/>
          <w:szCs w:val="30"/>
        </w:rPr>
      </w:pPr>
      <w:r>
        <w:rPr>
          <w:rFonts w:ascii="仿宋_GB2312" w:eastAsia="仿宋_GB2312" w:hint="eastAsia"/>
          <w:b/>
          <w:sz w:val="30"/>
          <w:szCs w:val="30"/>
        </w:rPr>
        <w:t>一、前次募集资金的数额和资金到位时间</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（一）</w:t>
      </w:r>
      <w:r>
        <w:rPr>
          <w:rFonts w:ascii="仿宋_GB2312" w:eastAsia="仿宋_GB2312"/>
          <w:sz w:val="30"/>
          <w:szCs w:val="30"/>
        </w:rPr>
        <w:t>2017</w:t>
      </w:r>
      <w:r>
        <w:rPr>
          <w:rFonts w:ascii="仿宋_GB2312" w:eastAsia="仿宋_GB2312" w:hint="eastAsia"/>
          <w:sz w:val="30"/>
          <w:szCs w:val="30"/>
        </w:rPr>
        <w:t>年，非公开发行A股股票</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经中国证监会《关于核准兴业银行股份有限公司非公开发行股票的批复》（证监许可[2017]407号）核准，公司向福建省财政厅、中国烟草总公司、中国烟草总公司福建省公司、中国烟草总公司广东省公司、阳光控股有限公司、福建省投资开发集团有限责任公司非公开发行1,721,854,000股人民币普通股，发行价格为15.10元/股，募集资金总额为25,999,995,400元，扣除各项发行费用105,748,295.15元，募集资金净额为25,894,247,104.85元。2017年3月31日，德勤华永会计师事务所（特殊普通合伙）出具了《关于兴业银行股份有限公司非公开发行人民币普通股（A股）新增注册资本及实收资本（股本）情况验资报告》（德师报（验）字（17）第00187号），对公司本次非</w:t>
      </w:r>
      <w:r>
        <w:rPr>
          <w:rFonts w:ascii="仿宋_GB2312" w:eastAsia="仿宋_GB2312" w:hint="eastAsia"/>
          <w:sz w:val="30"/>
          <w:szCs w:val="30"/>
        </w:rPr>
        <w:lastRenderedPageBreak/>
        <w:t>公开发行A股股票新增注册资本及实收资本（股本）情况进行了审验。</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（二）</w:t>
      </w:r>
      <w:r>
        <w:rPr>
          <w:rFonts w:ascii="仿宋_GB2312" w:eastAsia="仿宋_GB2312"/>
          <w:sz w:val="30"/>
          <w:szCs w:val="30"/>
        </w:rPr>
        <w:t>2019</w:t>
      </w:r>
      <w:r>
        <w:rPr>
          <w:rFonts w:ascii="仿宋_GB2312" w:eastAsia="仿宋_GB2312" w:hint="eastAsia"/>
          <w:sz w:val="30"/>
          <w:szCs w:val="30"/>
        </w:rPr>
        <w:t>年，非公开发行境内优先股股票</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经中国证监会《关于核准兴业银行股份有限公司非公开发行优先股的批复》（证监许可</w:t>
      </w:r>
      <w:r>
        <w:rPr>
          <w:rFonts w:ascii="仿宋_GB2312" w:eastAsia="仿宋_GB2312"/>
          <w:sz w:val="30"/>
          <w:szCs w:val="30"/>
        </w:rPr>
        <w:t>[2018]2164</w:t>
      </w:r>
      <w:r>
        <w:rPr>
          <w:rFonts w:ascii="仿宋_GB2312" w:eastAsia="仿宋_GB2312" w:hint="eastAsia"/>
          <w:sz w:val="30"/>
          <w:szCs w:val="30"/>
        </w:rPr>
        <w:t>号）核准，公司非公开发行境内优先股3</w:t>
      </w:r>
      <w:r>
        <w:rPr>
          <w:rFonts w:ascii="仿宋_GB2312" w:eastAsia="仿宋_GB2312"/>
          <w:sz w:val="30"/>
          <w:szCs w:val="30"/>
        </w:rPr>
        <w:t>0,000</w:t>
      </w:r>
      <w:r>
        <w:rPr>
          <w:rFonts w:ascii="仿宋_GB2312" w:eastAsia="仿宋_GB2312" w:hint="eastAsia"/>
          <w:sz w:val="30"/>
          <w:szCs w:val="30"/>
        </w:rPr>
        <w:t>万股，发行面值为100元/股，募集资金总额为30,000,000,000.00元，扣除各项发行费用</w:t>
      </w:r>
      <w:r>
        <w:rPr>
          <w:rFonts w:ascii="仿宋_GB2312" w:eastAsia="仿宋_GB2312"/>
          <w:sz w:val="30"/>
          <w:szCs w:val="30"/>
        </w:rPr>
        <w:t>66,988,000.00</w:t>
      </w:r>
      <w:r>
        <w:rPr>
          <w:rFonts w:ascii="仿宋_GB2312" w:eastAsia="仿宋_GB2312" w:hint="eastAsia"/>
          <w:sz w:val="30"/>
          <w:szCs w:val="30"/>
        </w:rPr>
        <w:t>元，募集资金净额为</w:t>
      </w:r>
      <w:r>
        <w:rPr>
          <w:rFonts w:ascii="仿宋_GB2312" w:eastAsia="仿宋_GB2312"/>
          <w:sz w:val="30"/>
          <w:szCs w:val="30"/>
        </w:rPr>
        <w:t>29,933,012,000.00</w:t>
      </w:r>
      <w:r>
        <w:rPr>
          <w:rFonts w:ascii="仿宋_GB2312" w:eastAsia="仿宋_GB2312" w:hint="eastAsia"/>
          <w:sz w:val="30"/>
          <w:szCs w:val="30"/>
        </w:rPr>
        <w:t>元，加上本次非公开发行境内优先股发行费用可抵扣增值税进项税额3,791,773.58元，共计29,936,803,773.58元。201</w:t>
      </w:r>
      <w:r>
        <w:rPr>
          <w:rFonts w:ascii="仿宋_GB2312" w:eastAsia="仿宋_GB2312"/>
          <w:sz w:val="30"/>
          <w:szCs w:val="30"/>
        </w:rPr>
        <w:t>9</w:t>
      </w:r>
      <w:r>
        <w:rPr>
          <w:rFonts w:ascii="仿宋_GB2312" w:eastAsia="仿宋_GB2312" w:hint="eastAsia"/>
          <w:sz w:val="30"/>
          <w:szCs w:val="30"/>
        </w:rPr>
        <w:t>年</w:t>
      </w:r>
      <w:r>
        <w:rPr>
          <w:rFonts w:ascii="仿宋_GB2312" w:eastAsia="仿宋_GB2312"/>
          <w:sz w:val="30"/>
          <w:szCs w:val="30"/>
        </w:rPr>
        <w:t>4</w:t>
      </w:r>
      <w:r>
        <w:rPr>
          <w:rFonts w:ascii="仿宋_GB2312" w:eastAsia="仿宋_GB2312" w:hint="eastAsia"/>
          <w:sz w:val="30"/>
          <w:szCs w:val="30"/>
        </w:rPr>
        <w:t>月1</w:t>
      </w:r>
      <w:r>
        <w:rPr>
          <w:rFonts w:ascii="仿宋_GB2312" w:eastAsia="仿宋_GB2312"/>
          <w:sz w:val="30"/>
          <w:szCs w:val="30"/>
        </w:rPr>
        <w:t>1</w:t>
      </w:r>
      <w:r>
        <w:rPr>
          <w:rFonts w:ascii="仿宋_GB2312" w:eastAsia="仿宋_GB2312" w:hint="eastAsia"/>
          <w:sz w:val="30"/>
          <w:szCs w:val="30"/>
        </w:rPr>
        <w:t>日，德勤华永会计师事务所（特殊普通合伙）出具《关于兴业银行股份有限公司非公开发行境内优先股募集资金实收情况验资报告》（德师报（验）字（19）第00147号），对公司本次非公开发行境内优先股募集资金的实收情况进行了审验。</w:t>
      </w:r>
    </w:p>
    <w:p w:rsidR="00092652" w:rsidRDefault="0039522B">
      <w:pPr>
        <w:spacing w:line="500" w:lineRule="exact"/>
        <w:ind w:firstLineChars="200" w:firstLine="602"/>
        <w:rPr>
          <w:rFonts w:ascii="仿宋_GB2312" w:eastAsia="仿宋_GB2312"/>
          <w:b/>
          <w:sz w:val="30"/>
          <w:szCs w:val="30"/>
        </w:rPr>
      </w:pPr>
      <w:r>
        <w:rPr>
          <w:rFonts w:ascii="仿宋_GB2312" w:eastAsia="仿宋_GB2312" w:hint="eastAsia"/>
          <w:b/>
          <w:sz w:val="30"/>
          <w:szCs w:val="30"/>
        </w:rPr>
        <w:t>二、前次募集资金的实际使用情况</w:t>
      </w:r>
    </w:p>
    <w:p w:rsidR="00092652" w:rsidRDefault="0039522B">
      <w:pPr>
        <w:spacing w:line="500" w:lineRule="exact"/>
        <w:ind w:firstLineChars="200" w:firstLine="600"/>
        <w:rPr>
          <w:rFonts w:ascii="仿宋_GB2312" w:eastAsia="仿宋_GB2312"/>
          <w:sz w:val="30"/>
          <w:szCs w:val="30"/>
        </w:rPr>
      </w:pPr>
      <w:r>
        <w:rPr>
          <w:rFonts w:ascii="仿宋_GB2312" w:eastAsia="仿宋_GB2312" w:hint="eastAsia"/>
          <w:sz w:val="30"/>
          <w:szCs w:val="30"/>
        </w:rPr>
        <w:t>公司2017年非公开发行A股股票及2019年非公开发行境内优先股股票募集资金在扣除发行费用后全部用于充实公司资本金，与发行时承诺的募集资金用途一致。公司已将上述前次募集资金的实际使用情况与公司自2017年3月以来已经公布的相关定期报告和其他信息披露文件中所披露的有关内容进行逐项对照，实际使用情况与披露的相关内容一致。</w:t>
      </w:r>
    </w:p>
    <w:p w:rsidR="00092652" w:rsidRDefault="0039522B">
      <w:pPr>
        <w:spacing w:line="500" w:lineRule="exact"/>
        <w:ind w:firstLineChars="200" w:firstLine="600"/>
        <w:rPr>
          <w:rFonts w:ascii="仿宋_GB2312" w:eastAsia="仿宋_GB2312"/>
          <w:sz w:val="30"/>
          <w:szCs w:val="30"/>
        </w:rPr>
      </w:pPr>
      <w:r>
        <w:rPr>
          <w:rFonts w:ascii="仿宋_GB2312" w:eastAsia="仿宋_GB2312" w:hint="eastAsia"/>
          <w:sz w:val="30"/>
          <w:szCs w:val="30"/>
        </w:rPr>
        <w:t>毕马威华振会计师事务所（特殊普通合伙）已对公司前次募集资金使用情况出具了《关于兴业银行股份有限公司前次募集资金使用情况报告的鉴证报告》（毕马威华振专字第2100579号）。</w:t>
      </w:r>
    </w:p>
    <w:p w:rsidR="00092652" w:rsidRDefault="0039522B">
      <w:pPr>
        <w:spacing w:line="500" w:lineRule="exact"/>
        <w:ind w:firstLineChars="200" w:firstLine="600"/>
        <w:rPr>
          <w:rFonts w:ascii="仿宋_GB2312" w:eastAsia="仿宋_GB2312"/>
          <w:sz w:val="30"/>
          <w:szCs w:val="30"/>
        </w:rPr>
      </w:pPr>
      <w:r>
        <w:rPr>
          <w:rFonts w:ascii="仿宋_GB2312" w:eastAsia="仿宋_GB2312" w:hint="eastAsia"/>
          <w:sz w:val="30"/>
          <w:szCs w:val="30"/>
        </w:rPr>
        <w:t>专此报告，请予审议。</w:t>
      </w:r>
    </w:p>
    <w:p w:rsidR="00092652" w:rsidRDefault="00092652">
      <w:pPr>
        <w:spacing w:line="520" w:lineRule="exact"/>
        <w:ind w:firstLineChars="200" w:firstLine="600"/>
        <w:rPr>
          <w:rFonts w:ascii="仿宋_GB2312" w:eastAsia="仿宋_GB2312"/>
          <w:sz w:val="30"/>
          <w:szCs w:val="30"/>
        </w:rPr>
      </w:pPr>
    </w:p>
    <w:p w:rsidR="00092652" w:rsidRDefault="0039522B">
      <w:pPr>
        <w:spacing w:line="520" w:lineRule="exact"/>
        <w:ind w:firstLineChars="200" w:firstLine="600"/>
        <w:rPr>
          <w:rFonts w:ascii="Arial" w:eastAsia="微软雅黑" w:hAnsi="Arial" w:cs="Arial"/>
          <w:kern w:val="0"/>
          <w:sz w:val="22"/>
          <w:szCs w:val="22"/>
        </w:rPr>
      </w:pPr>
      <w:r>
        <w:rPr>
          <w:rFonts w:ascii="仿宋_GB2312" w:eastAsia="仿宋_GB2312" w:hint="eastAsia"/>
          <w:sz w:val="30"/>
          <w:szCs w:val="30"/>
        </w:rPr>
        <w:t>附件：关于兴业银行股份有限公司前次募集资金使用情况报告的鉴证报告</w:t>
      </w:r>
      <w:r>
        <w:rPr>
          <w:rFonts w:ascii="仿宋_GB2312" w:eastAsia="仿宋_GB2312"/>
          <w:sz w:val="28"/>
          <w:szCs w:val="28"/>
        </w:rPr>
        <w:br w:type="page"/>
      </w:r>
    </w:p>
    <w:p w:rsidR="00092652" w:rsidRDefault="0039522B">
      <w:pPr>
        <w:widowControl/>
        <w:overflowPunct w:val="0"/>
        <w:adjustRightInd w:val="0"/>
        <w:snapToGrid w:val="0"/>
        <w:spacing w:line="260" w:lineRule="atLeast"/>
        <w:jc w:val="left"/>
        <w:rPr>
          <w:rFonts w:ascii="Arial" w:eastAsia="微软雅黑" w:hAnsi="Arial" w:cs="Arial"/>
          <w:kern w:val="0"/>
          <w:sz w:val="22"/>
          <w:szCs w:val="22"/>
        </w:rPr>
      </w:pPr>
      <w:r>
        <w:rPr>
          <w:rFonts w:ascii="仿宋_GB2312" w:eastAsia="仿宋_GB2312" w:hint="eastAsia"/>
          <w:sz w:val="30"/>
          <w:szCs w:val="30"/>
        </w:rPr>
        <w:lastRenderedPageBreak/>
        <w:t>附件</w:t>
      </w:r>
    </w:p>
    <w:p w:rsidR="00092652" w:rsidRDefault="00092652">
      <w:pPr>
        <w:widowControl/>
        <w:overflowPunct w:val="0"/>
        <w:adjustRightInd w:val="0"/>
        <w:snapToGrid w:val="0"/>
        <w:spacing w:line="260" w:lineRule="atLeast"/>
        <w:jc w:val="center"/>
        <w:rPr>
          <w:rFonts w:ascii="Arial" w:eastAsia="微软雅黑" w:hAnsi="Arial" w:cs="Arial"/>
          <w:kern w:val="0"/>
          <w:sz w:val="22"/>
          <w:szCs w:val="22"/>
        </w:rPr>
      </w:pPr>
    </w:p>
    <w:p w:rsidR="00092652" w:rsidRDefault="00092652">
      <w:pPr>
        <w:widowControl/>
        <w:overflowPunct w:val="0"/>
        <w:adjustRightInd w:val="0"/>
        <w:snapToGrid w:val="0"/>
        <w:spacing w:line="260" w:lineRule="atLeast"/>
        <w:jc w:val="center"/>
        <w:rPr>
          <w:rFonts w:ascii="Arial" w:eastAsia="微软雅黑" w:hAnsi="Arial" w:cs="Arial"/>
          <w:kern w:val="0"/>
          <w:sz w:val="22"/>
          <w:szCs w:val="22"/>
        </w:rPr>
      </w:pPr>
    </w:p>
    <w:p w:rsidR="00092652" w:rsidRDefault="00092652">
      <w:pPr>
        <w:widowControl/>
        <w:overflowPunct w:val="0"/>
        <w:adjustRightInd w:val="0"/>
        <w:snapToGrid w:val="0"/>
        <w:spacing w:line="260" w:lineRule="atLeast"/>
        <w:jc w:val="center"/>
        <w:rPr>
          <w:rFonts w:ascii="Arial" w:eastAsia="微软雅黑" w:hAnsi="Arial" w:cs="Arial"/>
          <w:kern w:val="0"/>
          <w:sz w:val="22"/>
          <w:szCs w:val="22"/>
        </w:rPr>
      </w:pPr>
    </w:p>
    <w:p w:rsidR="00092652" w:rsidRDefault="00092652">
      <w:pPr>
        <w:widowControl/>
        <w:overflowPunct w:val="0"/>
        <w:adjustRightInd w:val="0"/>
        <w:snapToGrid w:val="0"/>
        <w:spacing w:line="260" w:lineRule="atLeast"/>
        <w:jc w:val="center"/>
        <w:rPr>
          <w:rFonts w:ascii="Arial" w:eastAsia="微软雅黑" w:hAnsi="Arial" w:cs="Arial"/>
          <w:kern w:val="0"/>
          <w:sz w:val="22"/>
          <w:szCs w:val="22"/>
        </w:rPr>
      </w:pPr>
    </w:p>
    <w:p w:rsidR="00092652" w:rsidRDefault="00092652">
      <w:pPr>
        <w:widowControl/>
        <w:overflowPunct w:val="0"/>
        <w:adjustRightInd w:val="0"/>
        <w:snapToGrid w:val="0"/>
        <w:spacing w:line="260" w:lineRule="atLeast"/>
        <w:jc w:val="center"/>
        <w:rPr>
          <w:rFonts w:ascii="Arial" w:eastAsia="微软雅黑" w:hAnsi="Arial" w:cs="Arial"/>
          <w:kern w:val="0"/>
          <w:sz w:val="22"/>
          <w:szCs w:val="22"/>
        </w:rPr>
      </w:pPr>
    </w:p>
    <w:p w:rsidR="00092652" w:rsidRDefault="00092652">
      <w:pPr>
        <w:widowControl/>
        <w:overflowPunct w:val="0"/>
        <w:adjustRightInd w:val="0"/>
        <w:snapToGrid w:val="0"/>
        <w:spacing w:line="260" w:lineRule="atLeast"/>
        <w:jc w:val="center"/>
        <w:rPr>
          <w:rFonts w:ascii="Arial" w:eastAsia="微软雅黑" w:hAnsi="Arial" w:cs="Arial"/>
          <w:kern w:val="0"/>
          <w:sz w:val="22"/>
          <w:szCs w:val="22"/>
        </w:rPr>
      </w:pPr>
    </w:p>
    <w:p w:rsidR="00092652" w:rsidRDefault="00092652">
      <w:pPr>
        <w:widowControl/>
        <w:overflowPunct w:val="0"/>
        <w:adjustRightInd w:val="0"/>
        <w:snapToGrid w:val="0"/>
        <w:spacing w:line="260" w:lineRule="atLeast"/>
        <w:jc w:val="center"/>
        <w:rPr>
          <w:rFonts w:ascii="Arial" w:eastAsia="微软雅黑" w:hAnsi="Arial" w:cs="Arial"/>
          <w:kern w:val="0"/>
          <w:sz w:val="22"/>
          <w:szCs w:val="22"/>
        </w:rPr>
      </w:pPr>
    </w:p>
    <w:p w:rsidR="00092652" w:rsidRDefault="0039522B">
      <w:pPr>
        <w:widowControl/>
        <w:overflowPunct w:val="0"/>
        <w:adjustRightInd w:val="0"/>
        <w:snapToGrid w:val="0"/>
        <w:spacing w:line="260" w:lineRule="atLeast"/>
        <w:jc w:val="center"/>
        <w:rPr>
          <w:rFonts w:ascii="宋体" w:hAnsi="宋体" w:cs="Arial"/>
          <w:kern w:val="0"/>
          <w:sz w:val="28"/>
          <w:szCs w:val="28"/>
        </w:rPr>
      </w:pPr>
      <w:r>
        <w:rPr>
          <w:rFonts w:ascii="宋体" w:hAnsi="宋体" w:cs="Arial"/>
          <w:kern w:val="0"/>
          <w:sz w:val="28"/>
          <w:szCs w:val="28"/>
        </w:rPr>
        <w:t>兴业银行股份有限公司</w:t>
      </w:r>
    </w:p>
    <w:p w:rsidR="00092652" w:rsidRDefault="00092652">
      <w:pPr>
        <w:widowControl/>
        <w:overflowPunct w:val="0"/>
        <w:adjustRightInd w:val="0"/>
        <w:snapToGrid w:val="0"/>
        <w:spacing w:line="260" w:lineRule="atLeast"/>
        <w:jc w:val="center"/>
        <w:rPr>
          <w:rFonts w:ascii="宋体" w:hAnsi="宋体" w:cs="Arial"/>
          <w:kern w:val="0"/>
          <w:sz w:val="28"/>
          <w:szCs w:val="28"/>
        </w:rPr>
      </w:pPr>
    </w:p>
    <w:p w:rsidR="00092652" w:rsidRDefault="00092652">
      <w:pPr>
        <w:widowControl/>
        <w:overflowPunct w:val="0"/>
        <w:adjustRightInd w:val="0"/>
        <w:snapToGrid w:val="0"/>
        <w:spacing w:line="260" w:lineRule="atLeast"/>
        <w:jc w:val="center"/>
        <w:rPr>
          <w:rFonts w:ascii="宋体" w:hAnsi="宋体" w:cs="Arial"/>
          <w:kern w:val="0"/>
          <w:sz w:val="28"/>
          <w:szCs w:val="28"/>
        </w:rPr>
      </w:pPr>
    </w:p>
    <w:p w:rsidR="00092652" w:rsidRDefault="00092652">
      <w:pPr>
        <w:widowControl/>
        <w:overflowPunct w:val="0"/>
        <w:adjustRightInd w:val="0"/>
        <w:snapToGrid w:val="0"/>
        <w:spacing w:line="260" w:lineRule="atLeast"/>
        <w:jc w:val="center"/>
        <w:rPr>
          <w:rFonts w:ascii="宋体" w:hAnsi="宋体" w:cs="Arial"/>
          <w:kern w:val="0"/>
          <w:sz w:val="28"/>
          <w:szCs w:val="28"/>
        </w:rPr>
      </w:pPr>
    </w:p>
    <w:p w:rsidR="00092652" w:rsidRDefault="00092652">
      <w:pPr>
        <w:widowControl/>
        <w:overflowPunct w:val="0"/>
        <w:adjustRightInd w:val="0"/>
        <w:snapToGrid w:val="0"/>
        <w:spacing w:line="260" w:lineRule="atLeast"/>
        <w:jc w:val="center"/>
        <w:rPr>
          <w:rFonts w:ascii="宋体" w:hAnsi="宋体" w:cs="Arial"/>
          <w:kern w:val="0"/>
          <w:sz w:val="28"/>
          <w:szCs w:val="28"/>
        </w:rPr>
      </w:pPr>
    </w:p>
    <w:p w:rsidR="00092652" w:rsidRDefault="00092652">
      <w:pPr>
        <w:widowControl/>
        <w:overflowPunct w:val="0"/>
        <w:adjustRightInd w:val="0"/>
        <w:snapToGrid w:val="0"/>
        <w:spacing w:line="260" w:lineRule="atLeast"/>
        <w:jc w:val="center"/>
        <w:rPr>
          <w:rFonts w:ascii="宋体" w:hAnsi="宋体" w:cs="Arial"/>
          <w:kern w:val="0"/>
          <w:sz w:val="28"/>
          <w:szCs w:val="28"/>
        </w:rPr>
      </w:pPr>
    </w:p>
    <w:p w:rsidR="00092652" w:rsidRDefault="00092652">
      <w:pPr>
        <w:widowControl/>
        <w:overflowPunct w:val="0"/>
        <w:adjustRightInd w:val="0"/>
        <w:snapToGrid w:val="0"/>
        <w:spacing w:line="260" w:lineRule="atLeast"/>
        <w:jc w:val="center"/>
        <w:rPr>
          <w:rFonts w:ascii="宋体" w:hAnsi="宋体" w:cs="Arial"/>
          <w:kern w:val="0"/>
          <w:sz w:val="28"/>
          <w:szCs w:val="28"/>
        </w:rPr>
      </w:pPr>
    </w:p>
    <w:p w:rsidR="00092652" w:rsidRDefault="00092652">
      <w:pPr>
        <w:widowControl/>
        <w:overflowPunct w:val="0"/>
        <w:adjustRightInd w:val="0"/>
        <w:snapToGrid w:val="0"/>
        <w:spacing w:line="260" w:lineRule="atLeast"/>
        <w:jc w:val="center"/>
        <w:rPr>
          <w:rFonts w:ascii="宋体" w:hAnsi="宋体" w:cs="Arial"/>
          <w:kern w:val="0"/>
          <w:sz w:val="28"/>
          <w:szCs w:val="28"/>
        </w:rPr>
      </w:pPr>
    </w:p>
    <w:p w:rsidR="00092652" w:rsidRDefault="00092652">
      <w:pPr>
        <w:widowControl/>
        <w:overflowPunct w:val="0"/>
        <w:adjustRightInd w:val="0"/>
        <w:snapToGrid w:val="0"/>
        <w:spacing w:line="260" w:lineRule="atLeast"/>
        <w:jc w:val="center"/>
        <w:rPr>
          <w:rFonts w:ascii="宋体" w:hAnsi="宋体" w:cs="Arial"/>
          <w:kern w:val="0"/>
          <w:sz w:val="28"/>
          <w:szCs w:val="28"/>
        </w:rPr>
      </w:pPr>
    </w:p>
    <w:p w:rsidR="00092652" w:rsidRDefault="0039522B">
      <w:pPr>
        <w:widowControl/>
        <w:overflowPunct w:val="0"/>
        <w:adjustRightInd w:val="0"/>
        <w:snapToGrid w:val="0"/>
        <w:spacing w:line="520" w:lineRule="atLeast"/>
        <w:jc w:val="center"/>
        <w:rPr>
          <w:rFonts w:ascii="宋体" w:hAnsi="宋体" w:cs="Arial"/>
          <w:kern w:val="0"/>
          <w:sz w:val="28"/>
          <w:szCs w:val="28"/>
        </w:rPr>
      </w:pPr>
      <w:r>
        <w:rPr>
          <w:rFonts w:ascii="宋体" w:hAnsi="宋体" w:cs="Arial"/>
          <w:kern w:val="0"/>
          <w:sz w:val="28"/>
          <w:szCs w:val="28"/>
        </w:rPr>
        <w:t>截至2020年12月31日止</w:t>
      </w:r>
    </w:p>
    <w:p w:rsidR="00092652" w:rsidRDefault="0039522B">
      <w:pPr>
        <w:widowControl/>
        <w:overflowPunct w:val="0"/>
        <w:adjustRightInd w:val="0"/>
        <w:snapToGrid w:val="0"/>
        <w:spacing w:line="520" w:lineRule="atLeast"/>
        <w:jc w:val="center"/>
        <w:rPr>
          <w:rFonts w:ascii="宋体" w:hAnsi="宋体" w:cs="Arial"/>
          <w:kern w:val="0"/>
          <w:sz w:val="28"/>
          <w:szCs w:val="28"/>
        </w:rPr>
      </w:pPr>
      <w:r>
        <w:rPr>
          <w:rFonts w:ascii="宋体" w:hAnsi="宋体" w:cs="Arial"/>
          <w:kern w:val="0"/>
          <w:sz w:val="28"/>
          <w:szCs w:val="28"/>
        </w:rPr>
        <w:t>前次募集资金使用情况报告的鉴证报告</w:t>
      </w:r>
    </w:p>
    <w:p w:rsidR="00092652" w:rsidRDefault="00092652">
      <w:pPr>
        <w:widowControl/>
        <w:overflowPunct w:val="0"/>
        <w:adjustRightInd w:val="0"/>
        <w:snapToGrid w:val="0"/>
        <w:spacing w:line="260" w:lineRule="atLeast"/>
        <w:jc w:val="center"/>
        <w:rPr>
          <w:rFonts w:ascii="Arial" w:eastAsia="微软雅黑" w:hAnsi="Arial" w:cs="Arial"/>
          <w:kern w:val="0"/>
          <w:sz w:val="22"/>
          <w:szCs w:val="22"/>
        </w:rPr>
        <w:sectPr w:rsidR="00092652">
          <w:footerReference w:type="default" r:id="rId14"/>
          <w:footerReference w:type="first" r:id="rId15"/>
          <w:pgSz w:w="11907" w:h="16840"/>
          <w:pgMar w:top="1588" w:right="1418" w:bottom="1588" w:left="1418" w:header="567" w:footer="1418" w:gutter="0"/>
          <w:cols w:space="708"/>
          <w:docGrid w:linePitch="381"/>
        </w:sectPr>
      </w:pPr>
    </w:p>
    <w:p w:rsidR="00092652" w:rsidRDefault="00092652">
      <w:pPr>
        <w:widowControl/>
        <w:jc w:val="center"/>
        <w:rPr>
          <w:rFonts w:ascii="Arial" w:eastAsia="微软雅黑" w:hAnsi="Arial" w:cs="Arial"/>
          <w:kern w:val="0"/>
          <w:sz w:val="22"/>
          <w:szCs w:val="22"/>
          <w:lang w:val="en-GB"/>
        </w:rPr>
      </w:pPr>
    </w:p>
    <w:p w:rsidR="00092652" w:rsidRDefault="00092652">
      <w:pPr>
        <w:widowControl/>
        <w:jc w:val="center"/>
        <w:rPr>
          <w:rFonts w:ascii="Arial" w:eastAsia="微软雅黑" w:hAnsi="Arial" w:cs="Arial"/>
          <w:kern w:val="0"/>
          <w:sz w:val="22"/>
          <w:szCs w:val="22"/>
          <w:lang w:val="en-GB"/>
        </w:rPr>
      </w:pPr>
    </w:p>
    <w:p w:rsidR="00092652" w:rsidRDefault="00092652">
      <w:pPr>
        <w:widowControl/>
        <w:jc w:val="center"/>
        <w:rPr>
          <w:rFonts w:ascii="Arial" w:eastAsia="微软雅黑" w:hAnsi="Arial" w:cs="Arial"/>
          <w:kern w:val="0"/>
          <w:sz w:val="22"/>
          <w:szCs w:val="22"/>
          <w:lang w:val="en-GB"/>
        </w:rPr>
      </w:pPr>
    </w:p>
    <w:p w:rsidR="00092652" w:rsidRDefault="0039522B">
      <w:pPr>
        <w:widowControl/>
        <w:spacing w:line="520" w:lineRule="exact"/>
        <w:jc w:val="center"/>
        <w:rPr>
          <w:rFonts w:ascii="宋体" w:hAnsi="宋体" w:cs="Arial"/>
          <w:b/>
          <w:kern w:val="0"/>
          <w:sz w:val="28"/>
          <w:szCs w:val="28"/>
        </w:rPr>
      </w:pPr>
      <w:r>
        <w:rPr>
          <w:rFonts w:ascii="宋体" w:hAnsi="宋体" w:cs="Arial"/>
          <w:b/>
          <w:kern w:val="0"/>
          <w:sz w:val="28"/>
          <w:szCs w:val="28"/>
        </w:rPr>
        <w:t>关于兴业银行股份有限公司</w:t>
      </w:r>
    </w:p>
    <w:p w:rsidR="00092652" w:rsidRDefault="0039522B">
      <w:pPr>
        <w:widowControl/>
        <w:spacing w:line="520" w:lineRule="exact"/>
        <w:jc w:val="center"/>
        <w:rPr>
          <w:rFonts w:ascii="宋体" w:hAnsi="宋体" w:cs="Arial"/>
          <w:kern w:val="0"/>
          <w:sz w:val="28"/>
          <w:szCs w:val="28"/>
          <w:vertAlign w:val="superscript"/>
        </w:rPr>
      </w:pPr>
      <w:r>
        <w:rPr>
          <w:rFonts w:ascii="宋体" w:hAnsi="宋体" w:cs="Arial"/>
          <w:b/>
          <w:kern w:val="0"/>
          <w:sz w:val="28"/>
          <w:szCs w:val="28"/>
        </w:rPr>
        <w:t>前次募集资金使用情况报告的鉴证报告</w:t>
      </w:r>
    </w:p>
    <w:p w:rsidR="00092652" w:rsidRDefault="00092652">
      <w:pPr>
        <w:widowControl/>
        <w:jc w:val="center"/>
        <w:rPr>
          <w:rFonts w:ascii="Arial" w:eastAsia="微软雅黑" w:hAnsi="Arial" w:cs="Arial"/>
          <w:kern w:val="0"/>
          <w:sz w:val="22"/>
          <w:szCs w:val="22"/>
        </w:rPr>
      </w:pPr>
    </w:p>
    <w:p w:rsidR="00092652" w:rsidRPr="00511B34" w:rsidRDefault="0039522B">
      <w:pPr>
        <w:widowControl/>
        <w:overflowPunct w:val="0"/>
        <w:adjustRightInd w:val="0"/>
        <w:snapToGrid w:val="0"/>
        <w:jc w:val="right"/>
        <w:textAlignment w:val="baseline"/>
        <w:rPr>
          <w:rFonts w:asciiTheme="majorEastAsia" w:eastAsiaTheme="majorEastAsia" w:hAnsiTheme="majorEastAsia" w:cs="Arial"/>
          <w:color w:val="000000"/>
          <w:kern w:val="0"/>
          <w:sz w:val="24"/>
          <w:szCs w:val="24"/>
        </w:rPr>
      </w:pPr>
      <w:r w:rsidRPr="00511B34">
        <w:rPr>
          <w:rFonts w:asciiTheme="majorEastAsia" w:eastAsiaTheme="majorEastAsia" w:hAnsiTheme="majorEastAsia" w:cs="Arial" w:hint="eastAsia"/>
          <w:color w:val="000000"/>
          <w:kern w:val="0"/>
          <w:sz w:val="24"/>
          <w:szCs w:val="24"/>
        </w:rPr>
        <w:t>毕马威华振专字第</w:t>
      </w:r>
      <w:r w:rsidRPr="00511B34">
        <w:rPr>
          <w:rFonts w:asciiTheme="majorEastAsia" w:eastAsiaTheme="majorEastAsia" w:hAnsiTheme="majorEastAsia" w:cs="Arial"/>
          <w:color w:val="000000"/>
          <w:kern w:val="0"/>
          <w:sz w:val="24"/>
          <w:szCs w:val="24"/>
        </w:rPr>
        <w:t>2100579</w:t>
      </w:r>
      <w:r w:rsidRPr="00511B34">
        <w:rPr>
          <w:rFonts w:asciiTheme="majorEastAsia" w:eastAsiaTheme="majorEastAsia" w:hAnsiTheme="majorEastAsia" w:cs="Arial" w:hint="eastAsia"/>
          <w:color w:val="000000"/>
          <w:kern w:val="0"/>
          <w:sz w:val="24"/>
          <w:szCs w:val="24"/>
        </w:rPr>
        <w:t>号</w:t>
      </w:r>
    </w:p>
    <w:p w:rsidR="00092652" w:rsidRDefault="00092652">
      <w:pPr>
        <w:widowControl/>
        <w:ind w:right="-1"/>
        <w:jc w:val="right"/>
        <w:outlineLvl w:val="0"/>
        <w:rPr>
          <w:rFonts w:ascii="Arial" w:eastAsia="微软雅黑" w:hAnsi="Arial" w:cs="Arial"/>
          <w:kern w:val="0"/>
          <w:sz w:val="22"/>
          <w:szCs w:val="22"/>
        </w:rPr>
      </w:pPr>
    </w:p>
    <w:p w:rsidR="00092652" w:rsidRDefault="00092652">
      <w:pPr>
        <w:widowControl/>
        <w:jc w:val="left"/>
        <w:rPr>
          <w:rFonts w:ascii="Arial" w:eastAsia="微软雅黑" w:hAnsi="Arial" w:cs="Arial"/>
          <w:kern w:val="0"/>
          <w:sz w:val="22"/>
          <w:szCs w:val="22"/>
        </w:rPr>
      </w:pPr>
    </w:p>
    <w:p w:rsidR="00092652" w:rsidRDefault="0039522B">
      <w:pPr>
        <w:widowControl/>
        <w:spacing w:line="520" w:lineRule="exact"/>
        <w:jc w:val="left"/>
        <w:rPr>
          <w:rFonts w:ascii="宋体" w:hAnsi="宋体" w:cs="Arial"/>
          <w:kern w:val="0"/>
          <w:sz w:val="28"/>
          <w:szCs w:val="28"/>
        </w:rPr>
      </w:pPr>
      <w:r>
        <w:rPr>
          <w:rFonts w:ascii="宋体" w:hAnsi="宋体" w:cs="Arial"/>
          <w:kern w:val="0"/>
          <w:sz w:val="28"/>
          <w:szCs w:val="28"/>
        </w:rPr>
        <w:t>兴业银行股份有限公司董事会：</w:t>
      </w:r>
    </w:p>
    <w:p w:rsidR="00092652" w:rsidRDefault="0039522B">
      <w:pPr>
        <w:widowControl/>
        <w:overflowPunct w:val="0"/>
        <w:adjustRightInd w:val="0"/>
        <w:snapToGrid w:val="0"/>
        <w:spacing w:line="520" w:lineRule="exact"/>
        <w:ind w:firstLine="442"/>
        <w:textAlignment w:val="baseline"/>
        <w:rPr>
          <w:rFonts w:ascii="宋体" w:hAnsi="宋体" w:cs="Arial"/>
          <w:kern w:val="0"/>
          <w:sz w:val="28"/>
          <w:szCs w:val="28"/>
        </w:rPr>
      </w:pPr>
      <w:r>
        <w:rPr>
          <w:rFonts w:ascii="宋体" w:hAnsi="宋体" w:cs="Arial"/>
          <w:kern w:val="0"/>
          <w:sz w:val="28"/>
          <w:szCs w:val="28"/>
        </w:rPr>
        <w:t>我们接受委托，对后附的兴业银行股份有限公司(以下简称“贵行”或“兴业银行”)</w:t>
      </w:r>
      <w:bookmarkStart w:id="26" w:name="_Ref318755190"/>
      <w:r>
        <w:rPr>
          <w:rFonts w:ascii="宋体" w:hAnsi="宋体" w:cs="Arial"/>
          <w:kern w:val="0"/>
          <w:sz w:val="28"/>
          <w:szCs w:val="28"/>
        </w:rPr>
        <w:t>于2017年非公开发行A股股票及于2019年非公开发行境内优先股股票的募集资金(以下简称“前次募集资金”)截至2020年12月31日止的使用情况报告(以下简称“前次募集资金使用情况报告”)</w:t>
      </w:r>
      <w:bookmarkEnd w:id="26"/>
      <w:r>
        <w:rPr>
          <w:rFonts w:ascii="宋体" w:hAnsi="宋体" w:cs="Arial"/>
          <w:kern w:val="0"/>
          <w:sz w:val="28"/>
          <w:szCs w:val="28"/>
        </w:rPr>
        <w:t>执行了合理保证的鉴证业务，就前次募集资金使用情况报告是否在所有重大方面按照中国证券监督管理委员会颁布的《关于前次募集资金使用情况报告的规定》</w:t>
      </w:r>
      <w:r>
        <w:rPr>
          <w:rFonts w:ascii="宋体" w:hAnsi="宋体" w:cs="Arial"/>
          <w:kern w:val="0"/>
          <w:sz w:val="28"/>
          <w:szCs w:val="28"/>
          <w:lang w:val="en-GB"/>
        </w:rPr>
        <w:t>(证监发行字[2007]500号)</w:t>
      </w:r>
      <w:r>
        <w:rPr>
          <w:rFonts w:ascii="宋体" w:hAnsi="宋体" w:cs="Arial"/>
          <w:kern w:val="0"/>
          <w:sz w:val="28"/>
          <w:szCs w:val="28"/>
        </w:rPr>
        <w:t>(以下简称“《关于前次募集资金使用情况报告的规定》”)的要求编制，以及是否在所有重大方面如实反映了贵行前次募集资金截至2020年12月31日止的使用情况发表鉴证意见。</w:t>
      </w:r>
    </w:p>
    <w:p w:rsidR="00092652" w:rsidRDefault="0039522B">
      <w:pPr>
        <w:widowControl/>
        <w:overflowPunct w:val="0"/>
        <w:adjustRightInd w:val="0"/>
        <w:snapToGrid w:val="0"/>
        <w:spacing w:line="520" w:lineRule="exact"/>
        <w:ind w:firstLine="442"/>
        <w:textAlignment w:val="baseline"/>
        <w:rPr>
          <w:rFonts w:ascii="宋体" w:hAnsi="宋体" w:cs="Arial"/>
          <w:kern w:val="0"/>
          <w:sz w:val="28"/>
          <w:szCs w:val="28"/>
        </w:rPr>
      </w:pPr>
      <w:r>
        <w:rPr>
          <w:rFonts w:ascii="宋体" w:hAnsi="宋体" w:cs="Arial"/>
          <w:b/>
          <w:color w:val="000000"/>
          <w:kern w:val="0"/>
          <w:sz w:val="28"/>
          <w:szCs w:val="28"/>
        </w:rPr>
        <w:t>一、企业对前次募集资金使用情况报告的责任</w:t>
      </w:r>
    </w:p>
    <w:p w:rsidR="00092652" w:rsidRDefault="0039522B">
      <w:pPr>
        <w:widowControl/>
        <w:overflowPunct w:val="0"/>
        <w:adjustRightInd w:val="0"/>
        <w:snapToGrid w:val="0"/>
        <w:spacing w:line="520" w:lineRule="exact"/>
        <w:ind w:firstLine="442"/>
        <w:textAlignment w:val="baseline"/>
        <w:rPr>
          <w:rFonts w:ascii="宋体" w:hAnsi="宋体" w:cs="Arial"/>
          <w:kern w:val="0"/>
          <w:sz w:val="28"/>
          <w:szCs w:val="28"/>
        </w:rPr>
      </w:pPr>
      <w:r>
        <w:rPr>
          <w:rFonts w:ascii="宋体" w:hAnsi="宋体" w:cs="Arial"/>
          <w:kern w:val="0"/>
          <w:sz w:val="28"/>
          <w:szCs w:val="28"/>
        </w:rPr>
        <w:t>按照《关于前次募集资金使用情况报告的规定》的要求编制前次募集资金使用情况报告是贵行董事会的责任，这种责任包括设计、执行和维护与前次募集资金使用情况报告编制相关的内部控制，以及保证前次募集资金使用情况报告内容的真实、准确、完整，不存在虚假记载、误导性陈述或重大遗漏。</w:t>
      </w:r>
    </w:p>
    <w:p w:rsidR="00092652" w:rsidRDefault="00092652">
      <w:pPr>
        <w:widowControl/>
        <w:overflowPunct w:val="0"/>
        <w:adjustRightInd w:val="0"/>
        <w:snapToGrid w:val="0"/>
        <w:ind w:firstLine="442"/>
        <w:textAlignment w:val="baseline"/>
        <w:rPr>
          <w:rFonts w:ascii="Arial" w:eastAsia="微软雅黑" w:hAnsi="Arial" w:cs="Arial"/>
          <w:kern w:val="0"/>
          <w:sz w:val="22"/>
          <w:szCs w:val="22"/>
        </w:rPr>
      </w:pPr>
    </w:p>
    <w:p w:rsidR="00092652" w:rsidRDefault="00092652">
      <w:pPr>
        <w:widowControl/>
        <w:ind w:firstLine="567"/>
        <w:jc w:val="left"/>
        <w:rPr>
          <w:rFonts w:ascii="Arial" w:eastAsia="微软雅黑" w:hAnsi="Arial" w:cs="Arial"/>
          <w:kern w:val="0"/>
          <w:sz w:val="22"/>
          <w:szCs w:val="22"/>
        </w:rPr>
        <w:sectPr w:rsidR="00092652">
          <w:pgSz w:w="11907" w:h="16840"/>
          <w:pgMar w:top="1588" w:right="1418" w:bottom="1588" w:left="1418" w:header="567" w:footer="1418" w:gutter="0"/>
          <w:cols w:space="708"/>
          <w:titlePg/>
          <w:docGrid w:linePitch="360"/>
        </w:sectPr>
      </w:pPr>
    </w:p>
    <w:p w:rsidR="00092652" w:rsidRDefault="00092652">
      <w:pPr>
        <w:widowControl/>
        <w:jc w:val="center"/>
        <w:rPr>
          <w:rFonts w:ascii="Arial" w:eastAsia="微软雅黑" w:hAnsi="Arial" w:cs="Arial"/>
          <w:kern w:val="0"/>
          <w:sz w:val="22"/>
          <w:szCs w:val="22"/>
          <w:lang w:val="en-GB"/>
        </w:rPr>
      </w:pPr>
    </w:p>
    <w:p w:rsidR="00092652" w:rsidRDefault="0039522B">
      <w:pPr>
        <w:widowControl/>
        <w:spacing w:line="520" w:lineRule="exact"/>
        <w:jc w:val="center"/>
        <w:rPr>
          <w:rFonts w:ascii="宋体" w:hAnsi="宋体" w:cs="Arial"/>
          <w:b/>
          <w:kern w:val="0"/>
          <w:sz w:val="28"/>
          <w:szCs w:val="28"/>
        </w:rPr>
      </w:pPr>
      <w:r>
        <w:rPr>
          <w:rFonts w:ascii="宋体" w:hAnsi="宋体" w:cs="Arial"/>
          <w:b/>
          <w:kern w:val="0"/>
          <w:sz w:val="28"/>
          <w:szCs w:val="28"/>
        </w:rPr>
        <w:t>关于兴业银行股份有限公司</w:t>
      </w:r>
    </w:p>
    <w:p w:rsidR="00092652" w:rsidRDefault="0039522B">
      <w:pPr>
        <w:widowControl/>
        <w:spacing w:line="520" w:lineRule="exact"/>
        <w:jc w:val="center"/>
        <w:rPr>
          <w:rFonts w:ascii="宋体" w:hAnsi="宋体" w:cs="Arial"/>
          <w:kern w:val="0"/>
          <w:sz w:val="28"/>
          <w:szCs w:val="28"/>
          <w:vertAlign w:val="superscript"/>
        </w:rPr>
      </w:pPr>
      <w:r>
        <w:rPr>
          <w:rFonts w:ascii="宋体" w:hAnsi="宋体" w:cs="Arial"/>
          <w:b/>
          <w:kern w:val="0"/>
          <w:sz w:val="28"/>
          <w:szCs w:val="28"/>
        </w:rPr>
        <w:t>前次募集资金使用情况报告的鉴证报告(续)</w:t>
      </w:r>
    </w:p>
    <w:p w:rsidR="00092652" w:rsidRDefault="00092652">
      <w:pPr>
        <w:widowControl/>
        <w:jc w:val="center"/>
        <w:rPr>
          <w:rFonts w:ascii="Arial" w:eastAsia="微软雅黑" w:hAnsi="Arial" w:cs="Arial"/>
          <w:kern w:val="0"/>
          <w:sz w:val="22"/>
          <w:szCs w:val="22"/>
        </w:rPr>
      </w:pPr>
    </w:p>
    <w:p w:rsidR="00092652" w:rsidRPr="00511B34" w:rsidRDefault="0039522B">
      <w:pPr>
        <w:widowControl/>
        <w:overflowPunct w:val="0"/>
        <w:adjustRightInd w:val="0"/>
        <w:snapToGrid w:val="0"/>
        <w:jc w:val="right"/>
        <w:textAlignment w:val="baseline"/>
        <w:rPr>
          <w:rFonts w:asciiTheme="majorEastAsia" w:eastAsiaTheme="majorEastAsia" w:hAnsiTheme="majorEastAsia" w:cs="Arial"/>
          <w:color w:val="000000"/>
          <w:kern w:val="0"/>
          <w:sz w:val="24"/>
          <w:szCs w:val="24"/>
        </w:rPr>
      </w:pPr>
      <w:r w:rsidRPr="00511B34">
        <w:rPr>
          <w:rFonts w:asciiTheme="majorEastAsia" w:eastAsiaTheme="majorEastAsia" w:hAnsiTheme="majorEastAsia" w:cs="Arial" w:hint="eastAsia"/>
          <w:color w:val="000000"/>
          <w:kern w:val="0"/>
          <w:sz w:val="24"/>
          <w:szCs w:val="24"/>
        </w:rPr>
        <w:t>毕马威华振专字第</w:t>
      </w:r>
      <w:r w:rsidRPr="00511B34">
        <w:rPr>
          <w:rFonts w:asciiTheme="majorEastAsia" w:eastAsiaTheme="majorEastAsia" w:hAnsiTheme="majorEastAsia" w:cs="Arial"/>
          <w:color w:val="000000"/>
          <w:kern w:val="0"/>
          <w:sz w:val="24"/>
          <w:szCs w:val="24"/>
        </w:rPr>
        <w:t>2100579</w:t>
      </w:r>
      <w:r w:rsidRPr="00511B34">
        <w:rPr>
          <w:rFonts w:asciiTheme="majorEastAsia" w:eastAsiaTheme="majorEastAsia" w:hAnsiTheme="majorEastAsia" w:cs="Arial" w:hint="eastAsia"/>
          <w:color w:val="000000"/>
          <w:kern w:val="0"/>
          <w:sz w:val="24"/>
          <w:szCs w:val="24"/>
        </w:rPr>
        <w:t>号</w:t>
      </w:r>
    </w:p>
    <w:p w:rsidR="00092652" w:rsidRDefault="00092652">
      <w:pPr>
        <w:widowControl/>
        <w:jc w:val="right"/>
        <w:outlineLvl w:val="0"/>
        <w:rPr>
          <w:rFonts w:ascii="Arial" w:eastAsia="微软雅黑" w:hAnsi="Arial" w:cs="Arial"/>
          <w:kern w:val="0"/>
          <w:sz w:val="22"/>
          <w:szCs w:val="22"/>
        </w:rPr>
      </w:pPr>
    </w:p>
    <w:p w:rsidR="00092652" w:rsidRDefault="00092652">
      <w:pPr>
        <w:widowControl/>
        <w:overflowPunct w:val="0"/>
        <w:adjustRightInd w:val="0"/>
        <w:snapToGrid w:val="0"/>
        <w:ind w:firstLine="442"/>
        <w:textAlignment w:val="baseline"/>
        <w:rPr>
          <w:rFonts w:ascii="Arial" w:eastAsia="微软雅黑" w:hAnsi="Arial" w:cs="Arial"/>
          <w:kern w:val="0"/>
          <w:sz w:val="22"/>
          <w:szCs w:val="22"/>
        </w:rPr>
      </w:pPr>
    </w:p>
    <w:p w:rsidR="00092652" w:rsidRDefault="0039522B">
      <w:pPr>
        <w:widowControl/>
        <w:overflowPunct w:val="0"/>
        <w:adjustRightInd w:val="0"/>
        <w:snapToGrid w:val="0"/>
        <w:spacing w:line="520" w:lineRule="exact"/>
        <w:ind w:firstLine="442"/>
        <w:textAlignment w:val="baseline"/>
        <w:rPr>
          <w:rFonts w:ascii="宋体" w:hAnsi="宋体" w:cs="Arial"/>
          <w:kern w:val="0"/>
          <w:sz w:val="28"/>
          <w:szCs w:val="28"/>
        </w:rPr>
      </w:pPr>
      <w:r>
        <w:rPr>
          <w:rFonts w:ascii="宋体" w:hAnsi="宋体" w:cs="Arial"/>
          <w:b/>
          <w:color w:val="000000"/>
          <w:kern w:val="0"/>
          <w:sz w:val="28"/>
          <w:szCs w:val="28"/>
        </w:rPr>
        <w:t>二、注册会计师的责任</w:t>
      </w:r>
    </w:p>
    <w:p w:rsidR="00092652" w:rsidRDefault="0039522B">
      <w:pPr>
        <w:widowControl/>
        <w:overflowPunct w:val="0"/>
        <w:adjustRightInd w:val="0"/>
        <w:snapToGrid w:val="0"/>
        <w:spacing w:line="520" w:lineRule="exact"/>
        <w:ind w:firstLine="442"/>
        <w:textAlignment w:val="baseline"/>
        <w:rPr>
          <w:rFonts w:ascii="宋体" w:hAnsi="宋体" w:cs="Arial"/>
          <w:kern w:val="0"/>
          <w:sz w:val="28"/>
          <w:szCs w:val="28"/>
        </w:rPr>
      </w:pPr>
      <w:r>
        <w:rPr>
          <w:rFonts w:ascii="宋体" w:hAnsi="宋体" w:cs="Arial"/>
          <w:kern w:val="0"/>
          <w:sz w:val="28"/>
          <w:szCs w:val="28"/>
        </w:rPr>
        <w:t>我们的责任是在执行鉴证工作的基础上对前次募集资金使用情况报告发表鉴证意见。我们按照《中国注册会计师其他鉴证业务准则第3101号——历史财务信息审计或审阅以外的鉴证业务》的规定执行了鉴证工作。该准则要求我们遵守中国注册会计师职业道德守则，计划和执行鉴证工作以对前次募集资金使用情况报告是否不存在重大错报获取合理保证。</w:t>
      </w:r>
    </w:p>
    <w:p w:rsidR="00092652" w:rsidRDefault="0039522B">
      <w:pPr>
        <w:widowControl/>
        <w:overflowPunct w:val="0"/>
        <w:adjustRightInd w:val="0"/>
        <w:snapToGrid w:val="0"/>
        <w:spacing w:line="520" w:lineRule="exact"/>
        <w:ind w:firstLine="442"/>
        <w:textAlignment w:val="baseline"/>
        <w:rPr>
          <w:rFonts w:ascii="宋体" w:hAnsi="宋体" w:cs="Arial"/>
          <w:kern w:val="0"/>
          <w:sz w:val="28"/>
          <w:szCs w:val="28"/>
        </w:rPr>
      </w:pPr>
      <w:r>
        <w:rPr>
          <w:rFonts w:ascii="宋体" w:hAnsi="宋体" w:cs="Arial"/>
          <w:kern w:val="0"/>
          <w:sz w:val="28"/>
          <w:szCs w:val="28"/>
        </w:rPr>
        <w:t>鉴证工作涉及实施有关程序，以获取与前次募集资金使用情况报告是否在所有重大方面按照《关于前次募集资金使用情况报告的规定》的要求编制，以及是否在所有重大方面如实反映了贵行前次募集资金截至2020年12月31日止的使用情况相关的鉴证证据。选择的程序取决于我们的判断，包括对由于舞弊或错报导致的前次募集资金使用情况报告重大错报风险的评估。在执行鉴证工作过程中，我们实施了询问、在抽查的基础上检查支持前次募集资金使用情况报告金额和披露的证据以及我们认为必要的其他程序。</w:t>
      </w:r>
    </w:p>
    <w:p w:rsidR="00092652" w:rsidRDefault="0039522B">
      <w:pPr>
        <w:widowControl/>
        <w:overflowPunct w:val="0"/>
        <w:adjustRightInd w:val="0"/>
        <w:snapToGrid w:val="0"/>
        <w:spacing w:line="520" w:lineRule="exact"/>
        <w:ind w:firstLine="442"/>
        <w:textAlignment w:val="baseline"/>
        <w:rPr>
          <w:rFonts w:ascii="宋体" w:hAnsi="宋体" w:cs="Arial"/>
          <w:kern w:val="0"/>
          <w:sz w:val="28"/>
          <w:szCs w:val="28"/>
        </w:rPr>
      </w:pPr>
      <w:r>
        <w:rPr>
          <w:rFonts w:ascii="宋体" w:hAnsi="宋体" w:cs="Arial"/>
          <w:kern w:val="0"/>
          <w:sz w:val="28"/>
          <w:szCs w:val="28"/>
        </w:rPr>
        <w:t>我们相信，我们获取的证据是充分、适当的，为发表鉴证意见提供了基础。</w:t>
      </w:r>
    </w:p>
    <w:p w:rsidR="00092652" w:rsidRDefault="0039522B">
      <w:pPr>
        <w:widowControl/>
        <w:overflowPunct w:val="0"/>
        <w:adjustRightInd w:val="0"/>
        <w:snapToGrid w:val="0"/>
        <w:spacing w:line="520" w:lineRule="exact"/>
        <w:ind w:firstLine="442"/>
        <w:textAlignment w:val="baseline"/>
        <w:rPr>
          <w:rFonts w:ascii="宋体" w:hAnsi="宋体" w:cs="Arial"/>
          <w:kern w:val="0"/>
          <w:sz w:val="28"/>
          <w:szCs w:val="28"/>
        </w:rPr>
      </w:pPr>
      <w:r>
        <w:rPr>
          <w:rFonts w:ascii="宋体" w:hAnsi="宋体" w:cs="Arial"/>
          <w:b/>
          <w:color w:val="000000"/>
          <w:kern w:val="0"/>
          <w:sz w:val="28"/>
          <w:szCs w:val="28"/>
        </w:rPr>
        <w:t>三、鉴证意见</w:t>
      </w:r>
    </w:p>
    <w:p w:rsidR="00092652" w:rsidRDefault="0039522B">
      <w:pPr>
        <w:widowControl/>
        <w:overflowPunct w:val="0"/>
        <w:adjustRightInd w:val="0"/>
        <w:snapToGrid w:val="0"/>
        <w:spacing w:line="520" w:lineRule="exact"/>
        <w:ind w:firstLine="442"/>
        <w:textAlignment w:val="baseline"/>
        <w:rPr>
          <w:rFonts w:ascii="宋体" w:hAnsi="宋体" w:cs="Arial"/>
          <w:kern w:val="0"/>
          <w:sz w:val="28"/>
          <w:szCs w:val="28"/>
        </w:rPr>
      </w:pPr>
      <w:r>
        <w:rPr>
          <w:rFonts w:ascii="宋体" w:hAnsi="宋体" w:cs="Arial"/>
          <w:kern w:val="0"/>
          <w:sz w:val="28"/>
          <w:szCs w:val="28"/>
        </w:rPr>
        <w:t>我们认为，上述前次募集资金使用情况报告在所有重大方面按照《关于前次募集资金使用情况报告的规定》的要求编制，并在所有重大方面如实反映了贵行前次募集资金截至2020年12月31日止的使用情况。</w:t>
      </w:r>
    </w:p>
    <w:p w:rsidR="00092652" w:rsidRDefault="00092652">
      <w:pPr>
        <w:widowControl/>
        <w:overflowPunct w:val="0"/>
        <w:adjustRightInd w:val="0"/>
        <w:snapToGrid w:val="0"/>
        <w:ind w:firstLine="442"/>
        <w:textAlignment w:val="baseline"/>
        <w:rPr>
          <w:rFonts w:ascii="Arial" w:eastAsia="微软雅黑" w:hAnsi="Arial" w:cs="Arial"/>
          <w:kern w:val="0"/>
          <w:sz w:val="22"/>
          <w:szCs w:val="22"/>
        </w:rPr>
      </w:pPr>
    </w:p>
    <w:p w:rsidR="00092652" w:rsidRDefault="0039522B">
      <w:pPr>
        <w:widowControl/>
        <w:jc w:val="center"/>
        <w:rPr>
          <w:rFonts w:ascii="Arial" w:eastAsia="微软雅黑" w:hAnsi="Arial" w:cs="Arial"/>
          <w:kern w:val="0"/>
          <w:sz w:val="22"/>
          <w:szCs w:val="22"/>
        </w:rPr>
      </w:pPr>
      <w:r>
        <w:rPr>
          <w:rFonts w:ascii="Arial" w:eastAsia="微软雅黑" w:hAnsi="Arial" w:cs="Arial"/>
          <w:b/>
          <w:kern w:val="0"/>
          <w:sz w:val="22"/>
          <w:szCs w:val="22"/>
        </w:rPr>
        <w:br w:type="page"/>
      </w:r>
    </w:p>
    <w:p w:rsidR="00092652" w:rsidRDefault="00092652">
      <w:pPr>
        <w:widowControl/>
        <w:jc w:val="center"/>
        <w:rPr>
          <w:rFonts w:ascii="Arial" w:eastAsia="微软雅黑" w:hAnsi="Arial" w:cs="Arial"/>
          <w:kern w:val="0"/>
          <w:sz w:val="22"/>
          <w:szCs w:val="22"/>
        </w:rPr>
      </w:pPr>
    </w:p>
    <w:p w:rsidR="00092652" w:rsidRDefault="00092652">
      <w:pPr>
        <w:widowControl/>
        <w:jc w:val="center"/>
        <w:rPr>
          <w:rFonts w:ascii="Arial" w:eastAsia="微软雅黑" w:hAnsi="Arial" w:cs="Arial"/>
          <w:kern w:val="0"/>
          <w:sz w:val="22"/>
          <w:szCs w:val="22"/>
        </w:rPr>
      </w:pPr>
    </w:p>
    <w:p w:rsidR="00092652" w:rsidRDefault="0039522B">
      <w:pPr>
        <w:widowControl/>
        <w:spacing w:line="520" w:lineRule="exact"/>
        <w:jc w:val="center"/>
        <w:rPr>
          <w:rFonts w:ascii="宋体" w:hAnsi="宋体" w:cs="Arial"/>
          <w:b/>
          <w:kern w:val="0"/>
          <w:sz w:val="28"/>
          <w:szCs w:val="28"/>
        </w:rPr>
      </w:pPr>
      <w:r>
        <w:rPr>
          <w:rFonts w:ascii="宋体" w:hAnsi="宋体" w:cs="Arial"/>
          <w:b/>
          <w:kern w:val="0"/>
          <w:sz w:val="28"/>
          <w:szCs w:val="28"/>
        </w:rPr>
        <w:t>关于兴业银行股份有限公司</w:t>
      </w:r>
    </w:p>
    <w:p w:rsidR="00092652" w:rsidRDefault="0039522B">
      <w:pPr>
        <w:widowControl/>
        <w:spacing w:line="520" w:lineRule="exact"/>
        <w:jc w:val="center"/>
        <w:rPr>
          <w:rFonts w:ascii="宋体" w:hAnsi="宋体" w:cs="Arial"/>
          <w:kern w:val="0"/>
          <w:sz w:val="28"/>
          <w:szCs w:val="28"/>
          <w:vertAlign w:val="superscript"/>
        </w:rPr>
      </w:pPr>
      <w:r>
        <w:rPr>
          <w:rFonts w:ascii="宋体" w:hAnsi="宋体" w:cs="Arial"/>
          <w:b/>
          <w:kern w:val="0"/>
          <w:sz w:val="28"/>
          <w:szCs w:val="28"/>
        </w:rPr>
        <w:t>前次募集资金使用情况报告的鉴证报告(续)</w:t>
      </w:r>
    </w:p>
    <w:p w:rsidR="00092652" w:rsidRDefault="00092652">
      <w:pPr>
        <w:widowControl/>
        <w:jc w:val="center"/>
        <w:rPr>
          <w:rFonts w:ascii="Arial" w:eastAsia="微软雅黑" w:hAnsi="Arial" w:cs="Arial"/>
          <w:kern w:val="0"/>
          <w:sz w:val="22"/>
          <w:szCs w:val="22"/>
        </w:rPr>
      </w:pPr>
    </w:p>
    <w:p w:rsidR="00092652" w:rsidRPr="00511B34" w:rsidRDefault="0039522B">
      <w:pPr>
        <w:widowControl/>
        <w:overflowPunct w:val="0"/>
        <w:adjustRightInd w:val="0"/>
        <w:snapToGrid w:val="0"/>
        <w:jc w:val="right"/>
        <w:textAlignment w:val="baseline"/>
        <w:rPr>
          <w:rFonts w:asciiTheme="majorEastAsia" w:eastAsiaTheme="majorEastAsia" w:hAnsiTheme="majorEastAsia" w:cs="Arial"/>
          <w:color w:val="000000"/>
          <w:kern w:val="0"/>
          <w:sz w:val="24"/>
          <w:szCs w:val="24"/>
        </w:rPr>
      </w:pPr>
      <w:r w:rsidRPr="00511B34">
        <w:rPr>
          <w:rFonts w:asciiTheme="majorEastAsia" w:eastAsiaTheme="majorEastAsia" w:hAnsiTheme="majorEastAsia" w:cs="Arial" w:hint="eastAsia"/>
          <w:color w:val="000000"/>
          <w:kern w:val="0"/>
          <w:sz w:val="24"/>
          <w:szCs w:val="24"/>
        </w:rPr>
        <w:t>毕马威华振专字第</w:t>
      </w:r>
      <w:r w:rsidRPr="00511B34">
        <w:rPr>
          <w:rFonts w:asciiTheme="majorEastAsia" w:eastAsiaTheme="majorEastAsia" w:hAnsiTheme="majorEastAsia" w:cs="Arial"/>
          <w:color w:val="000000"/>
          <w:kern w:val="0"/>
          <w:sz w:val="24"/>
          <w:szCs w:val="24"/>
        </w:rPr>
        <w:t>2100579</w:t>
      </w:r>
      <w:r w:rsidRPr="00511B34">
        <w:rPr>
          <w:rFonts w:asciiTheme="majorEastAsia" w:eastAsiaTheme="majorEastAsia" w:hAnsiTheme="majorEastAsia" w:cs="Arial" w:hint="eastAsia"/>
          <w:color w:val="000000"/>
          <w:kern w:val="0"/>
          <w:sz w:val="24"/>
          <w:szCs w:val="24"/>
        </w:rPr>
        <w:t>号</w:t>
      </w:r>
    </w:p>
    <w:p w:rsidR="00092652" w:rsidRDefault="00092652">
      <w:pPr>
        <w:widowControl/>
        <w:jc w:val="right"/>
        <w:outlineLvl w:val="0"/>
        <w:rPr>
          <w:rFonts w:ascii="Arial" w:eastAsia="微软雅黑" w:hAnsi="Arial" w:cs="Arial"/>
          <w:kern w:val="0"/>
          <w:sz w:val="22"/>
          <w:szCs w:val="22"/>
        </w:rPr>
      </w:pPr>
    </w:p>
    <w:p w:rsidR="00092652" w:rsidRDefault="00092652">
      <w:pPr>
        <w:widowControl/>
        <w:jc w:val="left"/>
        <w:rPr>
          <w:rFonts w:ascii="Arial" w:eastAsia="微软雅黑" w:hAnsi="Arial" w:cs="Arial"/>
          <w:kern w:val="0"/>
          <w:sz w:val="22"/>
          <w:szCs w:val="22"/>
        </w:rPr>
      </w:pPr>
    </w:p>
    <w:p w:rsidR="00092652" w:rsidRDefault="0039522B">
      <w:pPr>
        <w:widowControl/>
        <w:overflowPunct w:val="0"/>
        <w:adjustRightInd w:val="0"/>
        <w:snapToGrid w:val="0"/>
        <w:spacing w:line="520" w:lineRule="exact"/>
        <w:ind w:firstLine="442"/>
        <w:textAlignment w:val="baseline"/>
        <w:rPr>
          <w:rFonts w:ascii="宋体" w:hAnsi="宋体" w:cs="Arial"/>
          <w:kern w:val="0"/>
          <w:sz w:val="28"/>
          <w:szCs w:val="28"/>
        </w:rPr>
      </w:pPr>
      <w:r>
        <w:rPr>
          <w:rFonts w:ascii="宋体" w:hAnsi="宋体" w:cs="Arial"/>
          <w:b/>
          <w:color w:val="000000"/>
          <w:kern w:val="0"/>
          <w:sz w:val="28"/>
          <w:szCs w:val="28"/>
        </w:rPr>
        <w:t>四、使用目的</w:t>
      </w:r>
    </w:p>
    <w:p w:rsidR="00092652" w:rsidRDefault="0039522B">
      <w:pPr>
        <w:widowControl/>
        <w:overflowPunct w:val="0"/>
        <w:adjustRightInd w:val="0"/>
        <w:snapToGrid w:val="0"/>
        <w:spacing w:line="520" w:lineRule="exact"/>
        <w:ind w:firstLine="442"/>
        <w:textAlignment w:val="baseline"/>
        <w:rPr>
          <w:rFonts w:ascii="宋体" w:hAnsi="宋体" w:cs="Arial"/>
          <w:kern w:val="0"/>
          <w:sz w:val="28"/>
          <w:szCs w:val="28"/>
        </w:rPr>
      </w:pPr>
      <w:r>
        <w:rPr>
          <w:rFonts w:ascii="宋体" w:hAnsi="宋体" w:cs="Arial"/>
          <w:kern w:val="0"/>
          <w:sz w:val="28"/>
          <w:szCs w:val="28"/>
        </w:rPr>
        <w:t>本鉴证报告仅限于兴业银行向中国证券监督管理委员会申请公开发行可转换公司债券之目的使用，未经本所书面同意，不得用于其他任何目的。</w:t>
      </w:r>
    </w:p>
    <w:p w:rsidR="00092652" w:rsidRDefault="00092652">
      <w:pPr>
        <w:widowControl/>
        <w:jc w:val="left"/>
        <w:rPr>
          <w:rFonts w:ascii="宋体" w:hAnsi="宋体" w:cs="Arial"/>
          <w:kern w:val="0"/>
          <w:sz w:val="28"/>
          <w:szCs w:val="28"/>
        </w:rPr>
      </w:pPr>
    </w:p>
    <w:p w:rsidR="00092652" w:rsidRDefault="00092652">
      <w:pPr>
        <w:widowControl/>
        <w:jc w:val="left"/>
        <w:rPr>
          <w:rFonts w:ascii="宋体" w:hAnsi="宋体" w:cs="Arial"/>
          <w:kern w:val="0"/>
          <w:sz w:val="28"/>
          <w:szCs w:val="28"/>
        </w:rPr>
      </w:pPr>
    </w:p>
    <w:p w:rsidR="00092652" w:rsidRDefault="00092652">
      <w:pPr>
        <w:widowControl/>
        <w:jc w:val="left"/>
        <w:rPr>
          <w:rFonts w:ascii="宋体" w:hAnsi="宋体" w:cs="Arial"/>
          <w:kern w:val="0"/>
          <w:sz w:val="28"/>
          <w:szCs w:val="28"/>
        </w:rPr>
      </w:pPr>
    </w:p>
    <w:p w:rsidR="00092652" w:rsidRDefault="0039522B">
      <w:pPr>
        <w:widowControl/>
        <w:tabs>
          <w:tab w:val="left" w:pos="5103"/>
        </w:tabs>
        <w:overflowPunct w:val="0"/>
        <w:adjustRightInd w:val="0"/>
        <w:snapToGrid w:val="0"/>
        <w:spacing w:line="520" w:lineRule="exact"/>
        <w:ind w:left="442"/>
        <w:textAlignment w:val="baseline"/>
        <w:rPr>
          <w:rFonts w:ascii="宋体" w:hAnsi="宋体" w:cs="Arial"/>
          <w:color w:val="000000"/>
          <w:kern w:val="0"/>
          <w:sz w:val="28"/>
          <w:szCs w:val="28"/>
        </w:rPr>
      </w:pPr>
      <w:r>
        <w:rPr>
          <w:rFonts w:ascii="宋体" w:hAnsi="宋体" w:cs="Arial"/>
          <w:color w:val="000000"/>
          <w:kern w:val="0"/>
          <w:sz w:val="28"/>
          <w:szCs w:val="28"/>
        </w:rPr>
        <w:t>毕马威华振会计师事务所(特殊普通合伙)</w:t>
      </w:r>
      <w:r>
        <w:rPr>
          <w:rFonts w:ascii="宋体" w:hAnsi="宋体" w:cs="Arial"/>
          <w:color w:val="000000"/>
          <w:kern w:val="0"/>
          <w:sz w:val="28"/>
          <w:szCs w:val="28"/>
        </w:rPr>
        <w:tab/>
        <w:t>中国注册会计师</w:t>
      </w:r>
    </w:p>
    <w:p w:rsidR="00092652" w:rsidRDefault="00092652">
      <w:pPr>
        <w:widowControl/>
        <w:tabs>
          <w:tab w:val="left" w:pos="5103"/>
        </w:tabs>
        <w:overflowPunct w:val="0"/>
        <w:adjustRightInd w:val="0"/>
        <w:snapToGrid w:val="0"/>
        <w:spacing w:line="520" w:lineRule="exact"/>
        <w:ind w:left="442"/>
        <w:textAlignment w:val="baseline"/>
        <w:rPr>
          <w:rFonts w:ascii="宋体" w:hAnsi="宋体" w:cs="Arial"/>
          <w:i/>
          <w:iCs/>
          <w:kern w:val="0"/>
          <w:sz w:val="28"/>
          <w:szCs w:val="28"/>
        </w:rPr>
      </w:pPr>
    </w:p>
    <w:p w:rsidR="00092652" w:rsidRDefault="00092652">
      <w:pPr>
        <w:widowControl/>
        <w:tabs>
          <w:tab w:val="left" w:pos="5103"/>
        </w:tabs>
        <w:overflowPunct w:val="0"/>
        <w:adjustRightInd w:val="0"/>
        <w:snapToGrid w:val="0"/>
        <w:ind w:left="444"/>
        <w:textAlignment w:val="baseline"/>
        <w:rPr>
          <w:rFonts w:ascii="宋体" w:hAnsi="宋体" w:cs="Arial"/>
          <w:kern w:val="0"/>
          <w:sz w:val="28"/>
          <w:szCs w:val="28"/>
        </w:rPr>
      </w:pPr>
    </w:p>
    <w:p w:rsidR="00092652" w:rsidRDefault="00092652">
      <w:pPr>
        <w:widowControl/>
        <w:tabs>
          <w:tab w:val="left" w:pos="5103"/>
        </w:tabs>
        <w:overflowPunct w:val="0"/>
        <w:adjustRightInd w:val="0"/>
        <w:snapToGrid w:val="0"/>
        <w:ind w:left="444"/>
        <w:textAlignment w:val="baseline"/>
        <w:rPr>
          <w:rFonts w:ascii="宋体" w:hAnsi="宋体" w:cs="Arial"/>
          <w:kern w:val="0"/>
          <w:sz w:val="28"/>
          <w:szCs w:val="28"/>
        </w:rPr>
      </w:pPr>
    </w:p>
    <w:p w:rsidR="00092652" w:rsidRDefault="00092652">
      <w:pPr>
        <w:widowControl/>
        <w:tabs>
          <w:tab w:val="left" w:pos="5103"/>
        </w:tabs>
        <w:overflowPunct w:val="0"/>
        <w:adjustRightInd w:val="0"/>
        <w:snapToGrid w:val="0"/>
        <w:ind w:left="444"/>
        <w:textAlignment w:val="baseline"/>
        <w:rPr>
          <w:rFonts w:ascii="宋体" w:hAnsi="宋体" w:cs="Arial"/>
          <w:kern w:val="0"/>
          <w:sz w:val="28"/>
          <w:szCs w:val="28"/>
        </w:rPr>
      </w:pPr>
    </w:p>
    <w:p w:rsidR="00092652" w:rsidRDefault="00092652">
      <w:pPr>
        <w:widowControl/>
        <w:tabs>
          <w:tab w:val="left" w:pos="5103"/>
        </w:tabs>
        <w:overflowPunct w:val="0"/>
        <w:adjustRightInd w:val="0"/>
        <w:snapToGrid w:val="0"/>
        <w:ind w:left="444"/>
        <w:textAlignment w:val="baseline"/>
        <w:rPr>
          <w:rFonts w:ascii="宋体" w:hAnsi="宋体" w:cs="Arial"/>
          <w:kern w:val="0"/>
          <w:sz w:val="28"/>
          <w:szCs w:val="28"/>
        </w:rPr>
      </w:pPr>
    </w:p>
    <w:p w:rsidR="00092652" w:rsidRDefault="0039522B">
      <w:pPr>
        <w:widowControl/>
        <w:tabs>
          <w:tab w:val="left" w:pos="5103"/>
        </w:tabs>
        <w:overflowPunct w:val="0"/>
        <w:adjustRightInd w:val="0"/>
        <w:snapToGrid w:val="0"/>
        <w:ind w:left="444"/>
        <w:textAlignment w:val="baseline"/>
        <w:rPr>
          <w:rFonts w:ascii="宋体" w:hAnsi="宋体" w:cs="Arial"/>
          <w:kern w:val="0"/>
          <w:sz w:val="28"/>
          <w:szCs w:val="28"/>
        </w:rPr>
      </w:pPr>
      <w:r>
        <w:rPr>
          <w:rFonts w:ascii="宋体" w:hAnsi="宋体" w:cs="Arial"/>
          <w:kern w:val="0"/>
          <w:sz w:val="28"/>
          <w:szCs w:val="28"/>
        </w:rPr>
        <w:tab/>
        <w:t>史剑</w:t>
      </w:r>
    </w:p>
    <w:p w:rsidR="00092652" w:rsidRDefault="0039522B">
      <w:pPr>
        <w:widowControl/>
        <w:tabs>
          <w:tab w:val="left" w:pos="5103"/>
        </w:tabs>
        <w:overflowPunct w:val="0"/>
        <w:adjustRightInd w:val="0"/>
        <w:snapToGrid w:val="0"/>
        <w:ind w:left="444"/>
        <w:textAlignment w:val="baseline"/>
        <w:rPr>
          <w:rFonts w:ascii="宋体" w:hAnsi="宋体" w:cs="Arial"/>
          <w:i/>
          <w:iCs/>
          <w:kern w:val="0"/>
          <w:sz w:val="28"/>
          <w:szCs w:val="28"/>
        </w:rPr>
      </w:pPr>
      <w:r>
        <w:rPr>
          <w:rFonts w:ascii="宋体" w:hAnsi="宋体" w:cs="Arial"/>
          <w:i/>
          <w:iCs/>
          <w:kern w:val="0"/>
          <w:sz w:val="28"/>
          <w:szCs w:val="28"/>
        </w:rPr>
        <w:tab/>
      </w:r>
    </w:p>
    <w:p w:rsidR="00092652" w:rsidRDefault="00092652">
      <w:pPr>
        <w:widowControl/>
        <w:tabs>
          <w:tab w:val="left" w:pos="5103"/>
        </w:tabs>
        <w:overflowPunct w:val="0"/>
        <w:adjustRightInd w:val="0"/>
        <w:snapToGrid w:val="0"/>
        <w:ind w:left="444"/>
        <w:textAlignment w:val="baseline"/>
        <w:rPr>
          <w:rFonts w:ascii="宋体" w:hAnsi="宋体" w:cs="Arial"/>
          <w:kern w:val="0"/>
          <w:sz w:val="28"/>
          <w:szCs w:val="28"/>
        </w:rPr>
      </w:pPr>
    </w:p>
    <w:p w:rsidR="00092652" w:rsidRDefault="00092652">
      <w:pPr>
        <w:widowControl/>
        <w:tabs>
          <w:tab w:val="left" w:pos="5103"/>
        </w:tabs>
        <w:overflowPunct w:val="0"/>
        <w:adjustRightInd w:val="0"/>
        <w:snapToGrid w:val="0"/>
        <w:ind w:left="444"/>
        <w:textAlignment w:val="baseline"/>
        <w:rPr>
          <w:rFonts w:ascii="宋体" w:hAnsi="宋体" w:cs="Arial"/>
          <w:kern w:val="0"/>
          <w:sz w:val="28"/>
          <w:szCs w:val="28"/>
        </w:rPr>
      </w:pPr>
    </w:p>
    <w:p w:rsidR="00092652" w:rsidRDefault="00092652">
      <w:pPr>
        <w:widowControl/>
        <w:tabs>
          <w:tab w:val="left" w:pos="5103"/>
        </w:tabs>
        <w:overflowPunct w:val="0"/>
        <w:adjustRightInd w:val="0"/>
        <w:snapToGrid w:val="0"/>
        <w:ind w:left="444"/>
        <w:textAlignment w:val="baseline"/>
        <w:rPr>
          <w:rFonts w:ascii="宋体" w:hAnsi="宋体" w:cs="Arial"/>
          <w:kern w:val="0"/>
          <w:sz w:val="28"/>
          <w:szCs w:val="28"/>
        </w:rPr>
      </w:pPr>
    </w:p>
    <w:p w:rsidR="00092652" w:rsidRDefault="00092652">
      <w:pPr>
        <w:widowControl/>
        <w:tabs>
          <w:tab w:val="left" w:pos="5103"/>
        </w:tabs>
        <w:overflowPunct w:val="0"/>
        <w:adjustRightInd w:val="0"/>
        <w:snapToGrid w:val="0"/>
        <w:ind w:left="444"/>
        <w:textAlignment w:val="baseline"/>
        <w:rPr>
          <w:rFonts w:ascii="宋体" w:hAnsi="宋体" w:cs="Arial"/>
          <w:kern w:val="0"/>
          <w:sz w:val="28"/>
          <w:szCs w:val="28"/>
        </w:rPr>
      </w:pPr>
    </w:p>
    <w:p w:rsidR="00092652" w:rsidRDefault="00092652">
      <w:pPr>
        <w:widowControl/>
        <w:tabs>
          <w:tab w:val="left" w:pos="5103"/>
        </w:tabs>
        <w:overflowPunct w:val="0"/>
        <w:adjustRightInd w:val="0"/>
        <w:snapToGrid w:val="0"/>
        <w:ind w:left="444"/>
        <w:textAlignment w:val="baseline"/>
        <w:rPr>
          <w:rFonts w:ascii="宋体" w:hAnsi="宋体" w:cs="Arial"/>
          <w:kern w:val="0"/>
          <w:sz w:val="28"/>
          <w:szCs w:val="28"/>
        </w:rPr>
      </w:pPr>
    </w:p>
    <w:p w:rsidR="00092652" w:rsidRDefault="0039522B">
      <w:pPr>
        <w:widowControl/>
        <w:tabs>
          <w:tab w:val="left" w:pos="5103"/>
        </w:tabs>
        <w:overflowPunct w:val="0"/>
        <w:adjustRightInd w:val="0"/>
        <w:snapToGrid w:val="0"/>
        <w:ind w:left="444"/>
        <w:textAlignment w:val="baseline"/>
        <w:rPr>
          <w:rFonts w:ascii="宋体" w:hAnsi="宋体" w:cs="Arial"/>
          <w:kern w:val="0"/>
          <w:sz w:val="28"/>
          <w:szCs w:val="28"/>
        </w:rPr>
      </w:pPr>
      <w:r>
        <w:rPr>
          <w:rFonts w:ascii="宋体" w:hAnsi="宋体" w:cs="Arial"/>
          <w:kern w:val="0"/>
          <w:sz w:val="28"/>
          <w:szCs w:val="28"/>
        </w:rPr>
        <w:t>中国 北京</w:t>
      </w:r>
      <w:r>
        <w:rPr>
          <w:rFonts w:ascii="宋体" w:hAnsi="宋体" w:cs="Arial"/>
          <w:kern w:val="0"/>
          <w:sz w:val="28"/>
          <w:szCs w:val="28"/>
        </w:rPr>
        <w:tab/>
        <w:t>陈思杰</w:t>
      </w:r>
    </w:p>
    <w:p w:rsidR="00092652" w:rsidRDefault="0039522B">
      <w:pPr>
        <w:widowControl/>
        <w:tabs>
          <w:tab w:val="left" w:pos="5103"/>
        </w:tabs>
        <w:overflowPunct w:val="0"/>
        <w:adjustRightInd w:val="0"/>
        <w:snapToGrid w:val="0"/>
        <w:ind w:left="444"/>
        <w:textAlignment w:val="baseline"/>
        <w:rPr>
          <w:rFonts w:ascii="宋体" w:hAnsi="宋体" w:cs="Arial"/>
          <w:kern w:val="0"/>
          <w:sz w:val="28"/>
          <w:szCs w:val="28"/>
        </w:rPr>
      </w:pPr>
      <w:r>
        <w:rPr>
          <w:rFonts w:ascii="宋体" w:hAnsi="宋体" w:cs="Arial"/>
          <w:kern w:val="0"/>
          <w:sz w:val="28"/>
          <w:szCs w:val="28"/>
        </w:rPr>
        <w:tab/>
      </w:r>
    </w:p>
    <w:p w:rsidR="00092652" w:rsidRDefault="00092652">
      <w:pPr>
        <w:widowControl/>
        <w:tabs>
          <w:tab w:val="left" w:pos="4536"/>
        </w:tabs>
        <w:overflowPunct w:val="0"/>
        <w:ind w:firstLine="567"/>
        <w:jc w:val="left"/>
        <w:rPr>
          <w:rFonts w:ascii="宋体" w:hAnsi="宋体" w:cs="Arial"/>
          <w:kern w:val="0"/>
          <w:sz w:val="28"/>
          <w:szCs w:val="28"/>
        </w:rPr>
      </w:pPr>
    </w:p>
    <w:p w:rsidR="00092652" w:rsidRDefault="0039522B">
      <w:pPr>
        <w:widowControl/>
        <w:tabs>
          <w:tab w:val="left" w:pos="5103"/>
        </w:tabs>
        <w:overflowPunct w:val="0"/>
        <w:adjustRightInd w:val="0"/>
        <w:snapToGrid w:val="0"/>
        <w:ind w:left="444"/>
        <w:textAlignment w:val="baseline"/>
        <w:rPr>
          <w:rFonts w:ascii="宋体" w:hAnsi="宋体" w:cs="Arial"/>
          <w:color w:val="000000"/>
          <w:kern w:val="0"/>
          <w:sz w:val="28"/>
          <w:szCs w:val="28"/>
        </w:rPr>
      </w:pPr>
      <w:r>
        <w:rPr>
          <w:rFonts w:ascii="宋体" w:hAnsi="宋体" w:cs="Arial"/>
          <w:color w:val="000000"/>
          <w:kern w:val="0"/>
          <w:sz w:val="28"/>
          <w:szCs w:val="28"/>
        </w:rPr>
        <w:tab/>
        <w:t>2021年</w:t>
      </w:r>
      <w:r w:rsidR="00402663">
        <w:rPr>
          <w:rFonts w:ascii="宋体" w:hAnsi="宋体" w:cs="Arial" w:hint="eastAsia"/>
          <w:color w:val="000000"/>
          <w:kern w:val="0"/>
          <w:sz w:val="28"/>
          <w:szCs w:val="28"/>
        </w:rPr>
        <w:t>5</w:t>
      </w:r>
      <w:r>
        <w:rPr>
          <w:rFonts w:ascii="宋体" w:hAnsi="宋体" w:cs="Arial"/>
          <w:color w:val="000000"/>
          <w:kern w:val="0"/>
          <w:sz w:val="28"/>
          <w:szCs w:val="28"/>
        </w:rPr>
        <w:t>月</w:t>
      </w:r>
      <w:r w:rsidR="00402663">
        <w:rPr>
          <w:rFonts w:ascii="宋体" w:hAnsi="宋体" w:cs="Arial" w:hint="eastAsia"/>
          <w:color w:val="000000"/>
          <w:kern w:val="0"/>
          <w:sz w:val="28"/>
          <w:szCs w:val="28"/>
        </w:rPr>
        <w:t>21</w:t>
      </w:r>
      <w:r>
        <w:rPr>
          <w:rFonts w:ascii="宋体" w:hAnsi="宋体" w:cs="Arial"/>
          <w:color w:val="000000"/>
          <w:kern w:val="0"/>
          <w:sz w:val="28"/>
          <w:szCs w:val="28"/>
        </w:rPr>
        <w:t>日</w:t>
      </w:r>
    </w:p>
    <w:p w:rsidR="00092652" w:rsidRDefault="00092652">
      <w:pPr>
        <w:widowControl/>
        <w:jc w:val="left"/>
        <w:rPr>
          <w:rFonts w:ascii="Arial" w:eastAsia="微软雅黑" w:hAnsi="Arial" w:cs="Arial"/>
          <w:kern w:val="0"/>
          <w:sz w:val="18"/>
          <w:szCs w:val="18"/>
        </w:rPr>
      </w:pPr>
    </w:p>
    <w:p w:rsidR="00092652" w:rsidRDefault="00092652">
      <w:pPr>
        <w:widowControl/>
        <w:tabs>
          <w:tab w:val="left" w:pos="709"/>
        </w:tabs>
        <w:ind w:left="709" w:hanging="709"/>
        <w:jc w:val="left"/>
        <w:rPr>
          <w:rFonts w:ascii="Arial" w:eastAsia="微软雅黑" w:hAnsi="Arial" w:cs="Arial"/>
          <w:kern w:val="0"/>
          <w:sz w:val="22"/>
          <w:szCs w:val="22"/>
        </w:rPr>
      </w:pPr>
    </w:p>
    <w:p w:rsidR="00092652" w:rsidRDefault="00092652">
      <w:pPr>
        <w:widowControl/>
        <w:tabs>
          <w:tab w:val="left" w:pos="709"/>
        </w:tabs>
        <w:ind w:left="709" w:hanging="709"/>
        <w:jc w:val="left"/>
        <w:rPr>
          <w:rFonts w:ascii="Arial" w:eastAsia="微软雅黑" w:hAnsi="Arial" w:cs="Arial"/>
          <w:kern w:val="0"/>
          <w:sz w:val="22"/>
          <w:szCs w:val="22"/>
        </w:rPr>
      </w:pPr>
    </w:p>
    <w:p w:rsidR="00092652" w:rsidRDefault="0039522B">
      <w:pPr>
        <w:widowControl/>
        <w:tabs>
          <w:tab w:val="left" w:pos="709"/>
        </w:tabs>
        <w:spacing w:line="520" w:lineRule="exact"/>
        <w:ind w:leftChars="50" w:left="105" w:firstLine="442"/>
        <w:jc w:val="left"/>
        <w:rPr>
          <w:rFonts w:ascii="宋体" w:hAnsi="宋体" w:cs="Arial"/>
          <w:kern w:val="0"/>
          <w:sz w:val="28"/>
          <w:szCs w:val="28"/>
        </w:rPr>
      </w:pPr>
      <w:r>
        <w:rPr>
          <w:rFonts w:ascii="宋体" w:hAnsi="宋体" w:cs="Arial"/>
          <w:kern w:val="0"/>
          <w:sz w:val="28"/>
          <w:szCs w:val="28"/>
        </w:rPr>
        <w:t>附件：兴业银行股份有限公司截至2020年12月31日止的前次募集资金使用情况报告</w:t>
      </w:r>
    </w:p>
    <w:p w:rsidR="00092652" w:rsidRDefault="00092652">
      <w:pPr>
        <w:widowControl/>
        <w:adjustRightInd w:val="0"/>
        <w:snapToGrid w:val="0"/>
        <w:jc w:val="center"/>
        <w:rPr>
          <w:rFonts w:ascii="Arial" w:eastAsia="微软雅黑" w:hAnsi="Arial" w:cs="Arial"/>
          <w:b/>
          <w:color w:val="000000"/>
          <w:kern w:val="0"/>
          <w:sz w:val="22"/>
          <w:szCs w:val="22"/>
        </w:rPr>
        <w:sectPr w:rsidR="00092652">
          <w:pgSz w:w="11907" w:h="16840"/>
          <w:pgMar w:top="1588" w:right="1418" w:bottom="1588" w:left="1418" w:header="567" w:footer="567" w:gutter="0"/>
          <w:cols w:space="708"/>
          <w:titlePg/>
          <w:docGrid w:linePitch="360"/>
        </w:sectPr>
      </w:pPr>
    </w:p>
    <w:p w:rsidR="00092652" w:rsidRDefault="0039522B">
      <w:pPr>
        <w:widowControl/>
        <w:adjustRightInd w:val="0"/>
        <w:snapToGrid w:val="0"/>
        <w:spacing w:line="520" w:lineRule="exact"/>
        <w:jc w:val="center"/>
        <w:rPr>
          <w:rFonts w:ascii="宋体" w:hAnsi="宋体" w:cs="Arial"/>
          <w:b/>
          <w:color w:val="000000"/>
          <w:kern w:val="0"/>
          <w:sz w:val="28"/>
          <w:szCs w:val="28"/>
        </w:rPr>
      </w:pPr>
      <w:r>
        <w:rPr>
          <w:rFonts w:ascii="宋体" w:hAnsi="宋体" w:cs="Arial"/>
          <w:b/>
          <w:color w:val="000000"/>
          <w:kern w:val="0"/>
          <w:sz w:val="28"/>
          <w:szCs w:val="28"/>
        </w:rPr>
        <w:lastRenderedPageBreak/>
        <w:t>兴业银行股份有限公司</w:t>
      </w:r>
    </w:p>
    <w:p w:rsidR="00092652" w:rsidRDefault="0039522B">
      <w:pPr>
        <w:widowControl/>
        <w:adjustRightInd w:val="0"/>
        <w:snapToGrid w:val="0"/>
        <w:spacing w:line="520" w:lineRule="exact"/>
        <w:jc w:val="center"/>
        <w:rPr>
          <w:rFonts w:ascii="宋体" w:hAnsi="宋体" w:cs="Arial"/>
          <w:b/>
          <w:kern w:val="0"/>
          <w:sz w:val="28"/>
          <w:szCs w:val="28"/>
        </w:rPr>
      </w:pPr>
      <w:r>
        <w:rPr>
          <w:rFonts w:ascii="宋体" w:hAnsi="宋体" w:cs="Arial"/>
          <w:b/>
          <w:color w:val="000000"/>
          <w:kern w:val="0"/>
          <w:sz w:val="28"/>
          <w:szCs w:val="28"/>
        </w:rPr>
        <w:t>截至2020年12月31日止的前次募集资金使用情况报告</w:t>
      </w:r>
    </w:p>
    <w:p w:rsidR="00092652" w:rsidRDefault="00092652">
      <w:pPr>
        <w:widowControl/>
        <w:adjustRightInd w:val="0"/>
        <w:snapToGrid w:val="0"/>
        <w:spacing w:line="520" w:lineRule="exact"/>
        <w:jc w:val="left"/>
        <w:rPr>
          <w:rFonts w:ascii="宋体" w:hAnsi="宋体" w:cs="Arial"/>
          <w:kern w:val="0"/>
          <w:sz w:val="28"/>
          <w:szCs w:val="28"/>
        </w:rPr>
      </w:pPr>
    </w:p>
    <w:p w:rsidR="00092652" w:rsidRDefault="0039522B">
      <w:pPr>
        <w:widowControl/>
        <w:adjustRightInd w:val="0"/>
        <w:snapToGrid w:val="0"/>
        <w:spacing w:line="500" w:lineRule="exact"/>
        <w:ind w:firstLine="450"/>
        <w:rPr>
          <w:rFonts w:ascii="宋体" w:hAnsi="宋体" w:cs="Arial"/>
          <w:kern w:val="0"/>
          <w:sz w:val="28"/>
          <w:szCs w:val="28"/>
        </w:rPr>
      </w:pPr>
      <w:r>
        <w:rPr>
          <w:rFonts w:ascii="宋体" w:hAnsi="宋体" w:cs="Arial"/>
          <w:kern w:val="0"/>
          <w:sz w:val="28"/>
          <w:szCs w:val="28"/>
        </w:rPr>
        <w:t>根据中国证券监督管理委员会（以下简称“中国证监会”）《关于前次募集资金使用情况报告的规定》（证监发行字〔2007〕500号）的规定，兴业银行股份有限公司（以下简称“公司”)编制了截至2020年12月31日止的前次募集资金使用情况报告。</w:t>
      </w:r>
    </w:p>
    <w:p w:rsidR="00092652" w:rsidRDefault="0039522B">
      <w:pPr>
        <w:widowControl/>
        <w:adjustRightInd w:val="0"/>
        <w:snapToGrid w:val="0"/>
        <w:spacing w:line="500" w:lineRule="exact"/>
        <w:ind w:firstLine="450"/>
        <w:jc w:val="left"/>
        <w:rPr>
          <w:rFonts w:ascii="宋体" w:hAnsi="宋体" w:cs="Arial"/>
          <w:kern w:val="0"/>
          <w:sz w:val="28"/>
          <w:szCs w:val="28"/>
        </w:rPr>
      </w:pPr>
      <w:r>
        <w:rPr>
          <w:rFonts w:ascii="宋体" w:hAnsi="宋体" w:cs="Arial"/>
          <w:kern w:val="0"/>
          <w:sz w:val="28"/>
          <w:szCs w:val="28"/>
        </w:rPr>
        <w:t>现将公司前次募集资金使用情况专项说明如下：</w:t>
      </w:r>
    </w:p>
    <w:p w:rsidR="00092652" w:rsidRDefault="0039522B">
      <w:pPr>
        <w:widowControl/>
        <w:adjustRightInd w:val="0"/>
        <w:snapToGrid w:val="0"/>
        <w:spacing w:line="500" w:lineRule="exact"/>
        <w:ind w:firstLine="450"/>
        <w:jc w:val="left"/>
        <w:rPr>
          <w:rFonts w:ascii="宋体" w:hAnsi="宋体" w:cs="Arial"/>
          <w:b/>
          <w:kern w:val="0"/>
          <w:sz w:val="28"/>
          <w:szCs w:val="28"/>
        </w:rPr>
      </w:pPr>
      <w:r>
        <w:rPr>
          <w:rFonts w:ascii="宋体" w:hAnsi="宋体" w:cs="Arial"/>
          <w:b/>
          <w:kern w:val="0"/>
          <w:sz w:val="28"/>
          <w:szCs w:val="28"/>
        </w:rPr>
        <w:t>一、前次募集资金基本情况</w:t>
      </w:r>
    </w:p>
    <w:p w:rsidR="00092652" w:rsidRDefault="0039522B">
      <w:pPr>
        <w:widowControl/>
        <w:adjustRightInd w:val="0"/>
        <w:snapToGrid w:val="0"/>
        <w:spacing w:line="500" w:lineRule="exact"/>
        <w:ind w:firstLine="426"/>
        <w:jc w:val="left"/>
        <w:rPr>
          <w:rFonts w:ascii="宋体" w:hAnsi="宋体" w:cs="Arial"/>
          <w:kern w:val="0"/>
          <w:sz w:val="28"/>
          <w:szCs w:val="28"/>
        </w:rPr>
      </w:pPr>
      <w:r>
        <w:rPr>
          <w:rFonts w:ascii="宋体" w:hAnsi="宋体" w:cs="Arial"/>
          <w:kern w:val="0"/>
          <w:sz w:val="28"/>
          <w:szCs w:val="28"/>
        </w:rPr>
        <w:t>（一）2017年非公开发行A股股票</w:t>
      </w:r>
    </w:p>
    <w:p w:rsidR="00092652" w:rsidRDefault="0039522B">
      <w:pPr>
        <w:widowControl/>
        <w:adjustRightInd w:val="0"/>
        <w:snapToGrid w:val="0"/>
        <w:spacing w:line="500" w:lineRule="exact"/>
        <w:ind w:firstLine="426"/>
        <w:rPr>
          <w:rFonts w:ascii="宋体" w:hAnsi="宋体" w:cs="Arial"/>
          <w:kern w:val="0"/>
          <w:sz w:val="28"/>
          <w:szCs w:val="28"/>
        </w:rPr>
      </w:pPr>
      <w:r>
        <w:rPr>
          <w:rFonts w:ascii="宋体" w:hAnsi="宋体" w:cs="Arial"/>
          <w:kern w:val="0"/>
          <w:sz w:val="28"/>
          <w:szCs w:val="28"/>
        </w:rPr>
        <w:t>经中国证监会《关于核准兴业银行股份有限公司非公开发行股票的批复》（证监许可[2017]407号）核准，公司向福建省财政厅、中国烟草总公司、中国烟草总公司福建省公司、中国烟草总公司广东省公司、阳光控股有限公司、福建省投资开发集团有限责任公司非公开发行1,721,854,000股人民币普通股，发行价格为人民币15.10元/股，募集资金总额为人民币25,999,995,400元，扣除各项发行费用人民币105,748,295.15元，募集资金净额为人民币25,894,247,104.85元。</w:t>
      </w:r>
    </w:p>
    <w:p w:rsidR="00092652" w:rsidRDefault="0039522B">
      <w:pPr>
        <w:widowControl/>
        <w:adjustRightInd w:val="0"/>
        <w:snapToGrid w:val="0"/>
        <w:spacing w:line="500" w:lineRule="exact"/>
        <w:ind w:firstLine="426"/>
        <w:rPr>
          <w:rFonts w:ascii="宋体" w:hAnsi="宋体" w:cs="Arial"/>
          <w:kern w:val="0"/>
          <w:sz w:val="28"/>
          <w:szCs w:val="28"/>
        </w:rPr>
      </w:pPr>
      <w:r>
        <w:rPr>
          <w:rFonts w:ascii="宋体" w:hAnsi="宋体" w:cs="Arial"/>
          <w:kern w:val="0"/>
          <w:sz w:val="28"/>
          <w:szCs w:val="28"/>
        </w:rPr>
        <w:t>上述资金已于2017年3月31日全部到账，并经由德勤华永会计师事务所（特殊普通合伙）出具《关于兴业银行股份有限公司非公开发行人民币普通股（A股）新增注册资本及实收资本（股本）情况验资报告》（德师报（验）字（17）第00187号），对公司本次非公开发行A股股票新增注册资本及实收资本（股本）情况进行了审验。</w:t>
      </w:r>
    </w:p>
    <w:p w:rsidR="00092652" w:rsidRDefault="0039522B">
      <w:pPr>
        <w:widowControl/>
        <w:adjustRightInd w:val="0"/>
        <w:snapToGrid w:val="0"/>
        <w:spacing w:line="500" w:lineRule="exact"/>
        <w:ind w:firstLine="426"/>
        <w:rPr>
          <w:rFonts w:ascii="宋体" w:hAnsi="宋体" w:cs="Arial"/>
          <w:kern w:val="0"/>
          <w:sz w:val="28"/>
          <w:szCs w:val="28"/>
        </w:rPr>
      </w:pPr>
      <w:r>
        <w:rPr>
          <w:rFonts w:ascii="宋体" w:hAnsi="宋体" w:cs="Arial"/>
          <w:kern w:val="0"/>
          <w:sz w:val="28"/>
          <w:szCs w:val="28"/>
        </w:rPr>
        <w:t>公司将前述非公开发行A股股票募集资金存放于公司总行营业部开设的募集资金专户中，账号为117010100100168432。截至2020年12月31日，存放余额为人民币零元，前述募集资金已全部使用完毕。</w:t>
      </w:r>
    </w:p>
    <w:p w:rsidR="00092652" w:rsidRDefault="0039522B">
      <w:pPr>
        <w:widowControl/>
        <w:adjustRightInd w:val="0"/>
        <w:snapToGrid w:val="0"/>
        <w:spacing w:line="500" w:lineRule="exact"/>
        <w:ind w:firstLine="426"/>
        <w:rPr>
          <w:rFonts w:ascii="宋体" w:hAnsi="宋体" w:cs="Arial"/>
          <w:kern w:val="0"/>
          <w:sz w:val="28"/>
          <w:szCs w:val="28"/>
        </w:rPr>
      </w:pPr>
      <w:r>
        <w:rPr>
          <w:rFonts w:ascii="宋体" w:hAnsi="宋体" w:cs="Arial"/>
          <w:kern w:val="0"/>
          <w:sz w:val="28"/>
          <w:szCs w:val="28"/>
        </w:rPr>
        <w:t>（二）2019年非公开发行境内优先股股票</w:t>
      </w:r>
    </w:p>
    <w:p w:rsidR="00092652" w:rsidRDefault="0039522B">
      <w:pPr>
        <w:widowControl/>
        <w:adjustRightInd w:val="0"/>
        <w:snapToGrid w:val="0"/>
        <w:spacing w:line="500" w:lineRule="exact"/>
        <w:ind w:firstLine="426"/>
        <w:rPr>
          <w:rFonts w:ascii="宋体" w:hAnsi="宋体" w:cs="Arial"/>
          <w:kern w:val="0"/>
          <w:sz w:val="28"/>
          <w:szCs w:val="28"/>
        </w:rPr>
      </w:pPr>
      <w:r>
        <w:rPr>
          <w:rFonts w:ascii="宋体" w:hAnsi="宋体" w:cs="Arial"/>
          <w:kern w:val="0"/>
          <w:sz w:val="28"/>
          <w:szCs w:val="28"/>
        </w:rPr>
        <w:lastRenderedPageBreak/>
        <w:t>经中国证监会《关于核准兴业银行股份有限公司非公开发行优先股的批复》（证监许可[2018]2164号）核准，公司非公开发行境内优先股30,000万股，发行面值为人民币100元/股，募集资金总额为人民币30,000,000,000.00元，扣除各项发行费用人民币66,988,000.00元，募集资金净额为人民币29,933,012,000.00元，加上本次非公开发行境内优先股发行费用可抵扣增值税进项税额人民币3,791,773.58元，共计人民币29,936,803,773.58元。</w:t>
      </w:r>
    </w:p>
    <w:p w:rsidR="00092652" w:rsidRDefault="0039522B">
      <w:pPr>
        <w:widowControl/>
        <w:adjustRightInd w:val="0"/>
        <w:snapToGrid w:val="0"/>
        <w:spacing w:line="500" w:lineRule="exact"/>
        <w:ind w:firstLine="426"/>
        <w:rPr>
          <w:rFonts w:ascii="宋体" w:hAnsi="宋体" w:cs="Arial"/>
          <w:kern w:val="0"/>
          <w:sz w:val="28"/>
          <w:szCs w:val="28"/>
        </w:rPr>
      </w:pPr>
      <w:r>
        <w:rPr>
          <w:rFonts w:ascii="宋体" w:hAnsi="宋体" w:cs="Arial"/>
          <w:kern w:val="0"/>
          <w:sz w:val="28"/>
          <w:szCs w:val="28"/>
        </w:rPr>
        <w:t>上述资金已于2019年4月11日全部到账，并经由德勤华永会计师事务所（特殊普通合伙）出具《关于兴业银行股份有限公司非公开发行境内优先股募集资金实收情况验资报告》（德师报（验）字（19）第00147号），对公司本次非公开发行境内优先股募集资金的实收情况进行了审验。</w:t>
      </w:r>
    </w:p>
    <w:p w:rsidR="00092652" w:rsidRDefault="0039522B">
      <w:pPr>
        <w:widowControl/>
        <w:adjustRightInd w:val="0"/>
        <w:snapToGrid w:val="0"/>
        <w:spacing w:line="500" w:lineRule="exact"/>
        <w:ind w:firstLine="426"/>
        <w:rPr>
          <w:rFonts w:ascii="宋体" w:hAnsi="宋体" w:cs="Arial"/>
          <w:kern w:val="0"/>
          <w:sz w:val="28"/>
          <w:szCs w:val="28"/>
        </w:rPr>
      </w:pPr>
      <w:r>
        <w:rPr>
          <w:rFonts w:ascii="宋体" w:hAnsi="宋体" w:cs="Arial"/>
          <w:kern w:val="0"/>
          <w:sz w:val="28"/>
          <w:szCs w:val="28"/>
        </w:rPr>
        <w:t>公司将前述非公开发行境内优先股募集资金存放于公司总行营业部开设的募集资金专户中，账号为117010100100168432。截至2020年12月31日，存放余额为人民币零元，前述募集资金已全部使用完毕。</w:t>
      </w:r>
    </w:p>
    <w:p w:rsidR="00092652" w:rsidRDefault="0039522B">
      <w:pPr>
        <w:widowControl/>
        <w:adjustRightInd w:val="0"/>
        <w:snapToGrid w:val="0"/>
        <w:spacing w:line="500" w:lineRule="exact"/>
        <w:ind w:firstLine="450"/>
        <w:jc w:val="left"/>
        <w:rPr>
          <w:rFonts w:ascii="宋体" w:hAnsi="宋体" w:cs="Arial"/>
          <w:b/>
          <w:kern w:val="0"/>
          <w:sz w:val="28"/>
          <w:szCs w:val="28"/>
        </w:rPr>
      </w:pPr>
      <w:r>
        <w:rPr>
          <w:rFonts w:ascii="宋体" w:hAnsi="宋体" w:cs="Arial"/>
          <w:b/>
          <w:kern w:val="0"/>
          <w:sz w:val="28"/>
          <w:szCs w:val="28"/>
        </w:rPr>
        <w:t>二、前次募集资金的实际使用情况</w:t>
      </w:r>
    </w:p>
    <w:p w:rsidR="00092652" w:rsidRDefault="0039522B">
      <w:pPr>
        <w:widowControl/>
        <w:adjustRightInd w:val="0"/>
        <w:snapToGrid w:val="0"/>
        <w:spacing w:line="500" w:lineRule="exact"/>
        <w:ind w:firstLine="426"/>
        <w:jc w:val="left"/>
        <w:rPr>
          <w:rFonts w:ascii="宋体" w:hAnsi="宋体" w:cs="Arial"/>
          <w:kern w:val="0"/>
          <w:sz w:val="28"/>
          <w:szCs w:val="28"/>
        </w:rPr>
      </w:pPr>
      <w:r>
        <w:rPr>
          <w:rFonts w:ascii="宋体" w:hAnsi="宋体" w:cs="Arial"/>
          <w:kern w:val="0"/>
          <w:sz w:val="28"/>
          <w:szCs w:val="28"/>
        </w:rPr>
        <w:t>（一）2017年非公开发行A股股票</w:t>
      </w:r>
    </w:p>
    <w:p w:rsidR="00092652" w:rsidRDefault="0039522B">
      <w:pPr>
        <w:widowControl/>
        <w:adjustRightInd w:val="0"/>
        <w:snapToGrid w:val="0"/>
        <w:spacing w:line="500" w:lineRule="exact"/>
        <w:ind w:firstLine="450"/>
        <w:rPr>
          <w:rFonts w:ascii="宋体" w:hAnsi="宋体" w:cs="Arial"/>
          <w:b/>
          <w:kern w:val="0"/>
          <w:sz w:val="28"/>
          <w:szCs w:val="28"/>
        </w:rPr>
      </w:pPr>
      <w:r>
        <w:rPr>
          <w:rFonts w:ascii="宋体" w:hAnsi="宋体" w:cs="Arial"/>
          <w:kern w:val="0"/>
          <w:sz w:val="28"/>
          <w:szCs w:val="28"/>
        </w:rPr>
        <w:t>截至2020年12月31日，公司2017年非公开发行A股股票募集资金在扣除发行费用后的净额共计人民币25,894,247,104.85元，全部用于补充公司核心一级资本，与公司非公开发行A股股票时承诺的募集资金用途一致。截至2020年12月31日，前次募集资金实际使用情况详见本报告附表《前次募集资金使用情况对照表》。</w:t>
      </w:r>
    </w:p>
    <w:p w:rsidR="00092652" w:rsidRDefault="0039522B">
      <w:pPr>
        <w:widowControl/>
        <w:adjustRightInd w:val="0"/>
        <w:snapToGrid w:val="0"/>
        <w:spacing w:line="500" w:lineRule="exact"/>
        <w:ind w:firstLine="426"/>
        <w:rPr>
          <w:rFonts w:ascii="宋体" w:hAnsi="宋体" w:cs="Arial"/>
          <w:kern w:val="0"/>
          <w:sz w:val="28"/>
          <w:szCs w:val="28"/>
        </w:rPr>
      </w:pPr>
      <w:r>
        <w:rPr>
          <w:rFonts w:ascii="宋体" w:hAnsi="宋体" w:cs="Arial"/>
          <w:kern w:val="0"/>
          <w:sz w:val="28"/>
          <w:szCs w:val="28"/>
        </w:rPr>
        <w:t>（二）2019年非公开发行境内优先股股票</w:t>
      </w:r>
    </w:p>
    <w:p w:rsidR="00092652" w:rsidRDefault="0039522B">
      <w:pPr>
        <w:widowControl/>
        <w:adjustRightInd w:val="0"/>
        <w:snapToGrid w:val="0"/>
        <w:spacing w:line="500" w:lineRule="exact"/>
        <w:ind w:firstLineChars="200" w:firstLine="560"/>
        <w:jc w:val="left"/>
        <w:rPr>
          <w:rFonts w:ascii="宋体" w:hAnsi="宋体" w:cs="Arial"/>
          <w:b/>
          <w:kern w:val="0"/>
          <w:sz w:val="28"/>
          <w:szCs w:val="28"/>
        </w:rPr>
      </w:pPr>
      <w:r>
        <w:rPr>
          <w:rFonts w:ascii="宋体" w:hAnsi="宋体" w:cs="Arial"/>
          <w:kern w:val="0"/>
          <w:sz w:val="28"/>
          <w:szCs w:val="28"/>
        </w:rPr>
        <w:t>截至2020年12月31日，公司2019年非公开发行境内优先股股票募集资金在扣除发行费用后的净额共计人民币29,933,012,000.00元，实际募集资金净额加上本次非公开发行境内优先股发行费用可抵</w:t>
      </w:r>
      <w:r>
        <w:rPr>
          <w:rFonts w:ascii="宋体" w:hAnsi="宋体" w:cs="Arial"/>
          <w:kern w:val="0"/>
          <w:sz w:val="28"/>
          <w:szCs w:val="28"/>
        </w:rPr>
        <w:lastRenderedPageBreak/>
        <w:t>扣增值税进项税额人民币3,791,773.58元，共计人民币29,936,803,773.58元，全部用于补充公司其他一级资本，与公司非公开发行境内优先股股票时承诺的募集资金用途一致。截至2020年12月31日，前次募集资金实际使用情况详见本报告附表《前次募集资金使用情况对照表》。</w:t>
      </w:r>
    </w:p>
    <w:p w:rsidR="00092652" w:rsidRDefault="0039522B">
      <w:pPr>
        <w:widowControl/>
        <w:adjustRightInd w:val="0"/>
        <w:snapToGrid w:val="0"/>
        <w:spacing w:line="500" w:lineRule="exact"/>
        <w:ind w:firstLine="450"/>
        <w:jc w:val="left"/>
        <w:rPr>
          <w:rFonts w:ascii="宋体" w:hAnsi="宋体" w:cs="Arial"/>
          <w:kern w:val="0"/>
          <w:sz w:val="28"/>
          <w:szCs w:val="28"/>
        </w:rPr>
      </w:pPr>
      <w:r>
        <w:rPr>
          <w:rFonts w:ascii="宋体" w:hAnsi="宋体" w:cs="Arial"/>
          <w:b/>
          <w:kern w:val="0"/>
          <w:sz w:val="28"/>
          <w:szCs w:val="28"/>
        </w:rPr>
        <w:t>三、前次募集资金投资项目产生的经济效益情况</w:t>
      </w:r>
    </w:p>
    <w:p w:rsidR="00092652" w:rsidRDefault="0039522B">
      <w:pPr>
        <w:widowControl/>
        <w:adjustRightInd w:val="0"/>
        <w:snapToGrid w:val="0"/>
        <w:spacing w:line="500" w:lineRule="exact"/>
        <w:ind w:firstLine="450"/>
        <w:rPr>
          <w:rFonts w:ascii="宋体" w:hAnsi="宋体" w:cs="Arial"/>
          <w:kern w:val="0"/>
          <w:sz w:val="28"/>
          <w:szCs w:val="28"/>
        </w:rPr>
      </w:pPr>
      <w:r>
        <w:rPr>
          <w:rFonts w:ascii="宋体" w:hAnsi="宋体" w:cs="Arial"/>
          <w:kern w:val="0"/>
          <w:sz w:val="28"/>
          <w:szCs w:val="28"/>
        </w:rPr>
        <w:t>由于银行业务的特殊性，公司2017年非公开发行A股股票及2019年非公开发行境内优先股股票募集资金在扣除发行费用后全部用于充实公司资本金，其实现效益无法独立核算。公司募集资金用于充实资本金后，资本充足水平获得提高。</w:t>
      </w:r>
    </w:p>
    <w:p w:rsidR="00092652" w:rsidRDefault="0039522B">
      <w:pPr>
        <w:widowControl/>
        <w:adjustRightInd w:val="0"/>
        <w:snapToGrid w:val="0"/>
        <w:spacing w:line="500" w:lineRule="exact"/>
        <w:ind w:firstLine="450"/>
        <w:jc w:val="left"/>
        <w:rPr>
          <w:rFonts w:ascii="宋体" w:hAnsi="宋体" w:cs="Arial"/>
          <w:kern w:val="0"/>
          <w:sz w:val="28"/>
          <w:szCs w:val="28"/>
        </w:rPr>
      </w:pPr>
      <w:r>
        <w:rPr>
          <w:rFonts w:ascii="宋体" w:hAnsi="宋体" w:cs="Arial"/>
          <w:b/>
          <w:kern w:val="0"/>
          <w:sz w:val="28"/>
          <w:szCs w:val="28"/>
        </w:rPr>
        <w:t>四、前次募集资金使用情况与公司定期报告已披露信息的比较</w:t>
      </w:r>
    </w:p>
    <w:p w:rsidR="00092652" w:rsidRDefault="0039522B">
      <w:pPr>
        <w:widowControl/>
        <w:adjustRightInd w:val="0"/>
        <w:snapToGrid w:val="0"/>
        <w:spacing w:line="500" w:lineRule="exact"/>
        <w:ind w:firstLine="450"/>
        <w:rPr>
          <w:rFonts w:ascii="宋体" w:hAnsi="宋体" w:cs="Arial"/>
          <w:b/>
          <w:kern w:val="0"/>
          <w:sz w:val="28"/>
          <w:szCs w:val="28"/>
        </w:rPr>
      </w:pPr>
      <w:r>
        <w:rPr>
          <w:rFonts w:ascii="宋体" w:hAnsi="宋体" w:cs="Arial"/>
          <w:kern w:val="0"/>
          <w:sz w:val="28"/>
          <w:szCs w:val="28"/>
        </w:rPr>
        <w:t>公司已将上述前次募集资金的实际使用情况与公司自2017年3月以来已经公布的相关定期报告和其他信息披露文件中所披露的有关内容进行逐项对照，实际使用情况与披露的相关内容一致。</w:t>
      </w:r>
    </w:p>
    <w:p w:rsidR="00092652" w:rsidRDefault="0039522B">
      <w:pPr>
        <w:widowControl/>
        <w:adjustRightInd w:val="0"/>
        <w:snapToGrid w:val="0"/>
        <w:spacing w:line="500" w:lineRule="exact"/>
        <w:ind w:firstLine="450"/>
        <w:jc w:val="left"/>
        <w:rPr>
          <w:rFonts w:ascii="宋体" w:hAnsi="宋体" w:cs="Arial"/>
          <w:kern w:val="0"/>
          <w:sz w:val="28"/>
          <w:szCs w:val="28"/>
        </w:rPr>
      </w:pPr>
      <w:r>
        <w:rPr>
          <w:rFonts w:ascii="宋体" w:hAnsi="宋体" w:cs="Arial"/>
          <w:b/>
          <w:kern w:val="0"/>
          <w:sz w:val="28"/>
          <w:szCs w:val="28"/>
        </w:rPr>
        <w:t>五、结论</w:t>
      </w:r>
    </w:p>
    <w:p w:rsidR="00092652" w:rsidRDefault="0039522B">
      <w:pPr>
        <w:widowControl/>
        <w:adjustRightInd w:val="0"/>
        <w:snapToGrid w:val="0"/>
        <w:spacing w:line="500" w:lineRule="exact"/>
        <w:ind w:firstLine="450"/>
        <w:rPr>
          <w:rFonts w:ascii="宋体" w:hAnsi="宋体" w:cs="Arial"/>
          <w:kern w:val="0"/>
          <w:sz w:val="28"/>
          <w:szCs w:val="28"/>
        </w:rPr>
      </w:pPr>
      <w:r>
        <w:rPr>
          <w:rFonts w:ascii="宋体" w:hAnsi="宋体" w:cs="Arial"/>
          <w:kern w:val="0"/>
          <w:sz w:val="28"/>
          <w:szCs w:val="28"/>
        </w:rPr>
        <w:t>公司已按非公开发行A股股票及非公开发行境内优先股股票时承诺的募集资金用途使用了前次募集资金。公司对前次募集资金的投向和进展情况均如实履行了披露义务。本报告按照中国证监会颁布的《关于前次募集资金使用情况报告的规定》（证监发行字[2007]500号）的要求编制。</w:t>
      </w:r>
    </w:p>
    <w:p w:rsidR="00092652" w:rsidRDefault="0039522B">
      <w:pPr>
        <w:widowControl/>
        <w:adjustRightInd w:val="0"/>
        <w:snapToGrid w:val="0"/>
        <w:spacing w:line="500" w:lineRule="exact"/>
        <w:ind w:firstLine="450"/>
        <w:rPr>
          <w:rFonts w:ascii="宋体" w:hAnsi="宋体" w:cs="Arial"/>
          <w:kern w:val="0"/>
          <w:sz w:val="28"/>
          <w:szCs w:val="28"/>
        </w:rPr>
      </w:pPr>
      <w:r>
        <w:rPr>
          <w:rFonts w:ascii="宋体" w:hAnsi="宋体" w:cs="Arial"/>
          <w:kern w:val="0"/>
          <w:sz w:val="28"/>
          <w:szCs w:val="28"/>
        </w:rPr>
        <w:t>公司全体董事承诺本报告不存在虚假记载、误导性陈述或重大遗漏，并对其真实性、准确性、完整性承担个别和连带的法律责任。</w:t>
      </w:r>
    </w:p>
    <w:p w:rsidR="00092652" w:rsidRDefault="00092652">
      <w:pPr>
        <w:widowControl/>
        <w:adjustRightInd w:val="0"/>
        <w:snapToGrid w:val="0"/>
        <w:spacing w:line="500" w:lineRule="exact"/>
        <w:jc w:val="left"/>
        <w:rPr>
          <w:rFonts w:ascii="宋体" w:hAnsi="宋体" w:cs="Arial"/>
          <w:kern w:val="0"/>
          <w:sz w:val="28"/>
          <w:szCs w:val="28"/>
        </w:rPr>
      </w:pPr>
    </w:p>
    <w:p w:rsidR="00092652" w:rsidRDefault="00092652">
      <w:pPr>
        <w:widowControl/>
        <w:adjustRightInd w:val="0"/>
        <w:snapToGrid w:val="0"/>
        <w:spacing w:line="500" w:lineRule="exact"/>
        <w:jc w:val="left"/>
        <w:rPr>
          <w:rFonts w:ascii="宋体" w:hAnsi="宋体" w:cs="Arial"/>
          <w:kern w:val="0"/>
          <w:sz w:val="28"/>
          <w:szCs w:val="28"/>
        </w:rPr>
      </w:pPr>
    </w:p>
    <w:p w:rsidR="00092652" w:rsidRDefault="0039522B">
      <w:pPr>
        <w:widowControl/>
        <w:adjustRightInd w:val="0"/>
        <w:snapToGrid w:val="0"/>
        <w:spacing w:line="500" w:lineRule="exact"/>
        <w:jc w:val="right"/>
        <w:rPr>
          <w:rFonts w:ascii="宋体" w:hAnsi="宋体" w:cs="Arial"/>
          <w:kern w:val="0"/>
          <w:sz w:val="28"/>
          <w:szCs w:val="28"/>
        </w:rPr>
      </w:pPr>
      <w:r>
        <w:rPr>
          <w:rFonts w:ascii="宋体" w:hAnsi="宋体" w:cs="Arial"/>
          <w:kern w:val="0"/>
          <w:sz w:val="28"/>
          <w:szCs w:val="28"/>
        </w:rPr>
        <w:t>兴业</w:t>
      </w:r>
      <w:r>
        <w:rPr>
          <w:rFonts w:ascii="宋体" w:hAnsi="宋体" w:cs="Arial" w:hint="eastAsia"/>
          <w:kern w:val="0"/>
          <w:sz w:val="28"/>
          <w:szCs w:val="28"/>
        </w:rPr>
        <w:t>银行</w:t>
      </w:r>
      <w:r>
        <w:rPr>
          <w:rFonts w:ascii="宋体" w:hAnsi="宋体" w:cs="Arial"/>
          <w:kern w:val="0"/>
          <w:sz w:val="28"/>
          <w:szCs w:val="28"/>
        </w:rPr>
        <w:t>股份有限公司董事会</w:t>
      </w:r>
    </w:p>
    <w:p w:rsidR="00092652" w:rsidRDefault="0039522B">
      <w:pPr>
        <w:widowControl/>
        <w:adjustRightInd w:val="0"/>
        <w:snapToGrid w:val="0"/>
        <w:spacing w:line="500" w:lineRule="exact"/>
        <w:jc w:val="right"/>
        <w:rPr>
          <w:rFonts w:ascii="宋体" w:hAnsi="宋体" w:cs="Arial"/>
          <w:b/>
          <w:bCs/>
          <w:kern w:val="0"/>
          <w:sz w:val="28"/>
          <w:szCs w:val="28"/>
        </w:rPr>
      </w:pPr>
      <w:r>
        <w:rPr>
          <w:rFonts w:ascii="宋体" w:hAnsi="宋体" w:cs="Arial"/>
          <w:kern w:val="0"/>
          <w:sz w:val="28"/>
          <w:szCs w:val="28"/>
        </w:rPr>
        <w:t>2021</w:t>
      </w:r>
      <w:r w:rsidR="00402663">
        <w:rPr>
          <w:rFonts w:ascii="宋体" w:hAnsi="宋体" w:cs="Arial"/>
          <w:kern w:val="0"/>
          <w:sz w:val="28"/>
          <w:szCs w:val="28"/>
        </w:rPr>
        <w:t>年</w:t>
      </w:r>
      <w:r w:rsidR="00402663">
        <w:rPr>
          <w:rFonts w:ascii="宋体" w:hAnsi="宋体" w:cs="Arial" w:hint="eastAsia"/>
          <w:kern w:val="0"/>
          <w:sz w:val="28"/>
          <w:szCs w:val="28"/>
        </w:rPr>
        <w:t>5</w:t>
      </w:r>
      <w:r>
        <w:rPr>
          <w:rFonts w:ascii="宋体" w:hAnsi="宋体" w:cs="Arial"/>
          <w:kern w:val="0"/>
          <w:sz w:val="28"/>
          <w:szCs w:val="28"/>
        </w:rPr>
        <w:t>月</w:t>
      </w:r>
      <w:r w:rsidR="00402663">
        <w:rPr>
          <w:rFonts w:ascii="宋体" w:hAnsi="宋体" w:cs="Arial" w:hint="eastAsia"/>
          <w:kern w:val="0"/>
          <w:sz w:val="28"/>
          <w:szCs w:val="28"/>
        </w:rPr>
        <w:t>21</w:t>
      </w:r>
      <w:r>
        <w:rPr>
          <w:rFonts w:ascii="宋体" w:hAnsi="宋体" w:cs="Arial"/>
          <w:kern w:val="0"/>
          <w:sz w:val="28"/>
          <w:szCs w:val="28"/>
        </w:rPr>
        <w:t>日</w:t>
      </w:r>
    </w:p>
    <w:p w:rsidR="00092652" w:rsidRDefault="0039522B">
      <w:pPr>
        <w:widowControl/>
        <w:tabs>
          <w:tab w:val="left" w:pos="200"/>
          <w:tab w:val="right" w:pos="9071"/>
        </w:tabs>
        <w:adjustRightInd w:val="0"/>
        <w:snapToGrid w:val="0"/>
        <w:spacing w:line="500" w:lineRule="exact"/>
        <w:jc w:val="left"/>
        <w:rPr>
          <w:rFonts w:ascii="仿宋_GB2312" w:eastAsia="仿宋_GB2312" w:hAnsi="Calibri"/>
          <w:sz w:val="30"/>
          <w:szCs w:val="30"/>
        </w:rPr>
      </w:pPr>
      <w:r>
        <w:rPr>
          <w:rFonts w:ascii="宋体" w:hAnsi="宋体" w:cs="Arial"/>
          <w:b/>
          <w:bCs/>
          <w:kern w:val="0"/>
          <w:sz w:val="28"/>
          <w:szCs w:val="28"/>
        </w:rPr>
        <w:tab/>
      </w:r>
      <w:r>
        <w:rPr>
          <w:rFonts w:ascii="宋体" w:hAnsi="宋体" w:cs="Arial"/>
          <w:kern w:val="0"/>
          <w:sz w:val="28"/>
          <w:szCs w:val="28"/>
        </w:rPr>
        <w:t>附表：前次募集资金使用情况对照表</w:t>
      </w:r>
    </w:p>
    <w:p w:rsidR="00092652" w:rsidRDefault="00092652">
      <w:pPr>
        <w:widowControl/>
        <w:spacing w:line="490" w:lineRule="exact"/>
        <w:ind w:firstLineChars="200" w:firstLine="600"/>
        <w:jc w:val="left"/>
        <w:rPr>
          <w:rFonts w:ascii="仿宋_GB2312" w:eastAsia="仿宋_GB2312" w:hAnsi="Calibri"/>
          <w:sz w:val="30"/>
          <w:szCs w:val="30"/>
        </w:rPr>
        <w:sectPr w:rsidR="00092652">
          <w:footerReference w:type="default" r:id="rId16"/>
          <w:pgSz w:w="11906" w:h="16838"/>
          <w:pgMar w:top="1440" w:right="1797" w:bottom="1440" w:left="1797" w:header="851" w:footer="992" w:gutter="0"/>
          <w:cols w:space="425"/>
          <w:docGrid w:type="lines" w:linePitch="312"/>
        </w:sectPr>
      </w:pPr>
    </w:p>
    <w:p w:rsidR="00092652" w:rsidRDefault="0039522B">
      <w:pPr>
        <w:widowControl/>
        <w:spacing w:line="260" w:lineRule="atLeast"/>
        <w:jc w:val="left"/>
        <w:rPr>
          <w:rFonts w:ascii="宋体" w:hAnsi="宋体" w:cs="Arial"/>
          <w:bCs/>
          <w:kern w:val="0"/>
          <w:sz w:val="28"/>
          <w:szCs w:val="28"/>
        </w:rPr>
      </w:pPr>
      <w:r>
        <w:rPr>
          <w:rFonts w:ascii="宋体" w:hAnsi="宋体" w:cs="Arial"/>
          <w:bCs/>
          <w:kern w:val="0"/>
          <w:sz w:val="28"/>
          <w:szCs w:val="28"/>
        </w:rPr>
        <w:lastRenderedPageBreak/>
        <w:t>附表</w:t>
      </w:r>
    </w:p>
    <w:p w:rsidR="00092652" w:rsidRDefault="0039522B">
      <w:pPr>
        <w:widowControl/>
        <w:spacing w:line="260" w:lineRule="atLeast"/>
        <w:jc w:val="center"/>
        <w:rPr>
          <w:rFonts w:ascii="宋体" w:hAnsi="宋体" w:cs="Arial"/>
          <w:kern w:val="0"/>
          <w:sz w:val="24"/>
          <w:szCs w:val="24"/>
        </w:rPr>
      </w:pPr>
      <w:r>
        <w:rPr>
          <w:rFonts w:ascii="宋体" w:hAnsi="宋体" w:cs="Arial"/>
          <w:kern w:val="0"/>
          <w:sz w:val="24"/>
          <w:szCs w:val="24"/>
        </w:rPr>
        <w:t>前次募集资金使用情况对照表</w:t>
      </w:r>
    </w:p>
    <w:tbl>
      <w:tblPr>
        <w:tblW w:w="15310" w:type="dxa"/>
        <w:tblInd w:w="-601" w:type="dxa"/>
        <w:tblLayout w:type="fixed"/>
        <w:tblLook w:val="04A0" w:firstRow="1" w:lastRow="0" w:firstColumn="1" w:lastColumn="0" w:noHBand="0" w:noVBand="1"/>
      </w:tblPr>
      <w:tblGrid>
        <w:gridCol w:w="384"/>
        <w:gridCol w:w="1026"/>
        <w:gridCol w:w="1000"/>
        <w:gridCol w:w="1701"/>
        <w:gridCol w:w="1701"/>
        <w:gridCol w:w="1701"/>
        <w:gridCol w:w="1701"/>
        <w:gridCol w:w="1701"/>
        <w:gridCol w:w="1701"/>
        <w:gridCol w:w="1560"/>
        <w:gridCol w:w="1134"/>
      </w:tblGrid>
      <w:tr w:rsidR="00092652">
        <w:trPr>
          <w:trHeight w:val="240"/>
        </w:trPr>
        <w:tc>
          <w:tcPr>
            <w:tcW w:w="10915" w:type="dxa"/>
            <w:gridSpan w:val="8"/>
            <w:tcBorders>
              <w:top w:val="nil"/>
              <w:left w:val="nil"/>
              <w:bottom w:val="nil"/>
              <w:right w:val="nil"/>
            </w:tcBorders>
            <w:shd w:val="clear" w:color="auto" w:fill="auto"/>
            <w:noWrap/>
            <w:vAlign w:val="bottom"/>
          </w:tcPr>
          <w:p w:rsidR="00092652" w:rsidRDefault="0039522B">
            <w:pPr>
              <w:widowControl/>
              <w:jc w:val="left"/>
              <w:rPr>
                <w:rFonts w:ascii="宋体" w:hAnsi="宋体" w:cs="Arial"/>
                <w:color w:val="000000"/>
                <w:kern w:val="0"/>
                <w:sz w:val="17"/>
                <w:szCs w:val="17"/>
                <w:lang w:val="en-GB"/>
              </w:rPr>
            </w:pPr>
            <w:r>
              <w:rPr>
                <w:rFonts w:ascii="宋体" w:hAnsi="宋体" w:cs="Arial"/>
                <w:color w:val="000000"/>
                <w:kern w:val="0"/>
                <w:sz w:val="17"/>
                <w:szCs w:val="17"/>
                <w:lang w:val="en-GB"/>
              </w:rPr>
              <w:t>编制单位：兴业银行股份有限公司</w:t>
            </w:r>
          </w:p>
        </w:tc>
        <w:tc>
          <w:tcPr>
            <w:tcW w:w="1701" w:type="dxa"/>
            <w:tcBorders>
              <w:top w:val="nil"/>
              <w:left w:val="nil"/>
              <w:bottom w:val="nil"/>
              <w:right w:val="nil"/>
            </w:tcBorders>
            <w:shd w:val="clear" w:color="auto" w:fill="auto"/>
            <w:noWrap/>
            <w:vAlign w:val="bottom"/>
          </w:tcPr>
          <w:p w:rsidR="00092652" w:rsidRDefault="00092652">
            <w:pPr>
              <w:widowControl/>
              <w:jc w:val="left"/>
              <w:rPr>
                <w:rFonts w:ascii="宋体" w:hAnsi="宋体" w:cs="Arial"/>
                <w:color w:val="000000"/>
                <w:kern w:val="0"/>
                <w:sz w:val="17"/>
                <w:szCs w:val="17"/>
                <w:lang w:val="en-GB"/>
              </w:rPr>
            </w:pPr>
          </w:p>
        </w:tc>
        <w:tc>
          <w:tcPr>
            <w:tcW w:w="1560" w:type="dxa"/>
            <w:tcBorders>
              <w:top w:val="nil"/>
              <w:left w:val="nil"/>
              <w:bottom w:val="nil"/>
              <w:right w:val="nil"/>
            </w:tcBorders>
            <w:shd w:val="clear" w:color="auto" w:fill="auto"/>
            <w:noWrap/>
            <w:vAlign w:val="bottom"/>
          </w:tcPr>
          <w:p w:rsidR="00092652" w:rsidRDefault="00092652">
            <w:pPr>
              <w:widowControl/>
              <w:jc w:val="left"/>
              <w:rPr>
                <w:rFonts w:ascii="宋体" w:hAnsi="宋体" w:cs="Arial"/>
                <w:kern w:val="0"/>
                <w:sz w:val="17"/>
                <w:szCs w:val="17"/>
                <w:lang w:val="en-GB"/>
              </w:rPr>
            </w:pPr>
          </w:p>
        </w:tc>
        <w:tc>
          <w:tcPr>
            <w:tcW w:w="1134" w:type="dxa"/>
            <w:tcBorders>
              <w:top w:val="nil"/>
              <w:left w:val="nil"/>
              <w:bottom w:val="nil"/>
              <w:right w:val="nil"/>
            </w:tcBorders>
            <w:shd w:val="clear" w:color="auto" w:fill="auto"/>
            <w:noWrap/>
            <w:vAlign w:val="bottom"/>
          </w:tcPr>
          <w:p w:rsidR="00092652" w:rsidRDefault="00092652">
            <w:pPr>
              <w:widowControl/>
              <w:jc w:val="left"/>
              <w:rPr>
                <w:rFonts w:ascii="宋体" w:hAnsi="宋体" w:cs="Arial"/>
                <w:kern w:val="0"/>
                <w:sz w:val="17"/>
                <w:szCs w:val="17"/>
                <w:lang w:val="en-GB"/>
              </w:rPr>
            </w:pPr>
          </w:p>
        </w:tc>
      </w:tr>
      <w:tr w:rsidR="00092652">
        <w:trPr>
          <w:trHeight w:val="240"/>
        </w:trPr>
        <w:tc>
          <w:tcPr>
            <w:tcW w:w="5812" w:type="dxa"/>
            <w:gridSpan w:val="5"/>
            <w:tcBorders>
              <w:top w:val="nil"/>
              <w:left w:val="nil"/>
              <w:bottom w:val="nil"/>
              <w:right w:val="nil"/>
            </w:tcBorders>
            <w:shd w:val="clear" w:color="auto" w:fill="auto"/>
            <w:noWrap/>
            <w:vAlign w:val="bottom"/>
          </w:tcPr>
          <w:p w:rsidR="00092652" w:rsidRDefault="0039522B">
            <w:pPr>
              <w:widowControl/>
              <w:jc w:val="left"/>
              <w:rPr>
                <w:rFonts w:ascii="宋体" w:hAnsi="宋体" w:cs="Arial"/>
                <w:color w:val="000000"/>
                <w:kern w:val="0"/>
                <w:sz w:val="17"/>
                <w:szCs w:val="17"/>
                <w:lang w:val="en-GB"/>
              </w:rPr>
            </w:pPr>
            <w:r>
              <w:rPr>
                <w:rFonts w:ascii="宋体" w:hAnsi="宋体" w:cs="Arial"/>
                <w:color w:val="000000"/>
                <w:kern w:val="0"/>
                <w:sz w:val="17"/>
                <w:szCs w:val="17"/>
                <w:lang w:val="en-GB"/>
              </w:rPr>
              <w:t>截止日：2020年12月31日</w:t>
            </w:r>
          </w:p>
          <w:p w:rsidR="00092652" w:rsidRDefault="00092652">
            <w:pPr>
              <w:widowControl/>
              <w:jc w:val="left"/>
              <w:rPr>
                <w:rFonts w:ascii="宋体" w:hAnsi="宋体" w:cs="Arial"/>
                <w:color w:val="000000"/>
                <w:kern w:val="0"/>
                <w:sz w:val="17"/>
                <w:szCs w:val="17"/>
                <w:lang w:val="en-GB"/>
              </w:rPr>
            </w:pPr>
          </w:p>
          <w:p w:rsidR="00092652" w:rsidRDefault="0039522B">
            <w:pPr>
              <w:widowControl/>
              <w:jc w:val="left"/>
              <w:rPr>
                <w:rFonts w:ascii="宋体" w:hAnsi="宋体" w:cs="Arial"/>
                <w:color w:val="000000"/>
                <w:kern w:val="0"/>
                <w:sz w:val="17"/>
                <w:szCs w:val="17"/>
                <w:lang w:val="en-GB"/>
              </w:rPr>
            </w:pPr>
            <w:r>
              <w:rPr>
                <w:rFonts w:ascii="宋体" w:hAnsi="宋体" w:cs="Arial"/>
                <w:color w:val="000000"/>
                <w:kern w:val="0"/>
                <w:sz w:val="17"/>
                <w:szCs w:val="17"/>
                <w:lang w:val="en-GB"/>
              </w:rPr>
              <w:t>2017年非公开发行A股股票</w:t>
            </w:r>
          </w:p>
        </w:tc>
        <w:tc>
          <w:tcPr>
            <w:tcW w:w="1701" w:type="dxa"/>
            <w:tcBorders>
              <w:top w:val="nil"/>
              <w:left w:val="nil"/>
              <w:bottom w:val="nil"/>
              <w:right w:val="nil"/>
            </w:tcBorders>
            <w:shd w:val="clear" w:color="auto" w:fill="auto"/>
            <w:noWrap/>
            <w:vAlign w:val="bottom"/>
          </w:tcPr>
          <w:p w:rsidR="00092652" w:rsidRDefault="00092652">
            <w:pPr>
              <w:widowControl/>
              <w:jc w:val="left"/>
              <w:rPr>
                <w:rFonts w:ascii="宋体" w:hAnsi="宋体" w:cs="Arial"/>
                <w:color w:val="000000"/>
                <w:kern w:val="0"/>
                <w:sz w:val="17"/>
                <w:szCs w:val="17"/>
                <w:lang w:val="en-GB"/>
              </w:rPr>
            </w:pPr>
          </w:p>
        </w:tc>
        <w:tc>
          <w:tcPr>
            <w:tcW w:w="1701" w:type="dxa"/>
            <w:tcBorders>
              <w:top w:val="nil"/>
              <w:left w:val="nil"/>
              <w:bottom w:val="nil"/>
              <w:right w:val="nil"/>
            </w:tcBorders>
            <w:shd w:val="clear" w:color="auto" w:fill="auto"/>
            <w:noWrap/>
            <w:vAlign w:val="bottom"/>
          </w:tcPr>
          <w:p w:rsidR="00092652" w:rsidRDefault="00092652">
            <w:pPr>
              <w:widowControl/>
              <w:jc w:val="left"/>
              <w:rPr>
                <w:rFonts w:ascii="宋体" w:hAnsi="宋体" w:cs="Arial"/>
                <w:kern w:val="0"/>
                <w:sz w:val="17"/>
                <w:szCs w:val="17"/>
                <w:lang w:val="en-GB"/>
              </w:rPr>
            </w:pPr>
          </w:p>
        </w:tc>
        <w:tc>
          <w:tcPr>
            <w:tcW w:w="1701" w:type="dxa"/>
            <w:tcBorders>
              <w:top w:val="nil"/>
              <w:left w:val="nil"/>
              <w:bottom w:val="nil"/>
              <w:right w:val="nil"/>
            </w:tcBorders>
            <w:shd w:val="clear" w:color="auto" w:fill="auto"/>
            <w:noWrap/>
            <w:vAlign w:val="bottom"/>
          </w:tcPr>
          <w:p w:rsidR="00092652" w:rsidRDefault="00092652">
            <w:pPr>
              <w:widowControl/>
              <w:jc w:val="left"/>
              <w:rPr>
                <w:rFonts w:ascii="宋体" w:hAnsi="宋体" w:cs="Arial"/>
                <w:kern w:val="0"/>
                <w:sz w:val="17"/>
                <w:szCs w:val="17"/>
                <w:lang w:val="en-GB"/>
              </w:rPr>
            </w:pPr>
          </w:p>
        </w:tc>
        <w:tc>
          <w:tcPr>
            <w:tcW w:w="1701" w:type="dxa"/>
            <w:tcBorders>
              <w:top w:val="nil"/>
              <w:left w:val="nil"/>
              <w:bottom w:val="nil"/>
              <w:right w:val="nil"/>
            </w:tcBorders>
            <w:shd w:val="clear" w:color="auto" w:fill="auto"/>
            <w:noWrap/>
            <w:vAlign w:val="bottom"/>
          </w:tcPr>
          <w:p w:rsidR="00092652" w:rsidRDefault="00092652">
            <w:pPr>
              <w:widowControl/>
              <w:jc w:val="left"/>
              <w:rPr>
                <w:rFonts w:ascii="宋体" w:hAnsi="宋体" w:cs="Arial"/>
                <w:kern w:val="0"/>
                <w:sz w:val="17"/>
                <w:szCs w:val="17"/>
                <w:lang w:val="en-GB"/>
              </w:rPr>
            </w:pPr>
          </w:p>
        </w:tc>
        <w:tc>
          <w:tcPr>
            <w:tcW w:w="2694" w:type="dxa"/>
            <w:gridSpan w:val="2"/>
            <w:tcBorders>
              <w:top w:val="nil"/>
              <w:left w:val="nil"/>
              <w:bottom w:val="nil"/>
              <w:right w:val="nil"/>
            </w:tcBorders>
            <w:shd w:val="clear" w:color="auto" w:fill="auto"/>
            <w:noWrap/>
            <w:vAlign w:val="bottom"/>
          </w:tcPr>
          <w:p w:rsidR="00092652" w:rsidRDefault="0039522B">
            <w:pPr>
              <w:widowControl/>
              <w:jc w:val="right"/>
              <w:rPr>
                <w:rFonts w:ascii="宋体" w:hAnsi="宋体" w:cs="Arial"/>
                <w:color w:val="000000"/>
                <w:kern w:val="0"/>
                <w:sz w:val="17"/>
                <w:szCs w:val="17"/>
                <w:lang w:val="en-GB"/>
              </w:rPr>
            </w:pPr>
            <w:r>
              <w:rPr>
                <w:rFonts w:ascii="宋体" w:hAnsi="宋体" w:cs="Arial"/>
                <w:color w:val="000000"/>
                <w:kern w:val="0"/>
                <w:sz w:val="17"/>
                <w:szCs w:val="17"/>
                <w:lang w:val="en-GB"/>
              </w:rPr>
              <w:t>单位：人民币元</w:t>
            </w:r>
          </w:p>
        </w:tc>
      </w:tr>
      <w:tr w:rsidR="00092652">
        <w:trPr>
          <w:trHeight w:val="240"/>
        </w:trPr>
        <w:tc>
          <w:tcPr>
            <w:tcW w:w="411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92652" w:rsidRDefault="0039522B">
            <w:pPr>
              <w:widowControl/>
              <w:jc w:val="left"/>
              <w:rPr>
                <w:rFonts w:ascii="宋体" w:hAnsi="宋体" w:cs="Arial"/>
                <w:color w:val="000000"/>
                <w:kern w:val="0"/>
                <w:sz w:val="17"/>
                <w:szCs w:val="17"/>
                <w:lang w:val="en-GB"/>
              </w:rPr>
            </w:pPr>
            <w:r>
              <w:rPr>
                <w:rFonts w:ascii="宋体" w:hAnsi="宋体" w:cs="Arial"/>
                <w:color w:val="000000"/>
                <w:kern w:val="0"/>
                <w:sz w:val="17"/>
                <w:szCs w:val="17"/>
                <w:lang w:val="en-GB"/>
              </w:rPr>
              <w:t>募集资金金额：</w:t>
            </w: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tcPr>
          <w:p w:rsidR="00092652" w:rsidRDefault="0039522B">
            <w:pPr>
              <w:widowControl/>
              <w:jc w:val="right"/>
              <w:rPr>
                <w:rFonts w:ascii="宋体" w:hAnsi="宋体" w:cs="Arial"/>
                <w:color w:val="000000"/>
                <w:kern w:val="0"/>
                <w:sz w:val="17"/>
                <w:szCs w:val="17"/>
                <w:lang w:val="en-GB"/>
              </w:rPr>
            </w:pPr>
            <w:r>
              <w:rPr>
                <w:rFonts w:ascii="宋体" w:hAnsi="宋体" w:cs="Arial"/>
                <w:kern w:val="0"/>
                <w:sz w:val="17"/>
                <w:szCs w:val="17"/>
              </w:rPr>
              <w:t>25,894,247,104.85</w:t>
            </w:r>
          </w:p>
        </w:tc>
        <w:tc>
          <w:tcPr>
            <w:tcW w:w="5103" w:type="dxa"/>
            <w:gridSpan w:val="3"/>
            <w:tcBorders>
              <w:top w:val="single" w:sz="4" w:space="0" w:color="auto"/>
              <w:left w:val="nil"/>
              <w:bottom w:val="single" w:sz="4" w:space="0" w:color="auto"/>
              <w:right w:val="single" w:sz="4" w:space="0" w:color="auto"/>
            </w:tcBorders>
            <w:shd w:val="clear" w:color="auto" w:fill="auto"/>
            <w:noWrap/>
            <w:vAlign w:val="bottom"/>
          </w:tcPr>
          <w:p w:rsidR="00092652" w:rsidRDefault="0039522B">
            <w:pPr>
              <w:widowControl/>
              <w:jc w:val="left"/>
              <w:rPr>
                <w:rFonts w:ascii="宋体" w:hAnsi="宋体" w:cs="Arial"/>
                <w:color w:val="000000"/>
                <w:kern w:val="0"/>
                <w:sz w:val="17"/>
                <w:szCs w:val="17"/>
                <w:lang w:val="en-GB"/>
              </w:rPr>
            </w:pPr>
            <w:r>
              <w:rPr>
                <w:rFonts w:ascii="宋体" w:hAnsi="宋体" w:cs="Arial"/>
                <w:color w:val="000000"/>
                <w:kern w:val="0"/>
                <w:sz w:val="17"/>
                <w:szCs w:val="17"/>
                <w:lang w:val="en-GB"/>
              </w:rPr>
              <w:t>已累计使用募集资金额：</w:t>
            </w: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tcPr>
          <w:p w:rsidR="00092652" w:rsidRDefault="0039522B">
            <w:pPr>
              <w:widowControl/>
              <w:jc w:val="right"/>
              <w:rPr>
                <w:rFonts w:ascii="宋体" w:hAnsi="宋体" w:cs="Arial"/>
                <w:color w:val="000000"/>
                <w:kern w:val="0"/>
                <w:sz w:val="17"/>
                <w:szCs w:val="17"/>
                <w:lang w:val="en-GB"/>
              </w:rPr>
            </w:pPr>
            <w:r>
              <w:rPr>
                <w:rFonts w:ascii="宋体" w:hAnsi="宋体" w:cs="Arial"/>
                <w:kern w:val="0"/>
                <w:sz w:val="17"/>
                <w:szCs w:val="17"/>
              </w:rPr>
              <w:t>25,894,247,104.85</w:t>
            </w:r>
          </w:p>
        </w:tc>
      </w:tr>
      <w:tr w:rsidR="00092652">
        <w:trPr>
          <w:trHeight w:val="240"/>
        </w:trPr>
        <w:tc>
          <w:tcPr>
            <w:tcW w:w="411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92652" w:rsidRDefault="0039522B">
            <w:pPr>
              <w:widowControl/>
              <w:jc w:val="left"/>
              <w:rPr>
                <w:rFonts w:ascii="宋体" w:hAnsi="宋体" w:cs="Arial"/>
                <w:color w:val="000000"/>
                <w:kern w:val="0"/>
                <w:sz w:val="17"/>
                <w:szCs w:val="17"/>
                <w:lang w:val="en-GB"/>
              </w:rPr>
            </w:pPr>
            <w:r>
              <w:rPr>
                <w:rFonts w:ascii="宋体" w:hAnsi="宋体" w:cs="Arial"/>
                <w:color w:val="000000"/>
                <w:kern w:val="0"/>
                <w:sz w:val="17"/>
                <w:szCs w:val="17"/>
                <w:lang w:val="en-GB"/>
              </w:rPr>
              <w:t>变更用途的募集资金金额：</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tcPr>
          <w:p w:rsidR="00092652" w:rsidRDefault="0039522B">
            <w:pPr>
              <w:widowControl/>
              <w:jc w:val="right"/>
              <w:rPr>
                <w:rFonts w:ascii="宋体" w:hAnsi="宋体" w:cs="Arial"/>
                <w:color w:val="000000"/>
                <w:kern w:val="0"/>
                <w:sz w:val="17"/>
                <w:szCs w:val="17"/>
                <w:lang w:val="en-GB"/>
              </w:rPr>
            </w:pPr>
            <w:r>
              <w:rPr>
                <w:rFonts w:ascii="宋体" w:hAnsi="宋体" w:cs="Arial"/>
                <w:color w:val="000000"/>
                <w:kern w:val="0"/>
                <w:sz w:val="17"/>
                <w:szCs w:val="17"/>
              </w:rPr>
              <w:t>-</w:t>
            </w:r>
          </w:p>
        </w:tc>
        <w:tc>
          <w:tcPr>
            <w:tcW w:w="7797" w:type="dxa"/>
            <w:gridSpan w:val="5"/>
            <w:tcBorders>
              <w:top w:val="single" w:sz="4" w:space="0" w:color="auto"/>
              <w:left w:val="nil"/>
              <w:bottom w:val="single" w:sz="4" w:space="0" w:color="auto"/>
              <w:right w:val="single" w:sz="4" w:space="0" w:color="auto"/>
            </w:tcBorders>
            <w:shd w:val="clear" w:color="auto" w:fill="auto"/>
            <w:noWrap/>
            <w:vAlign w:val="bottom"/>
          </w:tcPr>
          <w:p w:rsidR="00092652" w:rsidRDefault="0039522B">
            <w:pPr>
              <w:widowControl/>
              <w:jc w:val="left"/>
              <w:rPr>
                <w:rFonts w:ascii="宋体" w:hAnsi="宋体" w:cs="Arial"/>
                <w:color w:val="000000"/>
                <w:kern w:val="0"/>
                <w:sz w:val="17"/>
                <w:szCs w:val="17"/>
                <w:lang w:val="en-GB"/>
              </w:rPr>
            </w:pPr>
            <w:r>
              <w:rPr>
                <w:rFonts w:ascii="宋体" w:hAnsi="宋体" w:cs="Arial"/>
                <w:color w:val="000000"/>
                <w:kern w:val="0"/>
                <w:sz w:val="17"/>
                <w:szCs w:val="17"/>
                <w:lang w:val="en-GB"/>
              </w:rPr>
              <w:t>各年度使用募集资金额：</w:t>
            </w:r>
          </w:p>
        </w:tc>
      </w:tr>
      <w:tr w:rsidR="00092652">
        <w:trPr>
          <w:trHeight w:val="240"/>
        </w:trPr>
        <w:tc>
          <w:tcPr>
            <w:tcW w:w="4111" w:type="dxa"/>
            <w:gridSpan w:val="4"/>
            <w:vMerge w:val="restart"/>
            <w:tcBorders>
              <w:top w:val="single" w:sz="4" w:space="0" w:color="auto"/>
              <w:left w:val="single" w:sz="4" w:space="0" w:color="auto"/>
              <w:right w:val="single" w:sz="4" w:space="0" w:color="auto"/>
            </w:tcBorders>
            <w:shd w:val="clear" w:color="auto" w:fill="auto"/>
            <w:noWrap/>
            <w:vAlign w:val="center"/>
          </w:tcPr>
          <w:p w:rsidR="00092652" w:rsidRDefault="0039522B">
            <w:pPr>
              <w:widowControl/>
              <w:jc w:val="left"/>
              <w:rPr>
                <w:rFonts w:ascii="宋体" w:hAnsi="宋体" w:cs="Arial"/>
                <w:color w:val="000000"/>
                <w:kern w:val="0"/>
                <w:sz w:val="17"/>
                <w:szCs w:val="17"/>
                <w:lang w:val="en-GB"/>
              </w:rPr>
            </w:pPr>
            <w:r>
              <w:rPr>
                <w:rFonts w:ascii="宋体" w:hAnsi="宋体" w:cs="Arial"/>
                <w:color w:val="000000"/>
                <w:kern w:val="0"/>
                <w:sz w:val="17"/>
                <w:szCs w:val="17"/>
                <w:lang w:val="en-GB"/>
              </w:rPr>
              <w:t>变更用途的募集资金金额比例：</w:t>
            </w:r>
          </w:p>
        </w:tc>
        <w:tc>
          <w:tcPr>
            <w:tcW w:w="3402" w:type="dxa"/>
            <w:gridSpan w:val="2"/>
            <w:vMerge w:val="restart"/>
            <w:tcBorders>
              <w:top w:val="single" w:sz="4" w:space="0" w:color="auto"/>
              <w:left w:val="nil"/>
              <w:right w:val="single" w:sz="4" w:space="0" w:color="auto"/>
            </w:tcBorders>
            <w:shd w:val="clear" w:color="auto" w:fill="auto"/>
            <w:noWrap/>
            <w:vAlign w:val="center"/>
          </w:tcPr>
          <w:p w:rsidR="00092652" w:rsidRDefault="0039522B">
            <w:pPr>
              <w:widowControl/>
              <w:jc w:val="right"/>
              <w:rPr>
                <w:rFonts w:ascii="宋体" w:hAnsi="宋体" w:cs="Arial"/>
                <w:color w:val="000000"/>
                <w:kern w:val="0"/>
                <w:sz w:val="17"/>
                <w:szCs w:val="17"/>
                <w:lang w:val="en-GB"/>
              </w:rPr>
            </w:pPr>
            <w:r>
              <w:rPr>
                <w:rFonts w:ascii="宋体" w:hAnsi="宋体" w:cs="Arial"/>
                <w:color w:val="000000"/>
                <w:kern w:val="0"/>
                <w:sz w:val="17"/>
                <w:szCs w:val="17"/>
              </w:rPr>
              <w:t>-</w:t>
            </w:r>
          </w:p>
        </w:tc>
        <w:tc>
          <w:tcPr>
            <w:tcW w:w="5103" w:type="dxa"/>
            <w:gridSpan w:val="3"/>
            <w:tcBorders>
              <w:top w:val="single" w:sz="4" w:space="0" w:color="auto"/>
              <w:left w:val="nil"/>
              <w:bottom w:val="single" w:sz="4" w:space="0" w:color="auto"/>
              <w:right w:val="single" w:sz="4" w:space="0" w:color="auto"/>
            </w:tcBorders>
            <w:shd w:val="clear" w:color="auto" w:fill="auto"/>
            <w:noWrap/>
            <w:vAlign w:val="bottom"/>
          </w:tcPr>
          <w:p w:rsidR="00092652" w:rsidRDefault="0039522B">
            <w:pPr>
              <w:widowControl/>
              <w:jc w:val="left"/>
              <w:rPr>
                <w:rFonts w:ascii="宋体" w:hAnsi="宋体" w:cs="Arial"/>
                <w:color w:val="000000"/>
                <w:kern w:val="0"/>
                <w:sz w:val="17"/>
                <w:szCs w:val="17"/>
                <w:lang w:val="en-GB"/>
              </w:rPr>
            </w:pPr>
            <w:r>
              <w:rPr>
                <w:rFonts w:ascii="宋体" w:hAnsi="宋体" w:cs="Arial"/>
                <w:color w:val="000000"/>
                <w:kern w:val="0"/>
                <w:sz w:val="17"/>
                <w:szCs w:val="17"/>
              </w:rPr>
              <w:t>2017年：</w:t>
            </w: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tcPr>
          <w:p w:rsidR="00092652" w:rsidRDefault="0039522B">
            <w:pPr>
              <w:widowControl/>
              <w:jc w:val="right"/>
              <w:rPr>
                <w:rFonts w:ascii="宋体" w:hAnsi="宋体" w:cs="Arial"/>
                <w:color w:val="000000"/>
                <w:kern w:val="0"/>
                <w:sz w:val="17"/>
                <w:szCs w:val="17"/>
                <w:lang w:val="en-GB"/>
              </w:rPr>
            </w:pPr>
            <w:r>
              <w:rPr>
                <w:rFonts w:ascii="宋体" w:hAnsi="宋体" w:cs="Arial"/>
                <w:kern w:val="0"/>
                <w:sz w:val="17"/>
                <w:szCs w:val="17"/>
              </w:rPr>
              <w:t>25,894,247,104.85</w:t>
            </w:r>
          </w:p>
        </w:tc>
      </w:tr>
      <w:tr w:rsidR="00092652">
        <w:trPr>
          <w:trHeight w:val="240"/>
        </w:trPr>
        <w:tc>
          <w:tcPr>
            <w:tcW w:w="4111" w:type="dxa"/>
            <w:gridSpan w:val="4"/>
            <w:vMerge/>
            <w:tcBorders>
              <w:left w:val="single" w:sz="4" w:space="0" w:color="auto"/>
              <w:right w:val="single" w:sz="4" w:space="0" w:color="auto"/>
            </w:tcBorders>
            <w:shd w:val="clear" w:color="auto" w:fill="auto"/>
            <w:noWrap/>
            <w:vAlign w:val="bottom"/>
          </w:tcPr>
          <w:p w:rsidR="00092652" w:rsidRDefault="00092652">
            <w:pPr>
              <w:widowControl/>
              <w:jc w:val="left"/>
              <w:rPr>
                <w:rFonts w:ascii="宋体" w:hAnsi="宋体" w:cs="Arial"/>
                <w:color w:val="000000"/>
                <w:kern w:val="0"/>
                <w:sz w:val="17"/>
                <w:szCs w:val="17"/>
                <w:lang w:val="en-GB"/>
              </w:rPr>
            </w:pPr>
          </w:p>
        </w:tc>
        <w:tc>
          <w:tcPr>
            <w:tcW w:w="3402" w:type="dxa"/>
            <w:gridSpan w:val="2"/>
            <w:vMerge/>
            <w:tcBorders>
              <w:left w:val="nil"/>
              <w:right w:val="single" w:sz="4" w:space="0" w:color="auto"/>
            </w:tcBorders>
            <w:shd w:val="clear" w:color="auto" w:fill="auto"/>
            <w:noWrap/>
            <w:vAlign w:val="bottom"/>
          </w:tcPr>
          <w:p w:rsidR="00092652" w:rsidRDefault="00092652">
            <w:pPr>
              <w:widowControl/>
              <w:jc w:val="right"/>
              <w:rPr>
                <w:rFonts w:ascii="宋体" w:hAnsi="宋体" w:cs="Arial"/>
                <w:color w:val="000000"/>
                <w:kern w:val="0"/>
                <w:sz w:val="17"/>
                <w:szCs w:val="17"/>
              </w:rPr>
            </w:pPr>
          </w:p>
        </w:tc>
        <w:tc>
          <w:tcPr>
            <w:tcW w:w="5103" w:type="dxa"/>
            <w:gridSpan w:val="3"/>
            <w:tcBorders>
              <w:top w:val="single" w:sz="4" w:space="0" w:color="auto"/>
              <w:left w:val="nil"/>
              <w:bottom w:val="single" w:sz="4" w:space="0" w:color="auto"/>
              <w:right w:val="single" w:sz="4" w:space="0" w:color="auto"/>
            </w:tcBorders>
            <w:shd w:val="clear" w:color="auto" w:fill="auto"/>
            <w:noWrap/>
            <w:vAlign w:val="bottom"/>
          </w:tcPr>
          <w:p w:rsidR="00092652" w:rsidRDefault="0039522B">
            <w:pPr>
              <w:widowControl/>
              <w:jc w:val="left"/>
              <w:rPr>
                <w:rFonts w:ascii="宋体" w:hAnsi="宋体" w:cs="Arial"/>
                <w:color w:val="000000"/>
                <w:kern w:val="0"/>
                <w:sz w:val="17"/>
                <w:szCs w:val="17"/>
              </w:rPr>
            </w:pPr>
            <w:r>
              <w:rPr>
                <w:rFonts w:ascii="宋体" w:hAnsi="宋体" w:cs="Arial"/>
                <w:color w:val="000000"/>
                <w:kern w:val="0"/>
                <w:sz w:val="17"/>
                <w:szCs w:val="17"/>
              </w:rPr>
              <w:t>2018年：</w:t>
            </w: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tcPr>
          <w:p w:rsidR="00092652" w:rsidRDefault="0039522B">
            <w:pPr>
              <w:widowControl/>
              <w:jc w:val="right"/>
              <w:rPr>
                <w:rFonts w:ascii="宋体" w:hAnsi="宋体" w:cs="Arial"/>
                <w:color w:val="000000"/>
                <w:kern w:val="0"/>
                <w:sz w:val="17"/>
                <w:szCs w:val="17"/>
              </w:rPr>
            </w:pPr>
            <w:r>
              <w:rPr>
                <w:rFonts w:ascii="宋体" w:hAnsi="宋体" w:cs="Arial"/>
                <w:color w:val="000000"/>
                <w:kern w:val="0"/>
                <w:sz w:val="17"/>
                <w:szCs w:val="17"/>
              </w:rPr>
              <w:t>-</w:t>
            </w:r>
          </w:p>
        </w:tc>
      </w:tr>
      <w:tr w:rsidR="00092652">
        <w:trPr>
          <w:trHeight w:val="240"/>
        </w:trPr>
        <w:tc>
          <w:tcPr>
            <w:tcW w:w="4111" w:type="dxa"/>
            <w:gridSpan w:val="4"/>
            <w:vMerge/>
            <w:tcBorders>
              <w:left w:val="single" w:sz="4" w:space="0" w:color="auto"/>
              <w:right w:val="single" w:sz="4" w:space="0" w:color="auto"/>
            </w:tcBorders>
            <w:shd w:val="clear" w:color="auto" w:fill="auto"/>
            <w:noWrap/>
            <w:vAlign w:val="bottom"/>
          </w:tcPr>
          <w:p w:rsidR="00092652" w:rsidRDefault="00092652">
            <w:pPr>
              <w:widowControl/>
              <w:jc w:val="left"/>
              <w:rPr>
                <w:rFonts w:ascii="宋体" w:hAnsi="宋体" w:cs="Arial"/>
                <w:color w:val="000000"/>
                <w:kern w:val="0"/>
                <w:sz w:val="17"/>
                <w:szCs w:val="17"/>
                <w:lang w:val="en-GB"/>
              </w:rPr>
            </w:pPr>
          </w:p>
        </w:tc>
        <w:tc>
          <w:tcPr>
            <w:tcW w:w="3402" w:type="dxa"/>
            <w:gridSpan w:val="2"/>
            <w:vMerge/>
            <w:tcBorders>
              <w:left w:val="nil"/>
              <w:right w:val="single" w:sz="4" w:space="0" w:color="auto"/>
            </w:tcBorders>
            <w:shd w:val="clear" w:color="auto" w:fill="auto"/>
            <w:noWrap/>
            <w:vAlign w:val="bottom"/>
          </w:tcPr>
          <w:p w:rsidR="00092652" w:rsidRDefault="00092652">
            <w:pPr>
              <w:widowControl/>
              <w:jc w:val="right"/>
              <w:rPr>
                <w:rFonts w:ascii="宋体" w:hAnsi="宋体" w:cs="Arial"/>
                <w:color w:val="000000"/>
                <w:kern w:val="0"/>
                <w:sz w:val="17"/>
                <w:szCs w:val="17"/>
              </w:rPr>
            </w:pPr>
          </w:p>
        </w:tc>
        <w:tc>
          <w:tcPr>
            <w:tcW w:w="5103" w:type="dxa"/>
            <w:gridSpan w:val="3"/>
            <w:tcBorders>
              <w:top w:val="single" w:sz="4" w:space="0" w:color="auto"/>
              <w:left w:val="nil"/>
              <w:bottom w:val="single" w:sz="4" w:space="0" w:color="auto"/>
              <w:right w:val="single" w:sz="4" w:space="0" w:color="auto"/>
            </w:tcBorders>
            <w:shd w:val="clear" w:color="auto" w:fill="auto"/>
            <w:noWrap/>
            <w:vAlign w:val="bottom"/>
          </w:tcPr>
          <w:p w:rsidR="00092652" w:rsidRDefault="0039522B">
            <w:pPr>
              <w:widowControl/>
              <w:jc w:val="left"/>
              <w:rPr>
                <w:rFonts w:ascii="宋体" w:hAnsi="宋体" w:cs="Arial"/>
                <w:color w:val="000000"/>
                <w:kern w:val="0"/>
                <w:sz w:val="17"/>
                <w:szCs w:val="17"/>
              </w:rPr>
            </w:pPr>
            <w:r>
              <w:rPr>
                <w:rFonts w:ascii="宋体" w:hAnsi="宋体" w:cs="Arial"/>
                <w:color w:val="000000"/>
                <w:kern w:val="0"/>
                <w:sz w:val="17"/>
                <w:szCs w:val="17"/>
              </w:rPr>
              <w:t>2019年：</w:t>
            </w: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tcPr>
          <w:p w:rsidR="00092652" w:rsidRDefault="0039522B">
            <w:pPr>
              <w:widowControl/>
              <w:jc w:val="right"/>
              <w:rPr>
                <w:rFonts w:ascii="宋体" w:hAnsi="宋体" w:cs="Arial"/>
                <w:color w:val="000000"/>
                <w:kern w:val="0"/>
                <w:sz w:val="17"/>
                <w:szCs w:val="17"/>
              </w:rPr>
            </w:pPr>
            <w:r>
              <w:rPr>
                <w:rFonts w:ascii="宋体" w:hAnsi="宋体" w:cs="Arial"/>
                <w:color w:val="000000"/>
                <w:kern w:val="0"/>
                <w:sz w:val="17"/>
                <w:szCs w:val="17"/>
              </w:rPr>
              <w:t>-</w:t>
            </w:r>
          </w:p>
        </w:tc>
      </w:tr>
      <w:tr w:rsidR="00092652">
        <w:trPr>
          <w:trHeight w:val="240"/>
        </w:trPr>
        <w:tc>
          <w:tcPr>
            <w:tcW w:w="4111" w:type="dxa"/>
            <w:gridSpan w:val="4"/>
            <w:vMerge/>
            <w:tcBorders>
              <w:left w:val="single" w:sz="4" w:space="0" w:color="auto"/>
              <w:bottom w:val="single" w:sz="4" w:space="0" w:color="auto"/>
              <w:right w:val="single" w:sz="4" w:space="0" w:color="auto"/>
            </w:tcBorders>
            <w:shd w:val="clear" w:color="auto" w:fill="auto"/>
            <w:noWrap/>
            <w:vAlign w:val="bottom"/>
          </w:tcPr>
          <w:p w:rsidR="00092652" w:rsidRDefault="00092652">
            <w:pPr>
              <w:widowControl/>
              <w:jc w:val="left"/>
              <w:rPr>
                <w:rFonts w:ascii="宋体" w:hAnsi="宋体" w:cs="Arial"/>
                <w:color w:val="000000"/>
                <w:kern w:val="0"/>
                <w:sz w:val="17"/>
                <w:szCs w:val="17"/>
                <w:lang w:val="en-GB"/>
              </w:rPr>
            </w:pPr>
          </w:p>
        </w:tc>
        <w:tc>
          <w:tcPr>
            <w:tcW w:w="3402" w:type="dxa"/>
            <w:gridSpan w:val="2"/>
            <w:vMerge/>
            <w:tcBorders>
              <w:left w:val="nil"/>
              <w:bottom w:val="single" w:sz="4" w:space="0" w:color="auto"/>
              <w:right w:val="single" w:sz="4" w:space="0" w:color="auto"/>
            </w:tcBorders>
            <w:shd w:val="clear" w:color="auto" w:fill="auto"/>
            <w:noWrap/>
            <w:vAlign w:val="bottom"/>
          </w:tcPr>
          <w:p w:rsidR="00092652" w:rsidRDefault="00092652">
            <w:pPr>
              <w:widowControl/>
              <w:jc w:val="right"/>
              <w:rPr>
                <w:rFonts w:ascii="宋体" w:hAnsi="宋体" w:cs="Arial"/>
                <w:color w:val="000000"/>
                <w:kern w:val="0"/>
                <w:sz w:val="17"/>
                <w:szCs w:val="17"/>
              </w:rPr>
            </w:pPr>
          </w:p>
        </w:tc>
        <w:tc>
          <w:tcPr>
            <w:tcW w:w="5103" w:type="dxa"/>
            <w:gridSpan w:val="3"/>
            <w:tcBorders>
              <w:top w:val="single" w:sz="4" w:space="0" w:color="auto"/>
              <w:left w:val="nil"/>
              <w:bottom w:val="single" w:sz="4" w:space="0" w:color="auto"/>
              <w:right w:val="single" w:sz="4" w:space="0" w:color="auto"/>
            </w:tcBorders>
            <w:shd w:val="clear" w:color="auto" w:fill="auto"/>
            <w:noWrap/>
            <w:vAlign w:val="bottom"/>
          </w:tcPr>
          <w:p w:rsidR="00092652" w:rsidRDefault="0039522B">
            <w:pPr>
              <w:widowControl/>
              <w:jc w:val="left"/>
              <w:rPr>
                <w:rFonts w:ascii="宋体" w:hAnsi="宋体" w:cs="Arial"/>
                <w:color w:val="000000"/>
                <w:kern w:val="0"/>
                <w:sz w:val="17"/>
                <w:szCs w:val="17"/>
              </w:rPr>
            </w:pPr>
            <w:r>
              <w:rPr>
                <w:rFonts w:ascii="宋体" w:hAnsi="宋体" w:cs="Arial"/>
                <w:color w:val="000000"/>
                <w:kern w:val="0"/>
                <w:sz w:val="17"/>
                <w:szCs w:val="17"/>
              </w:rPr>
              <w:t>2020年：</w:t>
            </w:r>
          </w:p>
        </w:tc>
        <w:tc>
          <w:tcPr>
            <w:tcW w:w="2694" w:type="dxa"/>
            <w:gridSpan w:val="2"/>
            <w:tcBorders>
              <w:top w:val="single" w:sz="4" w:space="0" w:color="auto"/>
              <w:left w:val="nil"/>
              <w:bottom w:val="single" w:sz="4" w:space="0" w:color="auto"/>
              <w:right w:val="single" w:sz="4" w:space="0" w:color="auto"/>
            </w:tcBorders>
            <w:shd w:val="clear" w:color="auto" w:fill="auto"/>
            <w:noWrap/>
            <w:vAlign w:val="center"/>
          </w:tcPr>
          <w:p w:rsidR="00092652" w:rsidRDefault="0039522B">
            <w:pPr>
              <w:widowControl/>
              <w:jc w:val="right"/>
              <w:rPr>
                <w:rFonts w:ascii="宋体" w:hAnsi="宋体" w:cs="Arial"/>
                <w:color w:val="000000"/>
                <w:kern w:val="0"/>
                <w:sz w:val="17"/>
                <w:szCs w:val="17"/>
              </w:rPr>
            </w:pPr>
            <w:r>
              <w:rPr>
                <w:rFonts w:ascii="宋体" w:hAnsi="宋体" w:cs="Arial"/>
                <w:color w:val="000000"/>
                <w:kern w:val="0"/>
                <w:sz w:val="17"/>
                <w:szCs w:val="17"/>
              </w:rPr>
              <w:t>-</w:t>
            </w:r>
          </w:p>
        </w:tc>
      </w:tr>
      <w:tr w:rsidR="00092652">
        <w:trPr>
          <w:trHeight w:val="203"/>
        </w:trPr>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92652" w:rsidRDefault="0039522B">
            <w:pPr>
              <w:widowControl/>
              <w:jc w:val="center"/>
              <w:rPr>
                <w:rFonts w:ascii="宋体" w:hAnsi="宋体" w:cs="Arial"/>
                <w:color w:val="000000"/>
                <w:kern w:val="0"/>
                <w:sz w:val="17"/>
                <w:szCs w:val="17"/>
                <w:lang w:val="en-GB"/>
              </w:rPr>
            </w:pPr>
            <w:r>
              <w:rPr>
                <w:rFonts w:ascii="宋体" w:hAnsi="宋体" w:cs="Arial"/>
                <w:color w:val="000000"/>
                <w:kern w:val="0"/>
                <w:sz w:val="17"/>
                <w:szCs w:val="17"/>
                <w:lang w:val="en-GB"/>
              </w:rPr>
              <w:t>投资项目</w:t>
            </w:r>
          </w:p>
        </w:tc>
        <w:tc>
          <w:tcPr>
            <w:tcW w:w="5103" w:type="dxa"/>
            <w:gridSpan w:val="3"/>
            <w:tcBorders>
              <w:top w:val="single" w:sz="4" w:space="0" w:color="auto"/>
              <w:left w:val="nil"/>
              <w:bottom w:val="single" w:sz="4" w:space="0" w:color="auto"/>
              <w:right w:val="single" w:sz="4" w:space="0" w:color="auto"/>
            </w:tcBorders>
            <w:shd w:val="clear" w:color="auto" w:fill="auto"/>
            <w:vAlign w:val="center"/>
          </w:tcPr>
          <w:p w:rsidR="00092652" w:rsidRDefault="0039522B">
            <w:pPr>
              <w:widowControl/>
              <w:jc w:val="center"/>
              <w:rPr>
                <w:rFonts w:ascii="宋体" w:hAnsi="宋体" w:cs="Arial"/>
                <w:color w:val="000000"/>
                <w:kern w:val="0"/>
                <w:sz w:val="17"/>
                <w:szCs w:val="17"/>
                <w:lang w:val="en-GB"/>
              </w:rPr>
            </w:pPr>
            <w:r>
              <w:rPr>
                <w:rFonts w:ascii="宋体" w:hAnsi="宋体" w:cs="Arial"/>
                <w:color w:val="000000"/>
                <w:kern w:val="0"/>
                <w:sz w:val="17"/>
                <w:szCs w:val="17"/>
                <w:lang w:val="en-GB"/>
              </w:rPr>
              <w:t>募集资金投资额</w:t>
            </w:r>
          </w:p>
        </w:tc>
        <w:tc>
          <w:tcPr>
            <w:tcW w:w="6663" w:type="dxa"/>
            <w:gridSpan w:val="4"/>
            <w:tcBorders>
              <w:top w:val="single" w:sz="4" w:space="0" w:color="auto"/>
              <w:left w:val="nil"/>
              <w:bottom w:val="single" w:sz="4" w:space="0" w:color="auto"/>
              <w:right w:val="single" w:sz="4" w:space="0" w:color="auto"/>
            </w:tcBorders>
            <w:shd w:val="clear" w:color="auto" w:fill="auto"/>
            <w:vAlign w:val="center"/>
          </w:tcPr>
          <w:p w:rsidR="00092652" w:rsidRDefault="0039522B">
            <w:pPr>
              <w:widowControl/>
              <w:jc w:val="center"/>
              <w:rPr>
                <w:rFonts w:ascii="宋体" w:hAnsi="宋体" w:cs="Arial"/>
                <w:color w:val="000000"/>
                <w:kern w:val="0"/>
                <w:sz w:val="17"/>
                <w:szCs w:val="17"/>
                <w:lang w:val="en-GB"/>
              </w:rPr>
            </w:pPr>
            <w:r>
              <w:rPr>
                <w:rFonts w:ascii="宋体" w:hAnsi="宋体" w:cs="Arial"/>
                <w:color w:val="000000"/>
                <w:kern w:val="0"/>
                <w:sz w:val="17"/>
                <w:szCs w:val="17"/>
                <w:lang w:val="en-GB"/>
              </w:rPr>
              <w:t>截止日募集资金累计投资额</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092652" w:rsidRDefault="0039522B">
            <w:pPr>
              <w:widowControl/>
              <w:jc w:val="center"/>
              <w:rPr>
                <w:rFonts w:ascii="宋体" w:hAnsi="宋体" w:cs="Arial"/>
                <w:color w:val="000000"/>
                <w:kern w:val="0"/>
                <w:sz w:val="17"/>
                <w:szCs w:val="17"/>
                <w:lang w:val="en-GB"/>
              </w:rPr>
            </w:pPr>
            <w:r>
              <w:rPr>
                <w:rFonts w:ascii="宋体" w:hAnsi="宋体" w:cs="Arial"/>
                <w:color w:val="000000"/>
                <w:kern w:val="0"/>
                <w:sz w:val="17"/>
                <w:szCs w:val="17"/>
                <w:lang w:val="en-GB"/>
              </w:rPr>
              <w:t>项目达到</w:t>
            </w:r>
          </w:p>
          <w:p w:rsidR="00092652" w:rsidRDefault="0039522B">
            <w:pPr>
              <w:widowControl/>
              <w:jc w:val="center"/>
              <w:rPr>
                <w:rFonts w:ascii="宋体" w:hAnsi="宋体" w:cs="Arial"/>
                <w:color w:val="000000"/>
                <w:kern w:val="0"/>
                <w:sz w:val="17"/>
                <w:szCs w:val="17"/>
                <w:lang w:val="en-GB"/>
              </w:rPr>
            </w:pPr>
            <w:r>
              <w:rPr>
                <w:rFonts w:ascii="宋体" w:hAnsi="宋体" w:cs="Arial"/>
                <w:color w:val="000000"/>
                <w:kern w:val="0"/>
                <w:sz w:val="17"/>
                <w:szCs w:val="17"/>
                <w:lang w:val="en-GB"/>
              </w:rPr>
              <w:t>预定可使用状态日期</w:t>
            </w:r>
          </w:p>
        </w:tc>
      </w:tr>
      <w:tr w:rsidR="00092652">
        <w:trPr>
          <w:trHeight w:val="774"/>
        </w:trPr>
        <w:tc>
          <w:tcPr>
            <w:tcW w:w="384" w:type="dxa"/>
            <w:tcBorders>
              <w:top w:val="nil"/>
              <w:left w:val="single" w:sz="4" w:space="0" w:color="auto"/>
              <w:bottom w:val="single" w:sz="4" w:space="0" w:color="auto"/>
              <w:right w:val="single" w:sz="4" w:space="0" w:color="auto"/>
            </w:tcBorders>
            <w:shd w:val="clear" w:color="auto" w:fill="auto"/>
            <w:vAlign w:val="center"/>
          </w:tcPr>
          <w:p w:rsidR="00092652" w:rsidRDefault="0039522B">
            <w:pPr>
              <w:widowControl/>
              <w:jc w:val="center"/>
              <w:rPr>
                <w:rFonts w:ascii="宋体" w:hAnsi="宋体" w:cs="Arial"/>
                <w:color w:val="000000"/>
                <w:kern w:val="0"/>
                <w:sz w:val="17"/>
                <w:szCs w:val="17"/>
                <w:lang w:val="en-GB"/>
              </w:rPr>
            </w:pPr>
            <w:r>
              <w:rPr>
                <w:rFonts w:ascii="宋体" w:hAnsi="宋体" w:cs="Arial"/>
                <w:color w:val="000000"/>
                <w:kern w:val="0"/>
                <w:sz w:val="17"/>
                <w:szCs w:val="17"/>
                <w:lang w:val="en-GB"/>
              </w:rPr>
              <w:t>序号</w:t>
            </w:r>
          </w:p>
        </w:tc>
        <w:tc>
          <w:tcPr>
            <w:tcW w:w="1026" w:type="dxa"/>
            <w:tcBorders>
              <w:top w:val="nil"/>
              <w:left w:val="nil"/>
              <w:bottom w:val="single" w:sz="4" w:space="0" w:color="auto"/>
              <w:right w:val="single" w:sz="4" w:space="0" w:color="auto"/>
            </w:tcBorders>
            <w:shd w:val="clear" w:color="auto" w:fill="auto"/>
            <w:vAlign w:val="center"/>
          </w:tcPr>
          <w:p w:rsidR="00092652" w:rsidRDefault="0039522B">
            <w:pPr>
              <w:widowControl/>
              <w:jc w:val="center"/>
              <w:rPr>
                <w:rFonts w:ascii="宋体" w:hAnsi="宋体" w:cs="Arial"/>
                <w:color w:val="000000"/>
                <w:kern w:val="0"/>
                <w:sz w:val="17"/>
                <w:szCs w:val="17"/>
                <w:lang w:val="en-GB"/>
              </w:rPr>
            </w:pPr>
            <w:r>
              <w:rPr>
                <w:rFonts w:ascii="宋体" w:hAnsi="宋体" w:cs="Arial"/>
                <w:color w:val="000000"/>
                <w:kern w:val="0"/>
                <w:sz w:val="17"/>
                <w:szCs w:val="17"/>
                <w:lang w:val="en-GB"/>
              </w:rPr>
              <w:t>承诺投资</w:t>
            </w:r>
          </w:p>
          <w:p w:rsidR="00092652" w:rsidRDefault="0039522B">
            <w:pPr>
              <w:widowControl/>
              <w:jc w:val="center"/>
              <w:rPr>
                <w:rFonts w:ascii="宋体" w:hAnsi="宋体" w:cs="Arial"/>
                <w:color w:val="000000"/>
                <w:kern w:val="0"/>
                <w:sz w:val="17"/>
                <w:szCs w:val="17"/>
                <w:lang w:val="en-GB"/>
              </w:rPr>
            </w:pPr>
            <w:r>
              <w:rPr>
                <w:rFonts w:ascii="宋体" w:hAnsi="宋体" w:cs="Arial"/>
                <w:color w:val="000000"/>
                <w:kern w:val="0"/>
                <w:sz w:val="17"/>
                <w:szCs w:val="17"/>
                <w:lang w:val="en-GB"/>
              </w:rPr>
              <w:t>项目</w:t>
            </w:r>
          </w:p>
        </w:tc>
        <w:tc>
          <w:tcPr>
            <w:tcW w:w="1000" w:type="dxa"/>
            <w:tcBorders>
              <w:top w:val="nil"/>
              <w:left w:val="nil"/>
              <w:bottom w:val="single" w:sz="4" w:space="0" w:color="auto"/>
              <w:right w:val="single" w:sz="4" w:space="0" w:color="auto"/>
            </w:tcBorders>
            <w:shd w:val="clear" w:color="auto" w:fill="auto"/>
            <w:vAlign w:val="center"/>
          </w:tcPr>
          <w:p w:rsidR="00092652" w:rsidRDefault="0039522B">
            <w:pPr>
              <w:widowControl/>
              <w:jc w:val="center"/>
              <w:rPr>
                <w:rFonts w:ascii="宋体" w:hAnsi="宋体" w:cs="Arial"/>
                <w:color w:val="000000"/>
                <w:kern w:val="0"/>
                <w:sz w:val="17"/>
                <w:szCs w:val="17"/>
                <w:lang w:val="en-GB"/>
              </w:rPr>
            </w:pPr>
            <w:r>
              <w:rPr>
                <w:rFonts w:ascii="宋体" w:hAnsi="宋体" w:cs="Arial"/>
                <w:color w:val="000000"/>
                <w:kern w:val="0"/>
                <w:sz w:val="17"/>
                <w:szCs w:val="17"/>
                <w:lang w:val="en-GB"/>
              </w:rPr>
              <w:t>实际投资</w:t>
            </w:r>
          </w:p>
          <w:p w:rsidR="00092652" w:rsidRDefault="0039522B">
            <w:pPr>
              <w:widowControl/>
              <w:jc w:val="center"/>
              <w:rPr>
                <w:rFonts w:ascii="宋体" w:hAnsi="宋体" w:cs="Arial"/>
                <w:color w:val="000000"/>
                <w:kern w:val="0"/>
                <w:sz w:val="17"/>
                <w:szCs w:val="17"/>
                <w:lang w:val="en-GB"/>
              </w:rPr>
            </w:pPr>
            <w:r>
              <w:rPr>
                <w:rFonts w:ascii="宋体" w:hAnsi="宋体" w:cs="Arial"/>
                <w:color w:val="000000"/>
                <w:kern w:val="0"/>
                <w:sz w:val="17"/>
                <w:szCs w:val="17"/>
                <w:lang w:val="en-GB"/>
              </w:rPr>
              <w:t>项目</w:t>
            </w:r>
          </w:p>
        </w:tc>
        <w:tc>
          <w:tcPr>
            <w:tcW w:w="1701" w:type="dxa"/>
            <w:tcBorders>
              <w:top w:val="nil"/>
              <w:left w:val="nil"/>
              <w:bottom w:val="single" w:sz="4" w:space="0" w:color="auto"/>
              <w:right w:val="single" w:sz="4" w:space="0" w:color="auto"/>
            </w:tcBorders>
            <w:shd w:val="clear" w:color="auto" w:fill="auto"/>
            <w:vAlign w:val="center"/>
          </w:tcPr>
          <w:p w:rsidR="00092652" w:rsidRDefault="0039522B">
            <w:pPr>
              <w:widowControl/>
              <w:jc w:val="center"/>
              <w:rPr>
                <w:rFonts w:ascii="宋体" w:hAnsi="宋体" w:cs="Arial"/>
                <w:color w:val="000000"/>
                <w:kern w:val="0"/>
                <w:sz w:val="17"/>
                <w:szCs w:val="17"/>
                <w:lang w:val="en-GB"/>
              </w:rPr>
            </w:pPr>
            <w:r>
              <w:rPr>
                <w:rFonts w:ascii="宋体" w:hAnsi="宋体" w:cs="Arial"/>
                <w:color w:val="000000"/>
                <w:kern w:val="0"/>
                <w:sz w:val="17"/>
                <w:szCs w:val="17"/>
                <w:lang w:val="en-GB"/>
              </w:rPr>
              <w:t>募集前承诺</w:t>
            </w:r>
          </w:p>
          <w:p w:rsidR="00092652" w:rsidRDefault="0039522B">
            <w:pPr>
              <w:widowControl/>
              <w:jc w:val="center"/>
              <w:rPr>
                <w:rFonts w:ascii="宋体" w:hAnsi="宋体" w:cs="Arial"/>
                <w:color w:val="000000"/>
                <w:kern w:val="0"/>
                <w:sz w:val="17"/>
                <w:szCs w:val="17"/>
              </w:rPr>
            </w:pPr>
            <w:r>
              <w:rPr>
                <w:rFonts w:ascii="宋体" w:hAnsi="宋体" w:cs="Arial"/>
                <w:color w:val="000000"/>
                <w:kern w:val="0"/>
                <w:sz w:val="17"/>
                <w:szCs w:val="17"/>
                <w:lang w:val="en-GB"/>
              </w:rPr>
              <w:t>投资金额</w:t>
            </w:r>
          </w:p>
        </w:tc>
        <w:tc>
          <w:tcPr>
            <w:tcW w:w="1701" w:type="dxa"/>
            <w:tcBorders>
              <w:top w:val="nil"/>
              <w:left w:val="nil"/>
              <w:bottom w:val="single" w:sz="4" w:space="0" w:color="auto"/>
              <w:right w:val="single" w:sz="4" w:space="0" w:color="auto"/>
            </w:tcBorders>
            <w:shd w:val="clear" w:color="auto" w:fill="auto"/>
            <w:vAlign w:val="center"/>
          </w:tcPr>
          <w:p w:rsidR="00092652" w:rsidRDefault="0039522B">
            <w:pPr>
              <w:widowControl/>
              <w:jc w:val="center"/>
              <w:rPr>
                <w:rFonts w:ascii="宋体" w:hAnsi="宋体" w:cs="Arial"/>
                <w:color w:val="000000"/>
                <w:kern w:val="0"/>
                <w:sz w:val="17"/>
                <w:szCs w:val="17"/>
                <w:lang w:val="en-GB"/>
              </w:rPr>
            </w:pPr>
            <w:r>
              <w:rPr>
                <w:rFonts w:ascii="宋体" w:hAnsi="宋体" w:cs="Arial"/>
                <w:color w:val="000000"/>
                <w:kern w:val="0"/>
                <w:sz w:val="17"/>
                <w:szCs w:val="17"/>
                <w:lang w:val="en-GB"/>
              </w:rPr>
              <w:t>募集后承诺</w:t>
            </w:r>
          </w:p>
          <w:p w:rsidR="00092652" w:rsidRDefault="0039522B">
            <w:pPr>
              <w:widowControl/>
              <w:jc w:val="center"/>
              <w:rPr>
                <w:rFonts w:ascii="宋体" w:hAnsi="宋体" w:cs="Arial"/>
                <w:color w:val="000000"/>
                <w:kern w:val="0"/>
                <w:sz w:val="17"/>
                <w:szCs w:val="17"/>
                <w:lang w:val="en-GB"/>
              </w:rPr>
            </w:pPr>
            <w:r>
              <w:rPr>
                <w:rFonts w:ascii="宋体" w:hAnsi="宋体" w:cs="Arial"/>
                <w:color w:val="000000"/>
                <w:kern w:val="0"/>
                <w:sz w:val="17"/>
                <w:szCs w:val="17"/>
                <w:lang w:val="en-GB"/>
              </w:rPr>
              <w:t>投资金额</w:t>
            </w:r>
          </w:p>
        </w:tc>
        <w:tc>
          <w:tcPr>
            <w:tcW w:w="1701" w:type="dxa"/>
            <w:tcBorders>
              <w:top w:val="nil"/>
              <w:left w:val="nil"/>
              <w:bottom w:val="single" w:sz="4" w:space="0" w:color="auto"/>
              <w:right w:val="single" w:sz="4" w:space="0" w:color="auto"/>
            </w:tcBorders>
            <w:shd w:val="clear" w:color="auto" w:fill="auto"/>
            <w:vAlign w:val="center"/>
          </w:tcPr>
          <w:p w:rsidR="00092652" w:rsidRDefault="0039522B">
            <w:pPr>
              <w:widowControl/>
              <w:jc w:val="center"/>
              <w:rPr>
                <w:rFonts w:ascii="宋体" w:hAnsi="宋体" w:cs="Arial"/>
                <w:color w:val="000000"/>
                <w:kern w:val="0"/>
                <w:sz w:val="17"/>
                <w:szCs w:val="17"/>
                <w:lang w:val="en-GB"/>
              </w:rPr>
            </w:pPr>
            <w:r>
              <w:rPr>
                <w:rFonts w:ascii="宋体" w:hAnsi="宋体" w:cs="Arial"/>
                <w:color w:val="000000"/>
                <w:kern w:val="0"/>
                <w:sz w:val="17"/>
                <w:szCs w:val="17"/>
                <w:lang w:val="en-GB"/>
              </w:rPr>
              <w:t>实际投资金额</w:t>
            </w:r>
          </w:p>
        </w:tc>
        <w:tc>
          <w:tcPr>
            <w:tcW w:w="1701" w:type="dxa"/>
            <w:tcBorders>
              <w:top w:val="nil"/>
              <w:left w:val="nil"/>
              <w:bottom w:val="single" w:sz="4" w:space="0" w:color="auto"/>
              <w:right w:val="single" w:sz="4" w:space="0" w:color="auto"/>
            </w:tcBorders>
            <w:shd w:val="clear" w:color="auto" w:fill="auto"/>
            <w:vAlign w:val="center"/>
          </w:tcPr>
          <w:p w:rsidR="00092652" w:rsidRDefault="0039522B">
            <w:pPr>
              <w:widowControl/>
              <w:jc w:val="center"/>
              <w:rPr>
                <w:rFonts w:ascii="宋体" w:hAnsi="宋体" w:cs="Arial"/>
                <w:color w:val="000000"/>
                <w:kern w:val="0"/>
                <w:sz w:val="17"/>
                <w:szCs w:val="17"/>
                <w:lang w:val="en-GB"/>
              </w:rPr>
            </w:pPr>
            <w:r>
              <w:rPr>
                <w:rFonts w:ascii="宋体" w:hAnsi="宋体" w:cs="Arial"/>
                <w:color w:val="000000"/>
                <w:kern w:val="0"/>
                <w:sz w:val="17"/>
                <w:szCs w:val="17"/>
                <w:lang w:val="en-GB"/>
              </w:rPr>
              <w:t>募集前承诺</w:t>
            </w:r>
          </w:p>
          <w:p w:rsidR="00092652" w:rsidRDefault="0039522B">
            <w:pPr>
              <w:widowControl/>
              <w:jc w:val="center"/>
              <w:rPr>
                <w:rFonts w:ascii="宋体" w:hAnsi="宋体" w:cs="Arial"/>
                <w:color w:val="000000"/>
                <w:kern w:val="0"/>
                <w:sz w:val="17"/>
                <w:szCs w:val="17"/>
                <w:lang w:val="en-GB"/>
              </w:rPr>
            </w:pPr>
            <w:r>
              <w:rPr>
                <w:rFonts w:ascii="宋体" w:hAnsi="宋体" w:cs="Arial"/>
                <w:color w:val="000000"/>
                <w:kern w:val="0"/>
                <w:sz w:val="17"/>
                <w:szCs w:val="17"/>
                <w:lang w:val="en-GB"/>
              </w:rPr>
              <w:t>投资金额</w:t>
            </w:r>
          </w:p>
        </w:tc>
        <w:tc>
          <w:tcPr>
            <w:tcW w:w="1701" w:type="dxa"/>
            <w:tcBorders>
              <w:top w:val="nil"/>
              <w:left w:val="nil"/>
              <w:bottom w:val="single" w:sz="4" w:space="0" w:color="auto"/>
              <w:right w:val="single" w:sz="4" w:space="0" w:color="auto"/>
            </w:tcBorders>
            <w:shd w:val="clear" w:color="auto" w:fill="auto"/>
            <w:vAlign w:val="center"/>
          </w:tcPr>
          <w:p w:rsidR="00092652" w:rsidRDefault="0039522B">
            <w:pPr>
              <w:widowControl/>
              <w:jc w:val="center"/>
              <w:rPr>
                <w:rFonts w:ascii="宋体" w:hAnsi="宋体" w:cs="Arial"/>
                <w:color w:val="000000"/>
                <w:kern w:val="0"/>
                <w:sz w:val="17"/>
                <w:szCs w:val="17"/>
                <w:lang w:val="en-GB"/>
              </w:rPr>
            </w:pPr>
            <w:r>
              <w:rPr>
                <w:rFonts w:ascii="宋体" w:hAnsi="宋体" w:cs="Arial"/>
                <w:color w:val="000000"/>
                <w:kern w:val="0"/>
                <w:sz w:val="17"/>
                <w:szCs w:val="17"/>
                <w:lang w:val="en-GB"/>
              </w:rPr>
              <w:t>募集后承诺</w:t>
            </w:r>
          </w:p>
          <w:p w:rsidR="00092652" w:rsidRDefault="0039522B">
            <w:pPr>
              <w:widowControl/>
              <w:jc w:val="center"/>
              <w:rPr>
                <w:rFonts w:ascii="宋体" w:hAnsi="宋体" w:cs="Arial"/>
                <w:color w:val="000000"/>
                <w:kern w:val="0"/>
                <w:sz w:val="17"/>
                <w:szCs w:val="17"/>
                <w:lang w:val="en-GB"/>
              </w:rPr>
            </w:pPr>
            <w:r>
              <w:rPr>
                <w:rFonts w:ascii="宋体" w:hAnsi="宋体" w:cs="Arial"/>
                <w:color w:val="000000"/>
                <w:kern w:val="0"/>
                <w:sz w:val="17"/>
                <w:szCs w:val="17"/>
                <w:lang w:val="en-GB"/>
              </w:rPr>
              <w:t>投资金额</w:t>
            </w:r>
          </w:p>
        </w:tc>
        <w:tc>
          <w:tcPr>
            <w:tcW w:w="1701" w:type="dxa"/>
            <w:tcBorders>
              <w:top w:val="nil"/>
              <w:left w:val="nil"/>
              <w:bottom w:val="single" w:sz="4" w:space="0" w:color="auto"/>
              <w:right w:val="single" w:sz="4" w:space="0" w:color="auto"/>
            </w:tcBorders>
            <w:shd w:val="clear" w:color="auto" w:fill="auto"/>
            <w:vAlign w:val="center"/>
          </w:tcPr>
          <w:p w:rsidR="00092652" w:rsidRDefault="0039522B">
            <w:pPr>
              <w:widowControl/>
              <w:jc w:val="center"/>
              <w:rPr>
                <w:rFonts w:ascii="宋体" w:hAnsi="宋体" w:cs="Arial"/>
                <w:color w:val="000000"/>
                <w:kern w:val="0"/>
                <w:sz w:val="17"/>
                <w:szCs w:val="17"/>
                <w:lang w:val="en-GB"/>
              </w:rPr>
            </w:pPr>
            <w:r>
              <w:rPr>
                <w:rFonts w:ascii="宋体" w:hAnsi="宋体" w:cs="Arial"/>
                <w:color w:val="000000"/>
                <w:kern w:val="0"/>
                <w:sz w:val="17"/>
                <w:szCs w:val="17"/>
                <w:lang w:val="en-GB"/>
              </w:rPr>
              <w:t>实际投资金额</w:t>
            </w:r>
          </w:p>
        </w:tc>
        <w:tc>
          <w:tcPr>
            <w:tcW w:w="1560" w:type="dxa"/>
            <w:tcBorders>
              <w:top w:val="nil"/>
              <w:left w:val="nil"/>
              <w:bottom w:val="single" w:sz="4" w:space="0" w:color="auto"/>
              <w:right w:val="single" w:sz="4" w:space="0" w:color="auto"/>
            </w:tcBorders>
            <w:shd w:val="clear" w:color="auto" w:fill="auto"/>
            <w:vAlign w:val="center"/>
          </w:tcPr>
          <w:p w:rsidR="00092652" w:rsidRDefault="0039522B">
            <w:pPr>
              <w:widowControl/>
              <w:jc w:val="center"/>
              <w:rPr>
                <w:rFonts w:ascii="宋体" w:hAnsi="宋体" w:cs="Arial"/>
                <w:color w:val="000000"/>
                <w:kern w:val="0"/>
                <w:sz w:val="17"/>
                <w:szCs w:val="17"/>
                <w:lang w:val="en-GB"/>
              </w:rPr>
            </w:pPr>
            <w:r>
              <w:rPr>
                <w:rFonts w:ascii="宋体" w:hAnsi="宋体" w:cs="Arial"/>
                <w:color w:val="000000"/>
                <w:kern w:val="0"/>
                <w:sz w:val="17"/>
                <w:szCs w:val="17"/>
                <w:lang w:val="en-GB"/>
              </w:rPr>
              <w:t>实际投资金额与募集后承诺投资金额的差额</w:t>
            </w:r>
          </w:p>
        </w:tc>
        <w:tc>
          <w:tcPr>
            <w:tcW w:w="1134" w:type="dxa"/>
            <w:vMerge/>
            <w:tcBorders>
              <w:top w:val="nil"/>
              <w:left w:val="single" w:sz="4" w:space="0" w:color="auto"/>
              <w:bottom w:val="single" w:sz="4" w:space="0" w:color="auto"/>
              <w:right w:val="single" w:sz="4" w:space="0" w:color="auto"/>
            </w:tcBorders>
            <w:vAlign w:val="center"/>
          </w:tcPr>
          <w:p w:rsidR="00092652" w:rsidRDefault="00092652">
            <w:pPr>
              <w:widowControl/>
              <w:jc w:val="left"/>
              <w:rPr>
                <w:rFonts w:ascii="宋体" w:hAnsi="宋体" w:cs="Arial"/>
                <w:color w:val="000000"/>
                <w:kern w:val="0"/>
                <w:sz w:val="17"/>
                <w:szCs w:val="17"/>
                <w:lang w:val="en-GB"/>
              </w:rPr>
            </w:pPr>
          </w:p>
        </w:tc>
      </w:tr>
      <w:tr w:rsidR="00092652">
        <w:trPr>
          <w:trHeight w:val="240"/>
        </w:trPr>
        <w:tc>
          <w:tcPr>
            <w:tcW w:w="384" w:type="dxa"/>
            <w:tcBorders>
              <w:top w:val="nil"/>
              <w:left w:val="single" w:sz="4" w:space="0" w:color="auto"/>
              <w:bottom w:val="single" w:sz="4" w:space="0" w:color="auto"/>
              <w:right w:val="single" w:sz="4" w:space="0" w:color="auto"/>
            </w:tcBorders>
            <w:shd w:val="clear" w:color="auto" w:fill="auto"/>
            <w:vAlign w:val="center"/>
          </w:tcPr>
          <w:p w:rsidR="00092652" w:rsidRDefault="0039522B">
            <w:pPr>
              <w:widowControl/>
              <w:jc w:val="center"/>
              <w:rPr>
                <w:rFonts w:ascii="宋体" w:hAnsi="宋体" w:cs="Arial"/>
                <w:color w:val="000000"/>
                <w:kern w:val="0"/>
                <w:sz w:val="17"/>
                <w:szCs w:val="17"/>
                <w:lang w:val="en-GB"/>
              </w:rPr>
            </w:pPr>
            <w:r>
              <w:rPr>
                <w:rFonts w:ascii="宋体" w:hAnsi="宋体" w:cs="Arial"/>
                <w:color w:val="000000"/>
                <w:kern w:val="0"/>
                <w:sz w:val="17"/>
                <w:szCs w:val="17"/>
              </w:rPr>
              <w:t>1</w:t>
            </w:r>
          </w:p>
        </w:tc>
        <w:tc>
          <w:tcPr>
            <w:tcW w:w="1026" w:type="dxa"/>
            <w:tcBorders>
              <w:top w:val="nil"/>
              <w:left w:val="nil"/>
              <w:bottom w:val="single" w:sz="4" w:space="0" w:color="auto"/>
              <w:right w:val="single" w:sz="4" w:space="0" w:color="auto"/>
            </w:tcBorders>
            <w:shd w:val="clear" w:color="auto" w:fill="auto"/>
            <w:vAlign w:val="bottom"/>
          </w:tcPr>
          <w:p w:rsidR="00092652" w:rsidRDefault="0039522B">
            <w:pPr>
              <w:widowControl/>
              <w:jc w:val="center"/>
              <w:rPr>
                <w:rFonts w:ascii="宋体" w:hAnsi="宋体" w:cs="Arial"/>
                <w:color w:val="000000"/>
                <w:kern w:val="0"/>
                <w:sz w:val="17"/>
                <w:szCs w:val="17"/>
                <w:lang w:val="en-GB"/>
              </w:rPr>
            </w:pPr>
            <w:r>
              <w:rPr>
                <w:rFonts w:ascii="宋体" w:hAnsi="宋体" w:cs="Arial"/>
                <w:color w:val="000000"/>
                <w:kern w:val="0"/>
                <w:sz w:val="17"/>
                <w:szCs w:val="17"/>
                <w:lang w:val="en-GB"/>
              </w:rPr>
              <w:t>补充核心一级资本</w:t>
            </w:r>
          </w:p>
        </w:tc>
        <w:tc>
          <w:tcPr>
            <w:tcW w:w="1000" w:type="dxa"/>
            <w:tcBorders>
              <w:top w:val="nil"/>
              <w:left w:val="nil"/>
              <w:bottom w:val="single" w:sz="4" w:space="0" w:color="auto"/>
              <w:right w:val="single" w:sz="4" w:space="0" w:color="auto"/>
            </w:tcBorders>
            <w:shd w:val="clear" w:color="auto" w:fill="auto"/>
            <w:vAlign w:val="center"/>
          </w:tcPr>
          <w:p w:rsidR="00092652" w:rsidRDefault="0039522B">
            <w:pPr>
              <w:widowControl/>
              <w:jc w:val="center"/>
              <w:rPr>
                <w:rFonts w:ascii="宋体" w:hAnsi="宋体" w:cs="Arial"/>
                <w:color w:val="000000"/>
                <w:kern w:val="0"/>
                <w:sz w:val="17"/>
                <w:szCs w:val="17"/>
                <w:lang w:val="en-GB"/>
              </w:rPr>
            </w:pPr>
            <w:r>
              <w:rPr>
                <w:rFonts w:ascii="宋体" w:hAnsi="宋体" w:cs="Arial"/>
                <w:color w:val="000000"/>
                <w:kern w:val="0"/>
                <w:sz w:val="17"/>
                <w:szCs w:val="17"/>
                <w:lang w:val="en-GB"/>
              </w:rPr>
              <w:t>补充核心一级资本</w:t>
            </w:r>
          </w:p>
        </w:tc>
        <w:tc>
          <w:tcPr>
            <w:tcW w:w="1701" w:type="dxa"/>
            <w:tcBorders>
              <w:top w:val="nil"/>
              <w:left w:val="nil"/>
              <w:bottom w:val="single" w:sz="4" w:space="0" w:color="auto"/>
              <w:right w:val="single" w:sz="4" w:space="0" w:color="auto"/>
            </w:tcBorders>
            <w:shd w:val="clear" w:color="auto" w:fill="auto"/>
            <w:vAlign w:val="center"/>
          </w:tcPr>
          <w:p w:rsidR="00092652" w:rsidRDefault="0039522B">
            <w:pPr>
              <w:widowControl/>
              <w:jc w:val="center"/>
              <w:rPr>
                <w:rFonts w:ascii="宋体" w:hAnsi="宋体" w:cs="Arial"/>
                <w:color w:val="000000"/>
                <w:kern w:val="0"/>
                <w:sz w:val="17"/>
                <w:szCs w:val="17"/>
                <w:lang w:val="en-GB"/>
              </w:rPr>
            </w:pPr>
            <w:r>
              <w:rPr>
                <w:rFonts w:ascii="宋体" w:hAnsi="宋体" w:cs="Arial"/>
                <w:kern w:val="0"/>
                <w:sz w:val="17"/>
                <w:szCs w:val="17"/>
              </w:rPr>
              <w:t>25,894,247,104.85</w:t>
            </w:r>
          </w:p>
        </w:tc>
        <w:tc>
          <w:tcPr>
            <w:tcW w:w="1701" w:type="dxa"/>
            <w:tcBorders>
              <w:top w:val="nil"/>
              <w:left w:val="nil"/>
              <w:bottom w:val="single" w:sz="4" w:space="0" w:color="auto"/>
              <w:right w:val="single" w:sz="4" w:space="0" w:color="auto"/>
            </w:tcBorders>
            <w:shd w:val="clear" w:color="auto" w:fill="auto"/>
            <w:vAlign w:val="center"/>
          </w:tcPr>
          <w:p w:rsidR="00092652" w:rsidRDefault="0039522B">
            <w:pPr>
              <w:widowControl/>
              <w:jc w:val="center"/>
              <w:rPr>
                <w:rFonts w:ascii="宋体" w:hAnsi="宋体" w:cs="Arial"/>
                <w:color w:val="000000"/>
                <w:kern w:val="0"/>
                <w:sz w:val="17"/>
                <w:szCs w:val="17"/>
                <w:lang w:val="en-GB"/>
              </w:rPr>
            </w:pPr>
            <w:r>
              <w:rPr>
                <w:rFonts w:ascii="宋体" w:hAnsi="宋体" w:cs="Arial"/>
                <w:kern w:val="0"/>
                <w:sz w:val="17"/>
                <w:szCs w:val="17"/>
              </w:rPr>
              <w:t>25,894,247,104.85</w:t>
            </w:r>
          </w:p>
        </w:tc>
        <w:tc>
          <w:tcPr>
            <w:tcW w:w="1701" w:type="dxa"/>
            <w:tcBorders>
              <w:top w:val="nil"/>
              <w:left w:val="nil"/>
              <w:bottom w:val="single" w:sz="4" w:space="0" w:color="auto"/>
              <w:right w:val="single" w:sz="4" w:space="0" w:color="auto"/>
            </w:tcBorders>
            <w:shd w:val="clear" w:color="auto" w:fill="auto"/>
            <w:vAlign w:val="center"/>
          </w:tcPr>
          <w:p w:rsidR="00092652" w:rsidRDefault="0039522B">
            <w:pPr>
              <w:widowControl/>
              <w:jc w:val="center"/>
              <w:rPr>
                <w:rFonts w:ascii="宋体" w:hAnsi="宋体" w:cs="Arial"/>
                <w:color w:val="000000"/>
                <w:kern w:val="0"/>
                <w:sz w:val="17"/>
                <w:szCs w:val="17"/>
                <w:lang w:val="en-GB"/>
              </w:rPr>
            </w:pPr>
            <w:r>
              <w:rPr>
                <w:rFonts w:ascii="宋体" w:hAnsi="宋体" w:cs="Arial"/>
                <w:kern w:val="0"/>
                <w:sz w:val="17"/>
                <w:szCs w:val="17"/>
              </w:rPr>
              <w:t>25,894,247,104.85</w:t>
            </w:r>
          </w:p>
        </w:tc>
        <w:tc>
          <w:tcPr>
            <w:tcW w:w="1701" w:type="dxa"/>
            <w:tcBorders>
              <w:top w:val="nil"/>
              <w:left w:val="nil"/>
              <w:bottom w:val="single" w:sz="4" w:space="0" w:color="auto"/>
              <w:right w:val="single" w:sz="4" w:space="0" w:color="auto"/>
            </w:tcBorders>
            <w:shd w:val="clear" w:color="auto" w:fill="auto"/>
            <w:vAlign w:val="center"/>
          </w:tcPr>
          <w:p w:rsidR="00092652" w:rsidRDefault="0039522B">
            <w:pPr>
              <w:widowControl/>
              <w:jc w:val="center"/>
              <w:rPr>
                <w:rFonts w:ascii="宋体" w:hAnsi="宋体" w:cs="Arial"/>
                <w:color w:val="000000"/>
                <w:kern w:val="0"/>
                <w:sz w:val="17"/>
                <w:szCs w:val="17"/>
                <w:lang w:val="en-GB"/>
              </w:rPr>
            </w:pPr>
            <w:r>
              <w:rPr>
                <w:rFonts w:ascii="宋体" w:hAnsi="宋体" w:cs="Arial"/>
                <w:kern w:val="0"/>
                <w:sz w:val="17"/>
                <w:szCs w:val="17"/>
              </w:rPr>
              <w:t>25,894,247,104.85</w:t>
            </w:r>
          </w:p>
        </w:tc>
        <w:tc>
          <w:tcPr>
            <w:tcW w:w="1701" w:type="dxa"/>
            <w:tcBorders>
              <w:top w:val="nil"/>
              <w:left w:val="nil"/>
              <w:bottom w:val="single" w:sz="4" w:space="0" w:color="auto"/>
              <w:right w:val="single" w:sz="4" w:space="0" w:color="auto"/>
            </w:tcBorders>
            <w:shd w:val="clear" w:color="auto" w:fill="auto"/>
            <w:vAlign w:val="center"/>
          </w:tcPr>
          <w:p w:rsidR="00092652" w:rsidRDefault="0039522B">
            <w:pPr>
              <w:widowControl/>
              <w:jc w:val="center"/>
              <w:rPr>
                <w:rFonts w:ascii="宋体" w:hAnsi="宋体" w:cs="Arial"/>
                <w:color w:val="000000"/>
                <w:kern w:val="0"/>
                <w:sz w:val="17"/>
                <w:szCs w:val="17"/>
                <w:lang w:val="en-GB"/>
              </w:rPr>
            </w:pPr>
            <w:r>
              <w:rPr>
                <w:rFonts w:ascii="宋体" w:hAnsi="宋体" w:cs="Arial"/>
                <w:kern w:val="0"/>
                <w:sz w:val="17"/>
                <w:szCs w:val="17"/>
              </w:rPr>
              <w:t>25,894,247,104.85</w:t>
            </w:r>
          </w:p>
        </w:tc>
        <w:tc>
          <w:tcPr>
            <w:tcW w:w="1701" w:type="dxa"/>
            <w:tcBorders>
              <w:top w:val="nil"/>
              <w:left w:val="nil"/>
              <w:bottom w:val="single" w:sz="4" w:space="0" w:color="auto"/>
              <w:right w:val="single" w:sz="4" w:space="0" w:color="auto"/>
            </w:tcBorders>
            <w:shd w:val="clear" w:color="auto" w:fill="auto"/>
            <w:vAlign w:val="center"/>
          </w:tcPr>
          <w:p w:rsidR="00092652" w:rsidRDefault="0039522B">
            <w:pPr>
              <w:widowControl/>
              <w:jc w:val="center"/>
              <w:rPr>
                <w:rFonts w:ascii="宋体" w:hAnsi="宋体" w:cs="Arial"/>
                <w:color w:val="000000"/>
                <w:kern w:val="0"/>
                <w:sz w:val="17"/>
                <w:szCs w:val="17"/>
                <w:lang w:val="en-GB"/>
              </w:rPr>
            </w:pPr>
            <w:r>
              <w:rPr>
                <w:rFonts w:ascii="宋体" w:hAnsi="宋体" w:cs="Arial"/>
                <w:kern w:val="0"/>
                <w:sz w:val="17"/>
                <w:szCs w:val="17"/>
              </w:rPr>
              <w:t>25,894,247,104.85</w:t>
            </w:r>
          </w:p>
        </w:tc>
        <w:tc>
          <w:tcPr>
            <w:tcW w:w="1560" w:type="dxa"/>
            <w:tcBorders>
              <w:top w:val="nil"/>
              <w:left w:val="nil"/>
              <w:bottom w:val="single" w:sz="4" w:space="0" w:color="auto"/>
              <w:right w:val="single" w:sz="4" w:space="0" w:color="auto"/>
            </w:tcBorders>
            <w:shd w:val="clear" w:color="auto" w:fill="auto"/>
            <w:vAlign w:val="center"/>
          </w:tcPr>
          <w:p w:rsidR="00092652" w:rsidRDefault="0039522B">
            <w:pPr>
              <w:widowControl/>
              <w:ind w:right="-681" w:firstLine="596"/>
              <w:jc w:val="center"/>
              <w:rPr>
                <w:rFonts w:ascii="宋体" w:hAnsi="宋体" w:cs="Arial"/>
                <w:color w:val="000000"/>
                <w:kern w:val="0"/>
                <w:sz w:val="17"/>
                <w:szCs w:val="17"/>
                <w:lang w:val="en-GB"/>
              </w:rPr>
            </w:pPr>
            <w:r>
              <w:rPr>
                <w:rFonts w:ascii="宋体" w:hAnsi="宋体" w:cs="Arial"/>
                <w:color w:val="000000"/>
                <w:kern w:val="0"/>
                <w:sz w:val="17"/>
                <w:szCs w:val="17"/>
              </w:rPr>
              <w:t>-</w:t>
            </w:r>
          </w:p>
        </w:tc>
        <w:tc>
          <w:tcPr>
            <w:tcW w:w="1134" w:type="dxa"/>
            <w:tcBorders>
              <w:top w:val="nil"/>
              <w:left w:val="nil"/>
              <w:bottom w:val="single" w:sz="4" w:space="0" w:color="auto"/>
              <w:right w:val="single" w:sz="4" w:space="0" w:color="auto"/>
            </w:tcBorders>
            <w:shd w:val="clear" w:color="auto" w:fill="auto"/>
            <w:vAlign w:val="center"/>
          </w:tcPr>
          <w:p w:rsidR="00092652" w:rsidRDefault="0039522B">
            <w:pPr>
              <w:widowControl/>
              <w:jc w:val="center"/>
              <w:rPr>
                <w:rFonts w:ascii="宋体" w:hAnsi="宋体" w:cs="Arial"/>
                <w:color w:val="000000"/>
                <w:kern w:val="0"/>
                <w:sz w:val="17"/>
                <w:szCs w:val="17"/>
                <w:lang w:val="en-GB"/>
              </w:rPr>
            </w:pPr>
            <w:r>
              <w:rPr>
                <w:rFonts w:ascii="宋体" w:hAnsi="宋体" w:cs="Arial"/>
                <w:color w:val="000000"/>
                <w:kern w:val="0"/>
                <w:sz w:val="17"/>
                <w:szCs w:val="17"/>
                <w:lang w:val="en-GB"/>
              </w:rPr>
              <w:t>不适用</w:t>
            </w:r>
          </w:p>
        </w:tc>
      </w:tr>
    </w:tbl>
    <w:p w:rsidR="00092652" w:rsidRDefault="00092652">
      <w:pPr>
        <w:widowControl/>
        <w:tabs>
          <w:tab w:val="left" w:pos="3996"/>
        </w:tabs>
        <w:spacing w:line="260" w:lineRule="atLeast"/>
        <w:jc w:val="left"/>
        <w:rPr>
          <w:rFonts w:ascii="宋体" w:hAnsi="宋体" w:cs="Arial"/>
          <w:kern w:val="0"/>
          <w:sz w:val="17"/>
          <w:szCs w:val="17"/>
        </w:rPr>
      </w:pPr>
    </w:p>
    <w:p w:rsidR="00092652" w:rsidRDefault="00092652">
      <w:pPr>
        <w:widowControl/>
        <w:tabs>
          <w:tab w:val="left" w:pos="3996"/>
        </w:tabs>
        <w:spacing w:line="260" w:lineRule="atLeast"/>
        <w:jc w:val="left"/>
        <w:rPr>
          <w:rFonts w:ascii="宋体" w:hAnsi="宋体" w:cs="Arial"/>
          <w:kern w:val="0"/>
          <w:sz w:val="17"/>
          <w:szCs w:val="17"/>
        </w:rPr>
      </w:pPr>
    </w:p>
    <w:p w:rsidR="00092652" w:rsidRDefault="00092652">
      <w:pPr>
        <w:widowControl/>
        <w:tabs>
          <w:tab w:val="left" w:pos="3996"/>
        </w:tabs>
        <w:spacing w:line="260" w:lineRule="atLeast"/>
        <w:jc w:val="left"/>
        <w:rPr>
          <w:rFonts w:ascii="宋体" w:hAnsi="宋体" w:cs="Arial"/>
          <w:kern w:val="0"/>
          <w:sz w:val="17"/>
          <w:szCs w:val="17"/>
        </w:rPr>
      </w:pPr>
    </w:p>
    <w:p w:rsidR="00092652" w:rsidRDefault="00092652">
      <w:pPr>
        <w:widowControl/>
        <w:tabs>
          <w:tab w:val="left" w:pos="3996"/>
        </w:tabs>
        <w:spacing w:line="260" w:lineRule="atLeast"/>
        <w:jc w:val="left"/>
        <w:rPr>
          <w:rFonts w:ascii="宋体" w:hAnsi="宋体" w:cs="Arial"/>
          <w:kern w:val="0"/>
          <w:sz w:val="17"/>
          <w:szCs w:val="17"/>
        </w:rPr>
      </w:pPr>
    </w:p>
    <w:p w:rsidR="00092652" w:rsidRDefault="00092652">
      <w:pPr>
        <w:widowControl/>
        <w:tabs>
          <w:tab w:val="left" w:pos="3996"/>
        </w:tabs>
        <w:spacing w:line="260" w:lineRule="atLeast"/>
        <w:jc w:val="left"/>
        <w:rPr>
          <w:rFonts w:ascii="宋体" w:hAnsi="宋体" w:cs="Arial"/>
          <w:kern w:val="0"/>
          <w:sz w:val="17"/>
          <w:szCs w:val="17"/>
        </w:rPr>
      </w:pPr>
    </w:p>
    <w:p w:rsidR="00092652" w:rsidRDefault="00092652">
      <w:pPr>
        <w:widowControl/>
        <w:tabs>
          <w:tab w:val="left" w:pos="3996"/>
        </w:tabs>
        <w:spacing w:line="260" w:lineRule="atLeast"/>
        <w:jc w:val="left"/>
        <w:rPr>
          <w:rFonts w:ascii="宋体" w:hAnsi="宋体" w:cs="Arial"/>
          <w:kern w:val="0"/>
          <w:sz w:val="17"/>
          <w:szCs w:val="17"/>
        </w:rPr>
      </w:pPr>
    </w:p>
    <w:p w:rsidR="00092652" w:rsidRDefault="00092652">
      <w:pPr>
        <w:widowControl/>
        <w:tabs>
          <w:tab w:val="left" w:pos="3996"/>
        </w:tabs>
        <w:spacing w:line="260" w:lineRule="atLeast"/>
        <w:jc w:val="left"/>
        <w:rPr>
          <w:rFonts w:ascii="宋体" w:hAnsi="宋体" w:cs="Arial"/>
          <w:kern w:val="0"/>
          <w:sz w:val="17"/>
          <w:szCs w:val="17"/>
        </w:rPr>
      </w:pPr>
    </w:p>
    <w:p w:rsidR="00092652" w:rsidRDefault="00092652">
      <w:pPr>
        <w:widowControl/>
        <w:tabs>
          <w:tab w:val="left" w:pos="3996"/>
        </w:tabs>
        <w:spacing w:line="260" w:lineRule="atLeast"/>
        <w:jc w:val="left"/>
        <w:rPr>
          <w:rFonts w:ascii="宋体" w:hAnsi="宋体" w:cs="Arial"/>
          <w:kern w:val="0"/>
          <w:sz w:val="17"/>
          <w:szCs w:val="17"/>
        </w:rPr>
      </w:pPr>
    </w:p>
    <w:tbl>
      <w:tblPr>
        <w:tblW w:w="1532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
        <w:gridCol w:w="1054"/>
        <w:gridCol w:w="992"/>
        <w:gridCol w:w="1701"/>
        <w:gridCol w:w="1701"/>
        <w:gridCol w:w="1701"/>
        <w:gridCol w:w="1701"/>
        <w:gridCol w:w="1701"/>
        <w:gridCol w:w="1701"/>
        <w:gridCol w:w="1560"/>
        <w:gridCol w:w="1149"/>
      </w:tblGrid>
      <w:tr w:rsidR="00092652">
        <w:trPr>
          <w:trHeight w:val="233"/>
        </w:trPr>
        <w:tc>
          <w:tcPr>
            <w:tcW w:w="5812" w:type="dxa"/>
            <w:gridSpan w:val="5"/>
            <w:tcBorders>
              <w:top w:val="nil"/>
              <w:left w:val="nil"/>
              <w:bottom w:val="single" w:sz="4" w:space="0" w:color="auto"/>
              <w:right w:val="nil"/>
            </w:tcBorders>
            <w:shd w:val="clear" w:color="auto" w:fill="auto"/>
            <w:noWrap/>
            <w:vAlign w:val="bottom"/>
          </w:tcPr>
          <w:p w:rsidR="00092652" w:rsidRDefault="0039522B">
            <w:pPr>
              <w:widowControl/>
              <w:jc w:val="left"/>
              <w:rPr>
                <w:rFonts w:ascii="宋体" w:hAnsi="宋体" w:cs="Arial"/>
                <w:color w:val="000000"/>
                <w:kern w:val="0"/>
                <w:sz w:val="17"/>
                <w:szCs w:val="17"/>
                <w:lang w:val="en-GB"/>
              </w:rPr>
            </w:pPr>
            <w:r>
              <w:rPr>
                <w:rFonts w:ascii="宋体" w:hAnsi="宋体" w:cs="Arial"/>
                <w:color w:val="000000"/>
                <w:kern w:val="0"/>
                <w:sz w:val="17"/>
                <w:szCs w:val="17"/>
                <w:lang w:val="en-GB"/>
              </w:rPr>
              <w:t>2019年非公开发行境内优先股股票</w:t>
            </w:r>
          </w:p>
          <w:p w:rsidR="00092652" w:rsidRDefault="00092652">
            <w:pPr>
              <w:widowControl/>
              <w:jc w:val="left"/>
              <w:rPr>
                <w:rFonts w:ascii="宋体" w:hAnsi="宋体" w:cs="Arial"/>
                <w:color w:val="000000"/>
                <w:kern w:val="0"/>
                <w:sz w:val="17"/>
                <w:szCs w:val="17"/>
                <w:lang w:val="en-GB"/>
              </w:rPr>
            </w:pPr>
          </w:p>
        </w:tc>
        <w:tc>
          <w:tcPr>
            <w:tcW w:w="1701" w:type="dxa"/>
            <w:tcBorders>
              <w:top w:val="nil"/>
              <w:left w:val="nil"/>
              <w:bottom w:val="single" w:sz="4" w:space="0" w:color="auto"/>
              <w:right w:val="nil"/>
            </w:tcBorders>
            <w:shd w:val="clear" w:color="auto" w:fill="auto"/>
            <w:noWrap/>
            <w:vAlign w:val="bottom"/>
          </w:tcPr>
          <w:p w:rsidR="00092652" w:rsidRDefault="00092652">
            <w:pPr>
              <w:widowControl/>
              <w:jc w:val="left"/>
              <w:rPr>
                <w:rFonts w:ascii="宋体" w:hAnsi="宋体" w:cs="Arial"/>
                <w:color w:val="000000"/>
                <w:kern w:val="0"/>
                <w:sz w:val="17"/>
                <w:szCs w:val="17"/>
                <w:lang w:val="en-GB"/>
              </w:rPr>
            </w:pPr>
          </w:p>
        </w:tc>
        <w:tc>
          <w:tcPr>
            <w:tcW w:w="1701" w:type="dxa"/>
            <w:tcBorders>
              <w:top w:val="nil"/>
              <w:left w:val="nil"/>
              <w:bottom w:val="single" w:sz="4" w:space="0" w:color="auto"/>
              <w:right w:val="nil"/>
            </w:tcBorders>
            <w:shd w:val="clear" w:color="auto" w:fill="auto"/>
            <w:noWrap/>
            <w:vAlign w:val="bottom"/>
          </w:tcPr>
          <w:p w:rsidR="00092652" w:rsidRDefault="00092652">
            <w:pPr>
              <w:widowControl/>
              <w:jc w:val="left"/>
              <w:rPr>
                <w:rFonts w:ascii="宋体" w:hAnsi="宋体" w:cs="Arial"/>
                <w:kern w:val="0"/>
                <w:sz w:val="17"/>
                <w:szCs w:val="17"/>
                <w:lang w:val="en-GB"/>
              </w:rPr>
            </w:pPr>
          </w:p>
        </w:tc>
        <w:tc>
          <w:tcPr>
            <w:tcW w:w="1701" w:type="dxa"/>
            <w:tcBorders>
              <w:top w:val="nil"/>
              <w:left w:val="nil"/>
              <w:bottom w:val="single" w:sz="4" w:space="0" w:color="auto"/>
              <w:right w:val="nil"/>
            </w:tcBorders>
            <w:shd w:val="clear" w:color="auto" w:fill="auto"/>
            <w:noWrap/>
            <w:vAlign w:val="bottom"/>
          </w:tcPr>
          <w:p w:rsidR="00092652" w:rsidRDefault="00092652">
            <w:pPr>
              <w:widowControl/>
              <w:jc w:val="left"/>
              <w:rPr>
                <w:rFonts w:ascii="宋体" w:hAnsi="宋体" w:cs="Arial"/>
                <w:kern w:val="0"/>
                <w:sz w:val="17"/>
                <w:szCs w:val="17"/>
                <w:lang w:val="en-GB"/>
              </w:rPr>
            </w:pPr>
          </w:p>
        </w:tc>
        <w:tc>
          <w:tcPr>
            <w:tcW w:w="1701" w:type="dxa"/>
            <w:tcBorders>
              <w:top w:val="nil"/>
              <w:left w:val="nil"/>
              <w:bottom w:val="single" w:sz="4" w:space="0" w:color="auto"/>
              <w:right w:val="nil"/>
            </w:tcBorders>
            <w:shd w:val="clear" w:color="auto" w:fill="auto"/>
            <w:noWrap/>
            <w:vAlign w:val="bottom"/>
          </w:tcPr>
          <w:p w:rsidR="00092652" w:rsidRDefault="00092652">
            <w:pPr>
              <w:widowControl/>
              <w:jc w:val="left"/>
              <w:rPr>
                <w:rFonts w:ascii="宋体" w:hAnsi="宋体" w:cs="Arial"/>
                <w:kern w:val="0"/>
                <w:sz w:val="17"/>
                <w:szCs w:val="17"/>
                <w:lang w:val="en-GB"/>
              </w:rPr>
            </w:pPr>
          </w:p>
        </w:tc>
        <w:tc>
          <w:tcPr>
            <w:tcW w:w="2709" w:type="dxa"/>
            <w:gridSpan w:val="2"/>
            <w:tcBorders>
              <w:top w:val="nil"/>
              <w:left w:val="nil"/>
              <w:bottom w:val="single" w:sz="4" w:space="0" w:color="auto"/>
              <w:right w:val="nil"/>
            </w:tcBorders>
            <w:shd w:val="clear" w:color="auto" w:fill="auto"/>
            <w:noWrap/>
            <w:vAlign w:val="bottom"/>
          </w:tcPr>
          <w:p w:rsidR="00092652" w:rsidRDefault="0039522B">
            <w:pPr>
              <w:widowControl/>
              <w:jc w:val="right"/>
              <w:rPr>
                <w:rFonts w:ascii="宋体" w:hAnsi="宋体" w:cs="Arial"/>
                <w:color w:val="000000"/>
                <w:kern w:val="0"/>
                <w:sz w:val="17"/>
                <w:szCs w:val="17"/>
                <w:lang w:val="en-GB"/>
              </w:rPr>
            </w:pPr>
            <w:r>
              <w:rPr>
                <w:rFonts w:ascii="宋体" w:hAnsi="宋体" w:cs="Arial"/>
                <w:color w:val="000000"/>
                <w:kern w:val="0"/>
                <w:sz w:val="17"/>
                <w:szCs w:val="17"/>
                <w:lang w:val="en-GB"/>
              </w:rPr>
              <w:t>单位：人民币元</w:t>
            </w:r>
          </w:p>
        </w:tc>
      </w:tr>
      <w:tr w:rsidR="00092652">
        <w:trPr>
          <w:trHeight w:val="233"/>
        </w:trPr>
        <w:tc>
          <w:tcPr>
            <w:tcW w:w="4111" w:type="dxa"/>
            <w:gridSpan w:val="4"/>
            <w:tcBorders>
              <w:top w:val="single" w:sz="4" w:space="0" w:color="auto"/>
            </w:tcBorders>
            <w:shd w:val="clear" w:color="auto" w:fill="auto"/>
            <w:noWrap/>
            <w:vAlign w:val="bottom"/>
          </w:tcPr>
          <w:p w:rsidR="00092652" w:rsidRDefault="0039522B">
            <w:pPr>
              <w:widowControl/>
              <w:jc w:val="left"/>
              <w:rPr>
                <w:rFonts w:ascii="宋体" w:hAnsi="宋体" w:cs="Arial"/>
                <w:color w:val="000000"/>
                <w:kern w:val="0"/>
                <w:sz w:val="17"/>
                <w:szCs w:val="17"/>
                <w:lang w:val="en-GB"/>
              </w:rPr>
            </w:pPr>
            <w:r>
              <w:rPr>
                <w:rFonts w:ascii="宋体" w:hAnsi="宋体" w:cs="Arial"/>
                <w:color w:val="000000"/>
                <w:kern w:val="0"/>
                <w:sz w:val="17"/>
                <w:szCs w:val="17"/>
                <w:lang w:val="en-GB"/>
              </w:rPr>
              <w:t>募集资金金额</w:t>
            </w:r>
            <w:r>
              <w:rPr>
                <w:rFonts w:ascii="宋体" w:hAnsi="宋体" w:cs="Arial"/>
                <w:color w:val="000000"/>
                <w:kern w:val="0"/>
                <w:sz w:val="17"/>
                <w:szCs w:val="17"/>
                <w:vertAlign w:val="superscript"/>
                <w:lang w:val="en-GB"/>
              </w:rPr>
              <w:t>注1</w:t>
            </w:r>
            <w:r>
              <w:rPr>
                <w:rFonts w:ascii="宋体" w:hAnsi="宋体" w:cs="Arial"/>
                <w:color w:val="000000"/>
                <w:kern w:val="0"/>
                <w:sz w:val="17"/>
                <w:szCs w:val="17"/>
                <w:lang w:val="en-GB"/>
              </w:rPr>
              <w:t>：</w:t>
            </w:r>
          </w:p>
        </w:tc>
        <w:tc>
          <w:tcPr>
            <w:tcW w:w="3402" w:type="dxa"/>
            <w:gridSpan w:val="2"/>
            <w:tcBorders>
              <w:top w:val="single" w:sz="4" w:space="0" w:color="auto"/>
            </w:tcBorders>
            <w:shd w:val="clear" w:color="auto" w:fill="auto"/>
            <w:noWrap/>
            <w:vAlign w:val="center"/>
          </w:tcPr>
          <w:p w:rsidR="00092652" w:rsidRDefault="0039522B">
            <w:pPr>
              <w:widowControl/>
              <w:jc w:val="right"/>
              <w:rPr>
                <w:rFonts w:ascii="宋体" w:hAnsi="宋体" w:cs="Arial"/>
                <w:kern w:val="0"/>
                <w:sz w:val="17"/>
                <w:szCs w:val="17"/>
              </w:rPr>
            </w:pPr>
            <w:r>
              <w:rPr>
                <w:rFonts w:ascii="宋体" w:hAnsi="宋体" w:cs="Arial"/>
                <w:kern w:val="0"/>
                <w:sz w:val="17"/>
                <w:szCs w:val="17"/>
              </w:rPr>
              <w:t>29,936,803,773.58</w:t>
            </w:r>
          </w:p>
        </w:tc>
        <w:tc>
          <w:tcPr>
            <w:tcW w:w="5103" w:type="dxa"/>
            <w:gridSpan w:val="3"/>
            <w:tcBorders>
              <w:top w:val="single" w:sz="4" w:space="0" w:color="auto"/>
            </w:tcBorders>
            <w:shd w:val="clear" w:color="auto" w:fill="auto"/>
            <w:noWrap/>
            <w:vAlign w:val="bottom"/>
          </w:tcPr>
          <w:p w:rsidR="00092652" w:rsidRDefault="0039522B">
            <w:pPr>
              <w:widowControl/>
              <w:jc w:val="left"/>
              <w:rPr>
                <w:rFonts w:ascii="宋体" w:hAnsi="宋体" w:cs="Arial"/>
                <w:color w:val="000000"/>
                <w:kern w:val="0"/>
                <w:sz w:val="17"/>
                <w:szCs w:val="17"/>
                <w:lang w:val="en-GB"/>
              </w:rPr>
            </w:pPr>
            <w:r>
              <w:rPr>
                <w:rFonts w:ascii="宋体" w:hAnsi="宋体" w:cs="Arial"/>
                <w:color w:val="000000"/>
                <w:kern w:val="0"/>
                <w:sz w:val="17"/>
                <w:szCs w:val="17"/>
                <w:lang w:val="en-GB"/>
              </w:rPr>
              <w:t>已累计使用募集资金额：</w:t>
            </w:r>
          </w:p>
        </w:tc>
        <w:tc>
          <w:tcPr>
            <w:tcW w:w="2709" w:type="dxa"/>
            <w:gridSpan w:val="2"/>
            <w:tcBorders>
              <w:top w:val="single" w:sz="4" w:space="0" w:color="auto"/>
            </w:tcBorders>
            <w:shd w:val="clear" w:color="auto" w:fill="auto"/>
            <w:noWrap/>
            <w:vAlign w:val="center"/>
          </w:tcPr>
          <w:p w:rsidR="00092652" w:rsidRDefault="0039522B">
            <w:pPr>
              <w:widowControl/>
              <w:jc w:val="right"/>
              <w:rPr>
                <w:rFonts w:ascii="宋体" w:hAnsi="宋体" w:cs="Arial"/>
                <w:color w:val="000000"/>
                <w:kern w:val="0"/>
                <w:sz w:val="17"/>
                <w:szCs w:val="17"/>
                <w:lang w:val="en-GB"/>
              </w:rPr>
            </w:pPr>
            <w:r>
              <w:rPr>
                <w:rFonts w:ascii="宋体" w:hAnsi="宋体" w:cs="Arial"/>
                <w:kern w:val="0"/>
                <w:sz w:val="17"/>
                <w:szCs w:val="17"/>
              </w:rPr>
              <w:t>29,936,803,773.58</w:t>
            </w:r>
          </w:p>
        </w:tc>
      </w:tr>
      <w:tr w:rsidR="00092652">
        <w:trPr>
          <w:trHeight w:val="233"/>
        </w:trPr>
        <w:tc>
          <w:tcPr>
            <w:tcW w:w="4111" w:type="dxa"/>
            <w:gridSpan w:val="4"/>
            <w:shd w:val="clear" w:color="auto" w:fill="auto"/>
            <w:noWrap/>
            <w:vAlign w:val="bottom"/>
          </w:tcPr>
          <w:p w:rsidR="00092652" w:rsidRDefault="0039522B">
            <w:pPr>
              <w:widowControl/>
              <w:jc w:val="left"/>
              <w:rPr>
                <w:rFonts w:ascii="宋体" w:hAnsi="宋体" w:cs="Arial"/>
                <w:color w:val="000000"/>
                <w:kern w:val="0"/>
                <w:sz w:val="17"/>
                <w:szCs w:val="17"/>
                <w:lang w:val="en-GB"/>
              </w:rPr>
            </w:pPr>
            <w:r>
              <w:rPr>
                <w:rFonts w:ascii="宋体" w:hAnsi="宋体" w:cs="Arial"/>
                <w:color w:val="000000"/>
                <w:kern w:val="0"/>
                <w:sz w:val="17"/>
                <w:szCs w:val="17"/>
                <w:lang w:val="en-GB"/>
              </w:rPr>
              <w:t>变更用途的募集资金金额：</w:t>
            </w:r>
          </w:p>
        </w:tc>
        <w:tc>
          <w:tcPr>
            <w:tcW w:w="3402" w:type="dxa"/>
            <w:gridSpan w:val="2"/>
            <w:shd w:val="clear" w:color="auto" w:fill="auto"/>
            <w:noWrap/>
            <w:vAlign w:val="bottom"/>
          </w:tcPr>
          <w:p w:rsidR="00092652" w:rsidRDefault="0039522B">
            <w:pPr>
              <w:widowControl/>
              <w:jc w:val="right"/>
              <w:rPr>
                <w:rFonts w:ascii="宋体" w:hAnsi="宋体" w:cs="Arial"/>
                <w:color w:val="000000"/>
                <w:kern w:val="0"/>
                <w:sz w:val="17"/>
                <w:szCs w:val="17"/>
                <w:lang w:val="en-GB"/>
              </w:rPr>
            </w:pPr>
            <w:r>
              <w:rPr>
                <w:rFonts w:ascii="宋体" w:hAnsi="宋体" w:cs="Arial"/>
                <w:color w:val="000000"/>
                <w:kern w:val="0"/>
                <w:sz w:val="17"/>
                <w:szCs w:val="17"/>
              </w:rPr>
              <w:t>-</w:t>
            </w:r>
          </w:p>
        </w:tc>
        <w:tc>
          <w:tcPr>
            <w:tcW w:w="7812" w:type="dxa"/>
            <w:gridSpan w:val="5"/>
            <w:shd w:val="clear" w:color="auto" w:fill="auto"/>
            <w:noWrap/>
            <w:vAlign w:val="bottom"/>
          </w:tcPr>
          <w:p w:rsidR="00092652" w:rsidRDefault="0039522B">
            <w:pPr>
              <w:widowControl/>
              <w:jc w:val="left"/>
              <w:rPr>
                <w:rFonts w:ascii="宋体" w:hAnsi="宋体" w:cs="Arial"/>
                <w:color w:val="000000"/>
                <w:kern w:val="0"/>
                <w:sz w:val="17"/>
                <w:szCs w:val="17"/>
                <w:lang w:val="en-GB"/>
              </w:rPr>
            </w:pPr>
            <w:r>
              <w:rPr>
                <w:rFonts w:ascii="宋体" w:hAnsi="宋体" w:cs="Arial"/>
                <w:color w:val="000000"/>
                <w:kern w:val="0"/>
                <w:sz w:val="17"/>
                <w:szCs w:val="17"/>
                <w:lang w:val="en-GB"/>
              </w:rPr>
              <w:t>各年度使用募集资金额：</w:t>
            </w:r>
          </w:p>
        </w:tc>
      </w:tr>
      <w:tr w:rsidR="00092652">
        <w:trPr>
          <w:trHeight w:val="233"/>
        </w:trPr>
        <w:tc>
          <w:tcPr>
            <w:tcW w:w="4111" w:type="dxa"/>
            <w:gridSpan w:val="4"/>
            <w:vMerge w:val="restart"/>
            <w:shd w:val="clear" w:color="auto" w:fill="auto"/>
            <w:noWrap/>
            <w:vAlign w:val="center"/>
          </w:tcPr>
          <w:p w:rsidR="00092652" w:rsidRDefault="0039522B">
            <w:pPr>
              <w:widowControl/>
              <w:jc w:val="left"/>
              <w:rPr>
                <w:rFonts w:ascii="宋体" w:hAnsi="宋体" w:cs="Arial"/>
                <w:color w:val="000000"/>
                <w:kern w:val="0"/>
                <w:sz w:val="17"/>
                <w:szCs w:val="17"/>
                <w:lang w:val="en-GB"/>
              </w:rPr>
            </w:pPr>
            <w:r>
              <w:rPr>
                <w:rFonts w:ascii="宋体" w:hAnsi="宋体" w:cs="Arial"/>
                <w:color w:val="000000"/>
                <w:kern w:val="0"/>
                <w:sz w:val="17"/>
                <w:szCs w:val="17"/>
                <w:lang w:val="en-GB"/>
              </w:rPr>
              <w:t>变更用途的募集资金金额比例：</w:t>
            </w:r>
          </w:p>
        </w:tc>
        <w:tc>
          <w:tcPr>
            <w:tcW w:w="3402" w:type="dxa"/>
            <w:gridSpan w:val="2"/>
            <w:vMerge w:val="restart"/>
            <w:shd w:val="clear" w:color="auto" w:fill="auto"/>
            <w:noWrap/>
            <w:vAlign w:val="center"/>
          </w:tcPr>
          <w:p w:rsidR="00092652" w:rsidRDefault="0039522B">
            <w:pPr>
              <w:widowControl/>
              <w:jc w:val="right"/>
              <w:rPr>
                <w:rFonts w:ascii="宋体" w:hAnsi="宋体" w:cs="Arial"/>
                <w:color w:val="000000"/>
                <w:kern w:val="0"/>
                <w:sz w:val="17"/>
                <w:szCs w:val="17"/>
                <w:lang w:val="en-GB"/>
              </w:rPr>
            </w:pPr>
            <w:r>
              <w:rPr>
                <w:rFonts w:ascii="宋体" w:hAnsi="宋体" w:cs="Arial"/>
                <w:color w:val="000000"/>
                <w:kern w:val="0"/>
                <w:sz w:val="17"/>
                <w:szCs w:val="17"/>
              </w:rPr>
              <w:t>-</w:t>
            </w:r>
          </w:p>
        </w:tc>
        <w:tc>
          <w:tcPr>
            <w:tcW w:w="5103" w:type="dxa"/>
            <w:gridSpan w:val="3"/>
            <w:shd w:val="clear" w:color="auto" w:fill="auto"/>
            <w:noWrap/>
            <w:vAlign w:val="bottom"/>
          </w:tcPr>
          <w:p w:rsidR="00092652" w:rsidRDefault="0039522B">
            <w:pPr>
              <w:widowControl/>
              <w:jc w:val="left"/>
              <w:rPr>
                <w:rFonts w:ascii="宋体" w:hAnsi="宋体" w:cs="Arial"/>
                <w:color w:val="000000"/>
                <w:kern w:val="0"/>
                <w:sz w:val="17"/>
                <w:szCs w:val="17"/>
                <w:lang w:val="en-GB"/>
              </w:rPr>
            </w:pPr>
            <w:r>
              <w:rPr>
                <w:rFonts w:ascii="宋体" w:hAnsi="宋体" w:cs="Arial"/>
                <w:color w:val="000000"/>
                <w:kern w:val="0"/>
                <w:sz w:val="17"/>
                <w:szCs w:val="17"/>
              </w:rPr>
              <w:t>2019年：</w:t>
            </w:r>
          </w:p>
        </w:tc>
        <w:tc>
          <w:tcPr>
            <w:tcW w:w="2709" w:type="dxa"/>
            <w:gridSpan w:val="2"/>
            <w:shd w:val="clear" w:color="auto" w:fill="auto"/>
            <w:noWrap/>
            <w:vAlign w:val="center"/>
          </w:tcPr>
          <w:p w:rsidR="00092652" w:rsidRDefault="0039522B">
            <w:pPr>
              <w:widowControl/>
              <w:jc w:val="right"/>
              <w:rPr>
                <w:rFonts w:ascii="宋体" w:hAnsi="宋体" w:cs="Arial"/>
                <w:color w:val="000000"/>
                <w:kern w:val="0"/>
                <w:sz w:val="17"/>
                <w:szCs w:val="17"/>
                <w:lang w:val="en-GB"/>
              </w:rPr>
            </w:pPr>
            <w:r>
              <w:rPr>
                <w:rFonts w:ascii="宋体" w:hAnsi="宋体" w:cs="Arial"/>
                <w:kern w:val="0"/>
                <w:sz w:val="17"/>
                <w:szCs w:val="17"/>
              </w:rPr>
              <w:t>29,936,803,773.58</w:t>
            </w:r>
          </w:p>
        </w:tc>
      </w:tr>
      <w:tr w:rsidR="00092652">
        <w:trPr>
          <w:trHeight w:val="233"/>
        </w:trPr>
        <w:tc>
          <w:tcPr>
            <w:tcW w:w="4111" w:type="dxa"/>
            <w:gridSpan w:val="4"/>
            <w:vMerge/>
            <w:shd w:val="clear" w:color="auto" w:fill="auto"/>
            <w:noWrap/>
            <w:vAlign w:val="bottom"/>
          </w:tcPr>
          <w:p w:rsidR="00092652" w:rsidRDefault="00092652">
            <w:pPr>
              <w:widowControl/>
              <w:jc w:val="left"/>
              <w:rPr>
                <w:rFonts w:ascii="宋体" w:hAnsi="宋体" w:cs="Arial"/>
                <w:color w:val="000000"/>
                <w:kern w:val="0"/>
                <w:sz w:val="17"/>
                <w:szCs w:val="17"/>
                <w:lang w:val="en-GB"/>
              </w:rPr>
            </w:pPr>
          </w:p>
        </w:tc>
        <w:tc>
          <w:tcPr>
            <w:tcW w:w="3402" w:type="dxa"/>
            <w:gridSpan w:val="2"/>
            <w:vMerge/>
            <w:shd w:val="clear" w:color="auto" w:fill="auto"/>
            <w:noWrap/>
            <w:vAlign w:val="bottom"/>
          </w:tcPr>
          <w:p w:rsidR="00092652" w:rsidRDefault="00092652">
            <w:pPr>
              <w:widowControl/>
              <w:jc w:val="right"/>
              <w:rPr>
                <w:rFonts w:ascii="宋体" w:hAnsi="宋体" w:cs="Arial"/>
                <w:color w:val="000000"/>
                <w:kern w:val="0"/>
                <w:sz w:val="17"/>
                <w:szCs w:val="17"/>
              </w:rPr>
            </w:pPr>
          </w:p>
        </w:tc>
        <w:tc>
          <w:tcPr>
            <w:tcW w:w="5103" w:type="dxa"/>
            <w:gridSpan w:val="3"/>
            <w:shd w:val="clear" w:color="auto" w:fill="auto"/>
            <w:noWrap/>
            <w:vAlign w:val="bottom"/>
          </w:tcPr>
          <w:p w:rsidR="00092652" w:rsidRDefault="0039522B">
            <w:pPr>
              <w:widowControl/>
              <w:jc w:val="left"/>
              <w:rPr>
                <w:rFonts w:ascii="宋体" w:hAnsi="宋体" w:cs="Arial"/>
                <w:color w:val="000000"/>
                <w:kern w:val="0"/>
                <w:sz w:val="17"/>
                <w:szCs w:val="17"/>
              </w:rPr>
            </w:pPr>
            <w:r>
              <w:rPr>
                <w:rFonts w:ascii="宋体" w:hAnsi="宋体" w:cs="Arial"/>
                <w:color w:val="000000"/>
                <w:kern w:val="0"/>
                <w:sz w:val="17"/>
                <w:szCs w:val="17"/>
              </w:rPr>
              <w:t>2020年：</w:t>
            </w:r>
          </w:p>
        </w:tc>
        <w:tc>
          <w:tcPr>
            <w:tcW w:w="2709" w:type="dxa"/>
            <w:gridSpan w:val="2"/>
            <w:shd w:val="clear" w:color="auto" w:fill="auto"/>
            <w:noWrap/>
            <w:vAlign w:val="center"/>
          </w:tcPr>
          <w:p w:rsidR="00092652" w:rsidRDefault="0039522B">
            <w:pPr>
              <w:widowControl/>
              <w:jc w:val="right"/>
              <w:rPr>
                <w:rFonts w:ascii="宋体" w:hAnsi="宋体" w:cs="Arial"/>
                <w:color w:val="000000"/>
                <w:kern w:val="0"/>
                <w:sz w:val="17"/>
                <w:szCs w:val="17"/>
              </w:rPr>
            </w:pPr>
            <w:r>
              <w:rPr>
                <w:rFonts w:ascii="宋体" w:hAnsi="宋体" w:cs="Arial"/>
                <w:color w:val="000000"/>
                <w:kern w:val="0"/>
                <w:sz w:val="17"/>
                <w:szCs w:val="17"/>
              </w:rPr>
              <w:t>-</w:t>
            </w:r>
          </w:p>
        </w:tc>
      </w:tr>
      <w:tr w:rsidR="00092652">
        <w:trPr>
          <w:trHeight w:val="341"/>
        </w:trPr>
        <w:tc>
          <w:tcPr>
            <w:tcW w:w="2410" w:type="dxa"/>
            <w:gridSpan w:val="3"/>
            <w:shd w:val="clear" w:color="auto" w:fill="auto"/>
            <w:vAlign w:val="center"/>
          </w:tcPr>
          <w:p w:rsidR="00092652" w:rsidRDefault="0039522B">
            <w:pPr>
              <w:widowControl/>
              <w:jc w:val="center"/>
              <w:rPr>
                <w:rFonts w:ascii="宋体" w:hAnsi="宋体" w:cs="Arial"/>
                <w:color w:val="000000"/>
                <w:kern w:val="0"/>
                <w:sz w:val="17"/>
                <w:szCs w:val="17"/>
                <w:lang w:val="en-GB"/>
              </w:rPr>
            </w:pPr>
            <w:r>
              <w:rPr>
                <w:rFonts w:ascii="宋体" w:hAnsi="宋体" w:cs="Arial"/>
                <w:color w:val="000000"/>
                <w:kern w:val="0"/>
                <w:sz w:val="17"/>
                <w:szCs w:val="17"/>
                <w:lang w:val="en-GB"/>
              </w:rPr>
              <w:t>投资项目</w:t>
            </w:r>
          </w:p>
        </w:tc>
        <w:tc>
          <w:tcPr>
            <w:tcW w:w="5103" w:type="dxa"/>
            <w:gridSpan w:val="3"/>
            <w:shd w:val="clear" w:color="auto" w:fill="auto"/>
            <w:vAlign w:val="center"/>
          </w:tcPr>
          <w:p w:rsidR="00092652" w:rsidRDefault="0039522B">
            <w:pPr>
              <w:widowControl/>
              <w:jc w:val="center"/>
              <w:rPr>
                <w:rFonts w:ascii="宋体" w:hAnsi="宋体" w:cs="Arial"/>
                <w:color w:val="000000"/>
                <w:kern w:val="0"/>
                <w:sz w:val="17"/>
                <w:szCs w:val="17"/>
                <w:lang w:val="en-GB"/>
              </w:rPr>
            </w:pPr>
            <w:r>
              <w:rPr>
                <w:rFonts w:ascii="宋体" w:hAnsi="宋体" w:cs="Arial"/>
                <w:color w:val="000000"/>
                <w:kern w:val="0"/>
                <w:sz w:val="17"/>
                <w:szCs w:val="17"/>
                <w:lang w:val="en-GB"/>
              </w:rPr>
              <w:t>募集资金投资额</w:t>
            </w:r>
          </w:p>
        </w:tc>
        <w:tc>
          <w:tcPr>
            <w:tcW w:w="6663" w:type="dxa"/>
            <w:gridSpan w:val="4"/>
            <w:shd w:val="clear" w:color="auto" w:fill="auto"/>
            <w:vAlign w:val="center"/>
          </w:tcPr>
          <w:p w:rsidR="00092652" w:rsidRDefault="0039522B">
            <w:pPr>
              <w:widowControl/>
              <w:jc w:val="center"/>
              <w:rPr>
                <w:rFonts w:ascii="宋体" w:hAnsi="宋体" w:cs="Arial"/>
                <w:color w:val="000000"/>
                <w:kern w:val="0"/>
                <w:sz w:val="17"/>
                <w:szCs w:val="17"/>
                <w:lang w:val="en-GB"/>
              </w:rPr>
            </w:pPr>
            <w:r>
              <w:rPr>
                <w:rFonts w:ascii="宋体" w:hAnsi="宋体" w:cs="Arial"/>
                <w:color w:val="000000"/>
                <w:kern w:val="0"/>
                <w:sz w:val="17"/>
                <w:szCs w:val="17"/>
                <w:lang w:val="en-GB"/>
              </w:rPr>
              <w:t>截止日募集资金累计投资额</w:t>
            </w:r>
          </w:p>
        </w:tc>
        <w:tc>
          <w:tcPr>
            <w:tcW w:w="1149" w:type="dxa"/>
            <w:vMerge w:val="restart"/>
            <w:shd w:val="clear" w:color="auto" w:fill="auto"/>
            <w:vAlign w:val="center"/>
          </w:tcPr>
          <w:p w:rsidR="00092652" w:rsidRDefault="0039522B">
            <w:pPr>
              <w:widowControl/>
              <w:jc w:val="center"/>
              <w:rPr>
                <w:rFonts w:ascii="宋体" w:hAnsi="宋体" w:cs="Arial"/>
                <w:color w:val="000000"/>
                <w:kern w:val="0"/>
                <w:sz w:val="17"/>
                <w:szCs w:val="17"/>
                <w:lang w:val="en-GB"/>
              </w:rPr>
            </w:pPr>
            <w:r>
              <w:rPr>
                <w:rFonts w:ascii="宋体" w:hAnsi="宋体" w:cs="Arial"/>
                <w:color w:val="000000"/>
                <w:kern w:val="0"/>
                <w:sz w:val="17"/>
                <w:szCs w:val="17"/>
                <w:lang w:val="en-GB"/>
              </w:rPr>
              <w:t>项目达到</w:t>
            </w:r>
          </w:p>
          <w:p w:rsidR="00092652" w:rsidRDefault="0039522B">
            <w:pPr>
              <w:widowControl/>
              <w:jc w:val="center"/>
              <w:rPr>
                <w:rFonts w:ascii="宋体" w:hAnsi="宋体" w:cs="Arial"/>
                <w:color w:val="000000"/>
                <w:kern w:val="0"/>
                <w:sz w:val="17"/>
                <w:szCs w:val="17"/>
                <w:lang w:val="en-GB"/>
              </w:rPr>
            </w:pPr>
            <w:r>
              <w:rPr>
                <w:rFonts w:ascii="宋体" w:hAnsi="宋体" w:cs="Arial"/>
                <w:color w:val="000000"/>
                <w:kern w:val="0"/>
                <w:sz w:val="17"/>
                <w:szCs w:val="17"/>
                <w:lang w:val="en-GB"/>
              </w:rPr>
              <w:t>预定可使用状态日期</w:t>
            </w:r>
          </w:p>
        </w:tc>
      </w:tr>
      <w:tr w:rsidR="00092652">
        <w:trPr>
          <w:trHeight w:val="734"/>
        </w:trPr>
        <w:tc>
          <w:tcPr>
            <w:tcW w:w="364" w:type="dxa"/>
            <w:shd w:val="clear" w:color="auto" w:fill="auto"/>
            <w:vAlign w:val="center"/>
          </w:tcPr>
          <w:p w:rsidR="00092652" w:rsidRDefault="0039522B">
            <w:pPr>
              <w:widowControl/>
              <w:jc w:val="center"/>
              <w:rPr>
                <w:rFonts w:ascii="宋体" w:hAnsi="宋体" w:cs="Arial"/>
                <w:color w:val="000000"/>
                <w:kern w:val="0"/>
                <w:sz w:val="17"/>
                <w:szCs w:val="17"/>
                <w:lang w:val="en-GB"/>
              </w:rPr>
            </w:pPr>
            <w:r>
              <w:rPr>
                <w:rFonts w:ascii="宋体" w:hAnsi="宋体" w:cs="Arial"/>
                <w:color w:val="000000"/>
                <w:kern w:val="0"/>
                <w:sz w:val="17"/>
                <w:szCs w:val="17"/>
                <w:lang w:val="en-GB"/>
              </w:rPr>
              <w:t>序号</w:t>
            </w:r>
          </w:p>
        </w:tc>
        <w:tc>
          <w:tcPr>
            <w:tcW w:w="1054" w:type="dxa"/>
            <w:shd w:val="clear" w:color="auto" w:fill="auto"/>
            <w:vAlign w:val="center"/>
          </w:tcPr>
          <w:p w:rsidR="00092652" w:rsidRDefault="0039522B">
            <w:pPr>
              <w:widowControl/>
              <w:jc w:val="center"/>
              <w:rPr>
                <w:rFonts w:ascii="宋体" w:hAnsi="宋体" w:cs="Arial"/>
                <w:color w:val="000000"/>
                <w:kern w:val="0"/>
                <w:sz w:val="17"/>
                <w:szCs w:val="17"/>
                <w:lang w:val="en-GB"/>
              </w:rPr>
            </w:pPr>
            <w:r>
              <w:rPr>
                <w:rFonts w:ascii="宋体" w:hAnsi="宋体" w:cs="Arial"/>
                <w:color w:val="000000"/>
                <w:kern w:val="0"/>
                <w:sz w:val="17"/>
                <w:szCs w:val="17"/>
                <w:lang w:val="en-GB"/>
              </w:rPr>
              <w:t>承诺投资</w:t>
            </w:r>
          </w:p>
          <w:p w:rsidR="00092652" w:rsidRDefault="0039522B">
            <w:pPr>
              <w:widowControl/>
              <w:jc w:val="center"/>
              <w:rPr>
                <w:rFonts w:ascii="宋体" w:hAnsi="宋体" w:cs="Arial"/>
                <w:color w:val="000000"/>
                <w:kern w:val="0"/>
                <w:sz w:val="17"/>
                <w:szCs w:val="17"/>
                <w:lang w:val="en-GB"/>
              </w:rPr>
            </w:pPr>
            <w:r>
              <w:rPr>
                <w:rFonts w:ascii="宋体" w:hAnsi="宋体" w:cs="Arial"/>
                <w:color w:val="000000"/>
                <w:kern w:val="0"/>
                <w:sz w:val="17"/>
                <w:szCs w:val="17"/>
                <w:lang w:val="en-GB"/>
              </w:rPr>
              <w:t>项目</w:t>
            </w:r>
          </w:p>
        </w:tc>
        <w:tc>
          <w:tcPr>
            <w:tcW w:w="992" w:type="dxa"/>
            <w:shd w:val="clear" w:color="auto" w:fill="auto"/>
            <w:vAlign w:val="center"/>
          </w:tcPr>
          <w:p w:rsidR="00092652" w:rsidRDefault="0039522B">
            <w:pPr>
              <w:widowControl/>
              <w:jc w:val="center"/>
              <w:rPr>
                <w:rFonts w:ascii="宋体" w:hAnsi="宋体" w:cs="Arial"/>
                <w:color w:val="000000"/>
                <w:kern w:val="0"/>
                <w:sz w:val="17"/>
                <w:szCs w:val="17"/>
                <w:lang w:val="en-GB"/>
              </w:rPr>
            </w:pPr>
            <w:r>
              <w:rPr>
                <w:rFonts w:ascii="宋体" w:hAnsi="宋体" w:cs="Arial"/>
                <w:color w:val="000000"/>
                <w:kern w:val="0"/>
                <w:sz w:val="17"/>
                <w:szCs w:val="17"/>
                <w:lang w:val="en-GB"/>
              </w:rPr>
              <w:t>实际投资</w:t>
            </w:r>
          </w:p>
          <w:p w:rsidR="00092652" w:rsidRDefault="0039522B">
            <w:pPr>
              <w:widowControl/>
              <w:jc w:val="center"/>
              <w:rPr>
                <w:rFonts w:ascii="宋体" w:hAnsi="宋体" w:cs="Arial"/>
                <w:color w:val="000000"/>
                <w:kern w:val="0"/>
                <w:sz w:val="17"/>
                <w:szCs w:val="17"/>
                <w:lang w:val="en-GB"/>
              </w:rPr>
            </w:pPr>
            <w:r>
              <w:rPr>
                <w:rFonts w:ascii="宋体" w:hAnsi="宋体" w:cs="Arial"/>
                <w:color w:val="000000"/>
                <w:kern w:val="0"/>
                <w:sz w:val="17"/>
                <w:szCs w:val="17"/>
                <w:lang w:val="en-GB"/>
              </w:rPr>
              <w:t>项目</w:t>
            </w:r>
          </w:p>
        </w:tc>
        <w:tc>
          <w:tcPr>
            <w:tcW w:w="1701" w:type="dxa"/>
            <w:shd w:val="clear" w:color="auto" w:fill="auto"/>
            <w:vAlign w:val="center"/>
          </w:tcPr>
          <w:p w:rsidR="00092652" w:rsidRDefault="0039522B">
            <w:pPr>
              <w:widowControl/>
              <w:jc w:val="center"/>
              <w:rPr>
                <w:rFonts w:ascii="宋体" w:hAnsi="宋体" w:cs="Arial"/>
                <w:color w:val="000000"/>
                <w:kern w:val="0"/>
                <w:sz w:val="17"/>
                <w:szCs w:val="17"/>
                <w:lang w:val="en-GB"/>
              </w:rPr>
            </w:pPr>
            <w:r>
              <w:rPr>
                <w:rFonts w:ascii="宋体" w:hAnsi="宋体" w:cs="Arial"/>
                <w:color w:val="000000"/>
                <w:kern w:val="0"/>
                <w:sz w:val="17"/>
                <w:szCs w:val="17"/>
                <w:lang w:val="en-GB"/>
              </w:rPr>
              <w:t>募集前承诺</w:t>
            </w:r>
          </w:p>
          <w:p w:rsidR="00092652" w:rsidRDefault="0039522B">
            <w:pPr>
              <w:widowControl/>
              <w:jc w:val="center"/>
              <w:rPr>
                <w:rFonts w:ascii="宋体" w:hAnsi="宋体" w:cs="Arial"/>
                <w:color w:val="000000"/>
                <w:kern w:val="0"/>
                <w:sz w:val="17"/>
                <w:szCs w:val="17"/>
                <w:lang w:val="en-GB"/>
              </w:rPr>
            </w:pPr>
            <w:r>
              <w:rPr>
                <w:rFonts w:ascii="宋体" w:hAnsi="宋体" w:cs="Arial"/>
                <w:color w:val="000000"/>
                <w:kern w:val="0"/>
                <w:sz w:val="17"/>
                <w:szCs w:val="17"/>
                <w:lang w:val="en-GB"/>
              </w:rPr>
              <w:t>投资金额</w:t>
            </w:r>
          </w:p>
        </w:tc>
        <w:tc>
          <w:tcPr>
            <w:tcW w:w="1701" w:type="dxa"/>
            <w:shd w:val="clear" w:color="auto" w:fill="auto"/>
            <w:vAlign w:val="center"/>
          </w:tcPr>
          <w:p w:rsidR="00092652" w:rsidRDefault="0039522B">
            <w:pPr>
              <w:widowControl/>
              <w:jc w:val="center"/>
              <w:rPr>
                <w:rFonts w:ascii="宋体" w:hAnsi="宋体" w:cs="Arial"/>
                <w:color w:val="000000"/>
                <w:kern w:val="0"/>
                <w:sz w:val="17"/>
                <w:szCs w:val="17"/>
                <w:lang w:val="en-GB"/>
              </w:rPr>
            </w:pPr>
            <w:r>
              <w:rPr>
                <w:rFonts w:ascii="宋体" w:hAnsi="宋体" w:cs="Arial"/>
                <w:color w:val="000000"/>
                <w:kern w:val="0"/>
                <w:sz w:val="17"/>
                <w:szCs w:val="17"/>
                <w:lang w:val="en-GB"/>
              </w:rPr>
              <w:t>募集后承诺</w:t>
            </w:r>
          </w:p>
          <w:p w:rsidR="00092652" w:rsidRDefault="0039522B">
            <w:pPr>
              <w:widowControl/>
              <w:jc w:val="center"/>
              <w:rPr>
                <w:rFonts w:ascii="宋体" w:hAnsi="宋体" w:cs="Arial"/>
                <w:color w:val="000000"/>
                <w:kern w:val="0"/>
                <w:sz w:val="17"/>
                <w:szCs w:val="17"/>
                <w:lang w:val="en-GB"/>
              </w:rPr>
            </w:pPr>
            <w:r>
              <w:rPr>
                <w:rFonts w:ascii="宋体" w:hAnsi="宋体" w:cs="Arial"/>
                <w:color w:val="000000"/>
                <w:kern w:val="0"/>
                <w:sz w:val="17"/>
                <w:szCs w:val="17"/>
                <w:lang w:val="en-GB"/>
              </w:rPr>
              <w:t>投资金额</w:t>
            </w:r>
          </w:p>
        </w:tc>
        <w:tc>
          <w:tcPr>
            <w:tcW w:w="1701" w:type="dxa"/>
            <w:shd w:val="clear" w:color="auto" w:fill="auto"/>
            <w:vAlign w:val="center"/>
          </w:tcPr>
          <w:p w:rsidR="00092652" w:rsidRDefault="0039522B">
            <w:pPr>
              <w:widowControl/>
              <w:jc w:val="center"/>
              <w:rPr>
                <w:rFonts w:ascii="宋体" w:hAnsi="宋体" w:cs="Arial"/>
                <w:color w:val="000000"/>
                <w:kern w:val="0"/>
                <w:sz w:val="17"/>
                <w:szCs w:val="17"/>
                <w:lang w:val="en-GB"/>
              </w:rPr>
            </w:pPr>
            <w:r>
              <w:rPr>
                <w:rFonts w:ascii="宋体" w:hAnsi="宋体" w:cs="Arial"/>
                <w:color w:val="000000"/>
                <w:kern w:val="0"/>
                <w:sz w:val="17"/>
                <w:szCs w:val="17"/>
                <w:lang w:val="en-GB"/>
              </w:rPr>
              <w:t>实际投资金额</w:t>
            </w:r>
          </w:p>
        </w:tc>
        <w:tc>
          <w:tcPr>
            <w:tcW w:w="1701" w:type="dxa"/>
            <w:shd w:val="clear" w:color="auto" w:fill="auto"/>
            <w:vAlign w:val="center"/>
          </w:tcPr>
          <w:p w:rsidR="00092652" w:rsidRDefault="0039522B">
            <w:pPr>
              <w:widowControl/>
              <w:jc w:val="center"/>
              <w:rPr>
                <w:rFonts w:ascii="宋体" w:hAnsi="宋体" w:cs="Arial"/>
                <w:color w:val="000000"/>
                <w:kern w:val="0"/>
                <w:sz w:val="17"/>
                <w:szCs w:val="17"/>
                <w:lang w:val="en-GB"/>
              </w:rPr>
            </w:pPr>
            <w:r>
              <w:rPr>
                <w:rFonts w:ascii="宋体" w:hAnsi="宋体" w:cs="Arial"/>
                <w:color w:val="000000"/>
                <w:kern w:val="0"/>
                <w:sz w:val="17"/>
                <w:szCs w:val="17"/>
                <w:lang w:val="en-GB"/>
              </w:rPr>
              <w:t>募集前承诺</w:t>
            </w:r>
          </w:p>
          <w:p w:rsidR="00092652" w:rsidRDefault="0039522B">
            <w:pPr>
              <w:widowControl/>
              <w:jc w:val="center"/>
              <w:rPr>
                <w:rFonts w:ascii="宋体" w:hAnsi="宋体" w:cs="Arial"/>
                <w:color w:val="000000"/>
                <w:kern w:val="0"/>
                <w:sz w:val="17"/>
                <w:szCs w:val="17"/>
                <w:lang w:val="en-GB"/>
              </w:rPr>
            </w:pPr>
            <w:r>
              <w:rPr>
                <w:rFonts w:ascii="宋体" w:hAnsi="宋体" w:cs="Arial"/>
                <w:color w:val="000000"/>
                <w:kern w:val="0"/>
                <w:sz w:val="17"/>
                <w:szCs w:val="17"/>
                <w:lang w:val="en-GB"/>
              </w:rPr>
              <w:t>投资金额</w:t>
            </w:r>
          </w:p>
        </w:tc>
        <w:tc>
          <w:tcPr>
            <w:tcW w:w="1701" w:type="dxa"/>
            <w:shd w:val="clear" w:color="auto" w:fill="auto"/>
            <w:vAlign w:val="center"/>
          </w:tcPr>
          <w:p w:rsidR="00092652" w:rsidRDefault="0039522B">
            <w:pPr>
              <w:widowControl/>
              <w:jc w:val="center"/>
              <w:rPr>
                <w:rFonts w:ascii="宋体" w:hAnsi="宋体" w:cs="Arial"/>
                <w:color w:val="000000"/>
                <w:kern w:val="0"/>
                <w:sz w:val="17"/>
                <w:szCs w:val="17"/>
                <w:lang w:val="en-GB"/>
              </w:rPr>
            </w:pPr>
            <w:r>
              <w:rPr>
                <w:rFonts w:ascii="宋体" w:hAnsi="宋体" w:cs="Arial"/>
                <w:color w:val="000000"/>
                <w:kern w:val="0"/>
                <w:sz w:val="17"/>
                <w:szCs w:val="17"/>
                <w:lang w:val="en-GB"/>
              </w:rPr>
              <w:t>募集后承诺</w:t>
            </w:r>
          </w:p>
          <w:p w:rsidR="00092652" w:rsidRDefault="0039522B">
            <w:pPr>
              <w:widowControl/>
              <w:jc w:val="center"/>
              <w:rPr>
                <w:rFonts w:ascii="宋体" w:hAnsi="宋体" w:cs="Arial"/>
                <w:color w:val="000000"/>
                <w:kern w:val="0"/>
                <w:sz w:val="17"/>
                <w:szCs w:val="17"/>
                <w:lang w:val="en-GB"/>
              </w:rPr>
            </w:pPr>
            <w:r>
              <w:rPr>
                <w:rFonts w:ascii="宋体" w:hAnsi="宋体" w:cs="Arial"/>
                <w:color w:val="000000"/>
                <w:kern w:val="0"/>
                <w:sz w:val="17"/>
                <w:szCs w:val="17"/>
                <w:lang w:val="en-GB"/>
              </w:rPr>
              <w:t>投资金额</w:t>
            </w:r>
          </w:p>
        </w:tc>
        <w:tc>
          <w:tcPr>
            <w:tcW w:w="1701" w:type="dxa"/>
            <w:shd w:val="clear" w:color="auto" w:fill="auto"/>
            <w:vAlign w:val="center"/>
          </w:tcPr>
          <w:p w:rsidR="00092652" w:rsidRDefault="0039522B">
            <w:pPr>
              <w:widowControl/>
              <w:jc w:val="center"/>
              <w:rPr>
                <w:rFonts w:ascii="宋体" w:hAnsi="宋体" w:cs="Arial"/>
                <w:color w:val="000000"/>
                <w:kern w:val="0"/>
                <w:sz w:val="17"/>
                <w:szCs w:val="17"/>
                <w:lang w:val="en-GB"/>
              </w:rPr>
            </w:pPr>
            <w:r>
              <w:rPr>
                <w:rFonts w:ascii="宋体" w:hAnsi="宋体" w:cs="Arial"/>
                <w:color w:val="000000"/>
                <w:kern w:val="0"/>
                <w:sz w:val="17"/>
                <w:szCs w:val="17"/>
                <w:lang w:val="en-GB"/>
              </w:rPr>
              <w:t>实际投资金额</w:t>
            </w:r>
          </w:p>
        </w:tc>
        <w:tc>
          <w:tcPr>
            <w:tcW w:w="1560" w:type="dxa"/>
            <w:shd w:val="clear" w:color="auto" w:fill="auto"/>
            <w:vAlign w:val="center"/>
          </w:tcPr>
          <w:p w:rsidR="00092652" w:rsidRDefault="0039522B">
            <w:pPr>
              <w:widowControl/>
              <w:jc w:val="center"/>
              <w:rPr>
                <w:rFonts w:ascii="宋体" w:hAnsi="宋体" w:cs="Arial"/>
                <w:color w:val="000000"/>
                <w:kern w:val="0"/>
                <w:sz w:val="17"/>
                <w:szCs w:val="17"/>
                <w:lang w:val="en-GB"/>
              </w:rPr>
            </w:pPr>
            <w:r>
              <w:rPr>
                <w:rFonts w:ascii="宋体" w:hAnsi="宋体" w:cs="Arial"/>
                <w:color w:val="000000"/>
                <w:kern w:val="0"/>
                <w:sz w:val="17"/>
                <w:szCs w:val="17"/>
                <w:lang w:val="en-GB"/>
              </w:rPr>
              <w:t>实际投资金额与募集后承诺投资金额的差额</w:t>
            </w:r>
          </w:p>
        </w:tc>
        <w:tc>
          <w:tcPr>
            <w:tcW w:w="1149" w:type="dxa"/>
            <w:vMerge/>
            <w:vAlign w:val="center"/>
          </w:tcPr>
          <w:p w:rsidR="00092652" w:rsidRDefault="00092652">
            <w:pPr>
              <w:widowControl/>
              <w:jc w:val="left"/>
              <w:rPr>
                <w:rFonts w:ascii="宋体" w:hAnsi="宋体" w:cs="Arial"/>
                <w:color w:val="000000"/>
                <w:kern w:val="0"/>
                <w:sz w:val="17"/>
                <w:szCs w:val="17"/>
                <w:lang w:val="en-GB"/>
              </w:rPr>
            </w:pPr>
          </w:p>
        </w:tc>
      </w:tr>
      <w:tr w:rsidR="00092652">
        <w:trPr>
          <w:trHeight w:val="233"/>
        </w:trPr>
        <w:tc>
          <w:tcPr>
            <w:tcW w:w="364" w:type="dxa"/>
            <w:shd w:val="clear" w:color="auto" w:fill="auto"/>
            <w:vAlign w:val="center"/>
          </w:tcPr>
          <w:p w:rsidR="00092652" w:rsidRDefault="0039522B">
            <w:pPr>
              <w:widowControl/>
              <w:jc w:val="center"/>
              <w:rPr>
                <w:rFonts w:ascii="宋体" w:hAnsi="宋体" w:cs="Arial"/>
                <w:color w:val="000000"/>
                <w:kern w:val="0"/>
                <w:sz w:val="17"/>
                <w:szCs w:val="17"/>
                <w:lang w:val="en-GB"/>
              </w:rPr>
            </w:pPr>
            <w:r>
              <w:rPr>
                <w:rFonts w:ascii="宋体" w:hAnsi="宋体" w:cs="Arial"/>
                <w:color w:val="000000"/>
                <w:kern w:val="0"/>
                <w:sz w:val="17"/>
                <w:szCs w:val="17"/>
              </w:rPr>
              <w:t>1</w:t>
            </w:r>
          </w:p>
        </w:tc>
        <w:tc>
          <w:tcPr>
            <w:tcW w:w="1054" w:type="dxa"/>
            <w:shd w:val="clear" w:color="auto" w:fill="auto"/>
            <w:vAlign w:val="bottom"/>
          </w:tcPr>
          <w:p w:rsidR="00092652" w:rsidRDefault="0039522B">
            <w:pPr>
              <w:widowControl/>
              <w:jc w:val="center"/>
              <w:rPr>
                <w:rFonts w:ascii="宋体" w:hAnsi="宋体" w:cs="Arial"/>
                <w:color w:val="000000"/>
                <w:kern w:val="0"/>
                <w:sz w:val="17"/>
                <w:szCs w:val="17"/>
                <w:lang w:val="en-GB"/>
              </w:rPr>
            </w:pPr>
            <w:r>
              <w:rPr>
                <w:rFonts w:ascii="宋体" w:hAnsi="宋体" w:cs="Arial"/>
                <w:color w:val="000000"/>
                <w:kern w:val="0"/>
                <w:sz w:val="17"/>
                <w:szCs w:val="17"/>
                <w:lang w:val="en-GB"/>
              </w:rPr>
              <w:t>补充其他一级资本</w:t>
            </w:r>
          </w:p>
        </w:tc>
        <w:tc>
          <w:tcPr>
            <w:tcW w:w="992" w:type="dxa"/>
            <w:shd w:val="clear" w:color="auto" w:fill="auto"/>
            <w:vAlign w:val="center"/>
          </w:tcPr>
          <w:p w:rsidR="00092652" w:rsidRDefault="0039522B">
            <w:pPr>
              <w:widowControl/>
              <w:jc w:val="center"/>
              <w:rPr>
                <w:rFonts w:ascii="宋体" w:hAnsi="宋体" w:cs="Arial"/>
                <w:color w:val="000000"/>
                <w:kern w:val="0"/>
                <w:sz w:val="17"/>
                <w:szCs w:val="17"/>
                <w:lang w:val="en-GB"/>
              </w:rPr>
            </w:pPr>
            <w:r>
              <w:rPr>
                <w:rFonts w:ascii="宋体" w:hAnsi="宋体" w:cs="Arial"/>
                <w:color w:val="000000"/>
                <w:kern w:val="0"/>
                <w:sz w:val="17"/>
                <w:szCs w:val="17"/>
                <w:lang w:val="en-GB"/>
              </w:rPr>
              <w:t>补充其他一级资本</w:t>
            </w:r>
          </w:p>
        </w:tc>
        <w:tc>
          <w:tcPr>
            <w:tcW w:w="1701" w:type="dxa"/>
            <w:shd w:val="clear" w:color="auto" w:fill="auto"/>
            <w:vAlign w:val="center"/>
          </w:tcPr>
          <w:p w:rsidR="00092652" w:rsidRDefault="0039522B">
            <w:pPr>
              <w:widowControl/>
              <w:jc w:val="center"/>
              <w:rPr>
                <w:rFonts w:ascii="宋体" w:hAnsi="宋体" w:cs="Arial"/>
                <w:color w:val="000000"/>
                <w:kern w:val="0"/>
                <w:sz w:val="17"/>
                <w:szCs w:val="17"/>
                <w:lang w:val="en-GB"/>
              </w:rPr>
            </w:pPr>
            <w:r>
              <w:rPr>
                <w:rFonts w:ascii="宋体" w:hAnsi="宋体" w:cs="Arial"/>
                <w:kern w:val="0"/>
                <w:sz w:val="17"/>
                <w:szCs w:val="17"/>
              </w:rPr>
              <w:t>29,936,803,773.58</w:t>
            </w:r>
          </w:p>
        </w:tc>
        <w:tc>
          <w:tcPr>
            <w:tcW w:w="1701" w:type="dxa"/>
            <w:shd w:val="clear" w:color="auto" w:fill="auto"/>
            <w:vAlign w:val="center"/>
          </w:tcPr>
          <w:p w:rsidR="00092652" w:rsidRDefault="0039522B">
            <w:pPr>
              <w:widowControl/>
              <w:jc w:val="center"/>
              <w:rPr>
                <w:rFonts w:ascii="宋体" w:hAnsi="宋体" w:cs="Arial"/>
                <w:color w:val="000000"/>
                <w:kern w:val="0"/>
                <w:sz w:val="17"/>
                <w:szCs w:val="17"/>
                <w:lang w:val="en-GB"/>
              </w:rPr>
            </w:pPr>
            <w:r>
              <w:rPr>
                <w:rFonts w:ascii="宋体" w:hAnsi="宋体" w:cs="Arial"/>
                <w:kern w:val="0"/>
                <w:sz w:val="17"/>
                <w:szCs w:val="17"/>
              </w:rPr>
              <w:t>29,936,803,773.58</w:t>
            </w:r>
          </w:p>
        </w:tc>
        <w:tc>
          <w:tcPr>
            <w:tcW w:w="1701" w:type="dxa"/>
            <w:shd w:val="clear" w:color="auto" w:fill="auto"/>
            <w:vAlign w:val="center"/>
          </w:tcPr>
          <w:p w:rsidR="00092652" w:rsidRDefault="0039522B">
            <w:pPr>
              <w:widowControl/>
              <w:jc w:val="center"/>
              <w:rPr>
                <w:rFonts w:ascii="宋体" w:hAnsi="宋体" w:cs="Arial"/>
                <w:color w:val="000000"/>
                <w:kern w:val="0"/>
                <w:sz w:val="17"/>
                <w:szCs w:val="17"/>
                <w:lang w:val="en-GB"/>
              </w:rPr>
            </w:pPr>
            <w:r>
              <w:rPr>
                <w:rFonts w:ascii="宋体" w:hAnsi="宋体" w:cs="Arial"/>
                <w:kern w:val="0"/>
                <w:sz w:val="17"/>
                <w:szCs w:val="17"/>
              </w:rPr>
              <w:t>29,936,803,773.58</w:t>
            </w:r>
          </w:p>
        </w:tc>
        <w:tc>
          <w:tcPr>
            <w:tcW w:w="1701" w:type="dxa"/>
            <w:shd w:val="clear" w:color="auto" w:fill="auto"/>
            <w:vAlign w:val="center"/>
          </w:tcPr>
          <w:p w:rsidR="00092652" w:rsidRDefault="0039522B">
            <w:pPr>
              <w:widowControl/>
              <w:jc w:val="center"/>
              <w:rPr>
                <w:rFonts w:ascii="宋体" w:hAnsi="宋体" w:cs="Arial"/>
                <w:color w:val="000000"/>
                <w:kern w:val="0"/>
                <w:sz w:val="17"/>
                <w:szCs w:val="17"/>
                <w:lang w:val="en-GB"/>
              </w:rPr>
            </w:pPr>
            <w:r>
              <w:rPr>
                <w:rFonts w:ascii="宋体" w:hAnsi="宋体" w:cs="Arial"/>
                <w:kern w:val="0"/>
                <w:sz w:val="17"/>
                <w:szCs w:val="17"/>
              </w:rPr>
              <w:t>29,936,803,773.58</w:t>
            </w:r>
          </w:p>
        </w:tc>
        <w:tc>
          <w:tcPr>
            <w:tcW w:w="1701" w:type="dxa"/>
            <w:shd w:val="clear" w:color="auto" w:fill="auto"/>
            <w:vAlign w:val="center"/>
          </w:tcPr>
          <w:p w:rsidR="00092652" w:rsidRDefault="0039522B">
            <w:pPr>
              <w:widowControl/>
              <w:jc w:val="center"/>
              <w:rPr>
                <w:rFonts w:ascii="宋体" w:hAnsi="宋体" w:cs="Arial"/>
                <w:color w:val="000000"/>
                <w:kern w:val="0"/>
                <w:sz w:val="17"/>
                <w:szCs w:val="17"/>
                <w:lang w:val="en-GB"/>
              </w:rPr>
            </w:pPr>
            <w:r>
              <w:rPr>
                <w:rFonts w:ascii="宋体" w:hAnsi="宋体" w:cs="Arial"/>
                <w:kern w:val="0"/>
                <w:sz w:val="17"/>
                <w:szCs w:val="17"/>
              </w:rPr>
              <w:t>29,936,803,773.58</w:t>
            </w:r>
          </w:p>
        </w:tc>
        <w:tc>
          <w:tcPr>
            <w:tcW w:w="1701" w:type="dxa"/>
            <w:shd w:val="clear" w:color="auto" w:fill="auto"/>
            <w:vAlign w:val="center"/>
          </w:tcPr>
          <w:p w:rsidR="00092652" w:rsidRDefault="0039522B">
            <w:pPr>
              <w:widowControl/>
              <w:jc w:val="center"/>
              <w:rPr>
                <w:rFonts w:ascii="宋体" w:hAnsi="宋体" w:cs="Arial"/>
                <w:color w:val="000000"/>
                <w:kern w:val="0"/>
                <w:sz w:val="17"/>
                <w:szCs w:val="17"/>
                <w:lang w:val="en-GB"/>
              </w:rPr>
            </w:pPr>
            <w:r>
              <w:rPr>
                <w:rFonts w:ascii="宋体" w:hAnsi="宋体" w:cs="Arial"/>
                <w:kern w:val="0"/>
                <w:sz w:val="17"/>
                <w:szCs w:val="17"/>
              </w:rPr>
              <w:t>29,936,803,773.58</w:t>
            </w:r>
          </w:p>
        </w:tc>
        <w:tc>
          <w:tcPr>
            <w:tcW w:w="1560" w:type="dxa"/>
            <w:shd w:val="clear" w:color="auto" w:fill="auto"/>
            <w:vAlign w:val="center"/>
          </w:tcPr>
          <w:p w:rsidR="00092652" w:rsidRDefault="0039522B">
            <w:pPr>
              <w:widowControl/>
              <w:ind w:right="-681" w:firstLine="596"/>
              <w:jc w:val="center"/>
              <w:rPr>
                <w:rFonts w:ascii="宋体" w:hAnsi="宋体" w:cs="Arial"/>
                <w:color w:val="000000"/>
                <w:kern w:val="0"/>
                <w:sz w:val="17"/>
                <w:szCs w:val="17"/>
                <w:lang w:val="en-GB"/>
              </w:rPr>
            </w:pPr>
            <w:r>
              <w:rPr>
                <w:rFonts w:ascii="宋体" w:hAnsi="宋体" w:cs="Arial"/>
                <w:color w:val="000000"/>
                <w:kern w:val="0"/>
                <w:sz w:val="17"/>
                <w:szCs w:val="17"/>
              </w:rPr>
              <w:t>-</w:t>
            </w:r>
          </w:p>
        </w:tc>
        <w:tc>
          <w:tcPr>
            <w:tcW w:w="1149" w:type="dxa"/>
            <w:shd w:val="clear" w:color="auto" w:fill="auto"/>
            <w:vAlign w:val="center"/>
          </w:tcPr>
          <w:p w:rsidR="00092652" w:rsidRDefault="0039522B">
            <w:pPr>
              <w:widowControl/>
              <w:jc w:val="center"/>
              <w:rPr>
                <w:rFonts w:ascii="宋体" w:hAnsi="宋体" w:cs="Arial"/>
                <w:color w:val="000000"/>
                <w:kern w:val="0"/>
                <w:sz w:val="17"/>
                <w:szCs w:val="17"/>
                <w:lang w:val="en-GB"/>
              </w:rPr>
            </w:pPr>
            <w:r>
              <w:rPr>
                <w:rFonts w:ascii="宋体" w:hAnsi="宋体" w:cs="Arial"/>
                <w:color w:val="000000"/>
                <w:kern w:val="0"/>
                <w:sz w:val="17"/>
                <w:szCs w:val="17"/>
                <w:lang w:val="en-GB"/>
              </w:rPr>
              <w:t>不适用</w:t>
            </w:r>
          </w:p>
        </w:tc>
      </w:tr>
    </w:tbl>
    <w:p w:rsidR="00092652" w:rsidRDefault="0039522B">
      <w:pPr>
        <w:widowControl/>
        <w:spacing w:line="260" w:lineRule="atLeast"/>
        <w:jc w:val="left"/>
        <w:rPr>
          <w:rFonts w:ascii="宋体" w:hAnsi="宋体"/>
          <w:sz w:val="17"/>
          <w:szCs w:val="17"/>
        </w:rPr>
      </w:pPr>
      <w:r>
        <w:rPr>
          <w:rFonts w:ascii="宋体" w:hAnsi="宋体" w:cs="Arial"/>
          <w:kern w:val="0"/>
          <w:sz w:val="17"/>
          <w:szCs w:val="17"/>
        </w:rPr>
        <w:t>注1：募集资金金额系扣除保荐及承销费用及其他发行费用后的实际募集资金净额加上本次非公开发行境内优先股发行费用可抵扣增值税进项税额的金额。</w:t>
      </w:r>
    </w:p>
    <w:p w:rsidR="00092652" w:rsidRDefault="00092652">
      <w:pPr>
        <w:widowControl/>
        <w:spacing w:line="490" w:lineRule="exact"/>
        <w:ind w:firstLineChars="200" w:firstLine="600"/>
        <w:jc w:val="left"/>
        <w:rPr>
          <w:rFonts w:ascii="仿宋_GB2312" w:eastAsia="仿宋_GB2312" w:hAnsi="Calibri"/>
          <w:sz w:val="30"/>
          <w:szCs w:val="30"/>
        </w:rPr>
      </w:pPr>
    </w:p>
    <w:p w:rsidR="00092652" w:rsidRDefault="00092652">
      <w:pPr>
        <w:widowControl/>
        <w:spacing w:line="490" w:lineRule="exact"/>
        <w:ind w:firstLineChars="200" w:firstLine="600"/>
        <w:jc w:val="left"/>
        <w:rPr>
          <w:rFonts w:ascii="仿宋_GB2312" w:eastAsia="仿宋_GB2312" w:hAnsi="Calibri"/>
          <w:sz w:val="30"/>
          <w:szCs w:val="30"/>
        </w:rPr>
      </w:pPr>
    </w:p>
    <w:p w:rsidR="00092652" w:rsidRDefault="00092652">
      <w:pPr>
        <w:widowControl/>
        <w:spacing w:line="490" w:lineRule="exact"/>
        <w:ind w:firstLineChars="200" w:firstLine="600"/>
        <w:jc w:val="left"/>
        <w:rPr>
          <w:rFonts w:ascii="仿宋_GB2312" w:eastAsia="仿宋_GB2312" w:hAnsi="Calibri"/>
          <w:sz w:val="30"/>
          <w:szCs w:val="30"/>
        </w:rPr>
        <w:sectPr w:rsidR="00092652">
          <w:pgSz w:w="16838" w:h="11906" w:orient="landscape"/>
          <w:pgMar w:top="1797" w:right="1440" w:bottom="1797" w:left="1440" w:header="851" w:footer="992" w:gutter="0"/>
          <w:cols w:space="425"/>
          <w:docGrid w:type="lines" w:linePitch="312"/>
        </w:sectPr>
      </w:pPr>
    </w:p>
    <w:p w:rsidR="00092652" w:rsidRDefault="00C4392E">
      <w:pPr>
        <w:tabs>
          <w:tab w:val="left" w:pos="416"/>
          <w:tab w:val="left" w:pos="1086"/>
          <w:tab w:val="center" w:pos="4156"/>
        </w:tabs>
        <w:spacing w:line="500" w:lineRule="exact"/>
        <w:ind w:firstLineChars="200" w:firstLine="640"/>
      </w:pPr>
      <w:r>
        <w:rPr>
          <w:rFonts w:ascii="黑体" w:eastAsia="黑体"/>
          <w:noProof/>
          <w:sz w:val="32"/>
          <w:szCs w:val="32"/>
        </w:rPr>
        <w:lastRenderedPageBreak/>
        <mc:AlternateContent>
          <mc:Choice Requires="wps">
            <w:drawing>
              <wp:anchor distT="0" distB="0" distL="114300" distR="114300" simplePos="0" relativeHeight="251677696" behindDoc="0" locked="0" layoutInCell="1" allowOverlap="1" wp14:anchorId="4C1F16E8" wp14:editId="5FBE9DD8">
                <wp:simplePos x="0" y="0"/>
                <wp:positionH relativeFrom="column">
                  <wp:posOffset>-15875</wp:posOffset>
                </wp:positionH>
                <wp:positionV relativeFrom="paragraph">
                  <wp:posOffset>0</wp:posOffset>
                </wp:positionV>
                <wp:extent cx="1426210" cy="594360"/>
                <wp:effectExtent l="0" t="0" r="3175" b="0"/>
                <wp:wrapSquare wrapText="bothSides"/>
                <wp:docPr id="7" name="文本框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621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15BAA" w:rsidRDefault="00115BAA">
                            <w:pPr>
                              <w:spacing w:line="400" w:lineRule="exact"/>
                              <w:jc w:val="center"/>
                              <w:rPr>
                                <w:rFonts w:ascii="宋体"/>
                                <w:color w:val="000000"/>
                                <w:szCs w:val="21"/>
                              </w:rPr>
                            </w:pPr>
                            <w:r>
                              <w:rPr>
                                <w:rFonts w:ascii="宋体" w:hint="eastAsia"/>
                                <w:color w:val="000000"/>
                                <w:szCs w:val="21"/>
                              </w:rPr>
                              <w:t>2020年年度股东大会</w:t>
                            </w:r>
                          </w:p>
                          <w:p w:rsidR="00115BAA" w:rsidRDefault="00115BAA">
                            <w:pPr>
                              <w:spacing w:line="400" w:lineRule="exact"/>
                              <w:jc w:val="center"/>
                              <w:rPr>
                                <w:rFonts w:ascii="宋体"/>
                                <w:color w:val="000000"/>
                                <w:szCs w:val="21"/>
                              </w:rPr>
                            </w:pPr>
                            <w:r>
                              <w:rPr>
                                <w:rFonts w:ascii="宋体" w:hint="eastAsia"/>
                                <w:color w:val="000000"/>
                                <w:szCs w:val="21"/>
                              </w:rPr>
                              <w:t>文件十七　审议议案</w:t>
                            </w:r>
                          </w:p>
                          <w:p w:rsidR="00115BAA" w:rsidRDefault="00115BAA">
                            <w:pPr>
                              <w:rPr>
                                <w:szCs w:val="21"/>
                              </w:rPr>
                            </w:pPr>
                          </w:p>
                        </w:txbxContent>
                      </wps:txbx>
                      <wps:bodyPr wrap="none"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_x0000_s1043" type="#_x0000_t202" style="position:absolute;left:0;text-align:left;margin-left:-1.25pt;margin-top:0;width:112.3pt;height:46.8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">
                <v:path arrowok="t"/>
                <v:textbox>
                  <w:txbxContent>
                    <w:p w:rsidR="00115BAA" w:rsidRDefault="00115BAA">
                      <w:pPr>
                        <w:spacing w:line="400" w:lineRule="exact"/>
                        <w:jc w:val="center"/>
                        <w:rPr>
                          <w:rFonts w:ascii="宋体"/>
                          <w:color w:val="000000"/>
                          <w:szCs w:val="21"/>
                        </w:rPr>
                      </w:pPr>
                      <w:r>
                        <w:rPr>
                          <w:rFonts w:ascii="宋体" w:hint="eastAsia"/>
                          <w:color w:val="000000"/>
                          <w:szCs w:val="21"/>
                        </w:rPr>
                        <w:t>2020年年度股东大会</w:t>
                      </w:r>
                    </w:p>
                    <w:p w:rsidR="00115BAA" w:rsidRDefault="00115BAA">
                      <w:pPr>
                        <w:spacing w:line="400" w:lineRule="exact"/>
                        <w:jc w:val="center"/>
                        <w:rPr>
                          <w:rFonts w:ascii="宋体"/>
                          <w:color w:val="000000"/>
                          <w:szCs w:val="21"/>
                        </w:rPr>
                      </w:pPr>
                      <w:r>
                        <w:rPr>
                          <w:rFonts w:ascii="宋体" w:hint="eastAsia"/>
                          <w:color w:val="000000"/>
                          <w:szCs w:val="21"/>
                        </w:rPr>
                        <w:t>文件十七　审议议案</w:t>
                      </w:r>
                    </w:p>
                    <w:p w:rsidR="00115BAA" w:rsidRDefault="00115BAA">
                      <w:pPr>
                        <w:rPr>
                          <w:szCs w:val="21"/>
                        </w:rPr>
                      </w:pPr>
                    </w:p>
                  </w:txbxContent>
                </v:textbox>
                <w10:wrap type="square"/>
              </v:shape>
            </w:pict>
          </mc:Fallback>
        </mc:AlternateContent>
      </w:r>
    </w:p>
    <w:p w:rsidR="00092652" w:rsidRDefault="00092652">
      <w:pPr>
        <w:widowControl/>
        <w:spacing w:line="560" w:lineRule="exact"/>
        <w:jc w:val="center"/>
        <w:rPr>
          <w:rFonts w:ascii="黑体" w:eastAsia="黑体"/>
          <w:sz w:val="32"/>
          <w:szCs w:val="32"/>
        </w:rPr>
      </w:pPr>
    </w:p>
    <w:p w:rsidR="00092652" w:rsidRDefault="0039522B">
      <w:pPr>
        <w:widowControl/>
        <w:spacing w:line="520" w:lineRule="exact"/>
        <w:jc w:val="center"/>
        <w:rPr>
          <w:rFonts w:ascii="黑体" w:eastAsia="黑体"/>
          <w:sz w:val="32"/>
          <w:szCs w:val="32"/>
        </w:rPr>
      </w:pPr>
      <w:r>
        <w:rPr>
          <w:rFonts w:ascii="黑体" w:eastAsia="黑体" w:hint="eastAsia"/>
          <w:sz w:val="32"/>
          <w:szCs w:val="32"/>
        </w:rPr>
        <w:t>兴业银行股份有限公司</w:t>
      </w:r>
    </w:p>
    <w:p w:rsidR="00092652" w:rsidRDefault="0039522B">
      <w:pPr>
        <w:pStyle w:val="1"/>
        <w:tabs>
          <w:tab w:val="clear" w:pos="432"/>
        </w:tabs>
        <w:spacing w:before="0" w:after="0" w:line="520" w:lineRule="exact"/>
        <w:ind w:left="567" w:rightChars="290" w:right="609" w:firstLine="0"/>
        <w:rPr>
          <w:szCs w:val="32"/>
        </w:rPr>
      </w:pPr>
      <w:bookmarkStart w:id="27" w:name="_Toc72437664"/>
      <w:r>
        <w:rPr>
          <w:rFonts w:cs="黑体" w:hint="eastAsia"/>
          <w:szCs w:val="32"/>
        </w:rPr>
        <w:t>关于中期股东回报规划（2021-2023年）的议案</w:t>
      </w:r>
      <w:bookmarkEnd w:id="27"/>
    </w:p>
    <w:p w:rsidR="00092652" w:rsidRDefault="0039522B">
      <w:pPr>
        <w:overflowPunct w:val="0"/>
        <w:snapToGrid w:val="0"/>
        <w:spacing w:line="500" w:lineRule="exact"/>
        <w:jc w:val="center"/>
        <w:rPr>
          <w:rFonts w:asciiTheme="minorHAnsi" w:eastAsia="仿宋_GB2312" w:hAnsiTheme="minorHAnsi"/>
          <w:sz w:val="30"/>
          <w:szCs w:val="30"/>
        </w:rPr>
      </w:pPr>
      <w:r>
        <w:rPr>
          <w:rFonts w:asciiTheme="minorHAnsi" w:eastAsia="仿宋_GB2312" w:hAnsiTheme="minorHAnsi" w:hint="eastAsia"/>
          <w:sz w:val="30"/>
          <w:szCs w:val="30"/>
        </w:rPr>
        <w:t>报告人：赖富荣</w:t>
      </w:r>
    </w:p>
    <w:p w:rsidR="00092652" w:rsidRDefault="00092652">
      <w:pPr>
        <w:widowControl/>
        <w:jc w:val="left"/>
      </w:pPr>
    </w:p>
    <w:p w:rsidR="00092652" w:rsidRDefault="0039522B">
      <w:pPr>
        <w:overflowPunct w:val="0"/>
        <w:snapToGrid w:val="0"/>
        <w:spacing w:line="520" w:lineRule="exact"/>
        <w:rPr>
          <w:rFonts w:ascii="仿宋_GB2312" w:eastAsia="仿宋_GB2312" w:hAnsi="Calibri"/>
          <w:sz w:val="30"/>
          <w:szCs w:val="30"/>
        </w:rPr>
      </w:pPr>
      <w:r>
        <w:rPr>
          <w:rFonts w:ascii="仿宋_GB2312" w:eastAsia="仿宋_GB2312" w:hAnsi="Calibri" w:hint="eastAsia"/>
          <w:sz w:val="30"/>
          <w:szCs w:val="30"/>
        </w:rPr>
        <w:t>各位股东：</w:t>
      </w:r>
    </w:p>
    <w:p w:rsidR="00092652" w:rsidRDefault="0039522B">
      <w:pPr>
        <w:spacing w:line="520" w:lineRule="exact"/>
        <w:ind w:firstLineChars="200" w:firstLine="600"/>
        <w:rPr>
          <w:rFonts w:ascii="仿宋_GB2312" w:eastAsia="仿宋_GB2312"/>
          <w:sz w:val="30"/>
          <w:szCs w:val="30"/>
        </w:rPr>
      </w:pPr>
      <w:bookmarkStart w:id="28" w:name="_Hlk54760468"/>
      <w:r>
        <w:rPr>
          <w:rFonts w:ascii="仿宋_GB2312" w:eastAsia="仿宋_GB2312" w:hint="eastAsia"/>
          <w:sz w:val="30"/>
          <w:szCs w:val="30"/>
        </w:rPr>
        <w:t>为</w:t>
      </w:r>
      <w:r>
        <w:rPr>
          <w:rFonts w:eastAsia="仿宋_GB2312"/>
          <w:sz w:val="30"/>
          <w:szCs w:val="30"/>
        </w:rPr>
        <w:t>建立对股东持续、稳定、科学的回报机制</w:t>
      </w:r>
      <w:r>
        <w:rPr>
          <w:rFonts w:eastAsia="仿宋_GB2312" w:hint="eastAsia"/>
          <w:sz w:val="30"/>
          <w:szCs w:val="30"/>
        </w:rPr>
        <w:t>，保持股东回报政策的连续性、</w:t>
      </w:r>
      <w:r>
        <w:rPr>
          <w:rFonts w:ascii="仿宋_GB2312" w:eastAsia="仿宋_GB2312" w:hint="eastAsia"/>
          <w:sz w:val="30"/>
          <w:szCs w:val="30"/>
        </w:rPr>
        <w:t>稳定性和合理性，</w:t>
      </w:r>
      <w:bookmarkEnd w:id="28"/>
      <w:r>
        <w:rPr>
          <w:rFonts w:ascii="仿宋_GB2312" w:eastAsia="仿宋_GB2312" w:hint="eastAsia"/>
          <w:sz w:val="30"/>
          <w:szCs w:val="30"/>
        </w:rPr>
        <w:t>根据《中华人民共和国公司法》《中华人民共和国证券法》《中国证券监督管理委员会关于进一步落实上市公司现金分红有关事项的通知》《上市公司监管指引第3号——上市公司现金分红》及《兴业银行股份有限公司章程》的规定，综合考虑公司实际经营情况及未来发展需要，特制订《兴业银行股份有限公司中期股东回报规划（20</w:t>
      </w:r>
      <w:r>
        <w:rPr>
          <w:rFonts w:ascii="仿宋_GB2312" w:eastAsia="仿宋_GB2312"/>
          <w:sz w:val="30"/>
          <w:szCs w:val="30"/>
        </w:rPr>
        <w:t>21</w:t>
      </w:r>
      <w:r>
        <w:rPr>
          <w:rFonts w:ascii="仿宋_GB2312" w:eastAsia="仿宋_GB2312" w:hint="eastAsia"/>
          <w:sz w:val="30"/>
          <w:szCs w:val="30"/>
        </w:rPr>
        <w:t>-20</w:t>
      </w:r>
      <w:r>
        <w:rPr>
          <w:rFonts w:ascii="仿宋_GB2312" w:eastAsia="仿宋_GB2312"/>
          <w:sz w:val="30"/>
          <w:szCs w:val="30"/>
        </w:rPr>
        <w:t>23</w:t>
      </w:r>
      <w:r>
        <w:rPr>
          <w:rFonts w:ascii="仿宋_GB2312" w:eastAsia="仿宋_GB2312" w:hint="eastAsia"/>
          <w:sz w:val="30"/>
          <w:szCs w:val="30"/>
        </w:rPr>
        <w:t>年）》。</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专此报告，请予审议。</w:t>
      </w:r>
    </w:p>
    <w:p w:rsidR="00092652" w:rsidRDefault="00092652">
      <w:pPr>
        <w:spacing w:line="520" w:lineRule="exact"/>
        <w:ind w:firstLineChars="200" w:firstLine="600"/>
        <w:rPr>
          <w:rFonts w:ascii="仿宋_GB2312" w:eastAsia="仿宋_GB2312"/>
          <w:sz w:val="30"/>
          <w:szCs w:val="30"/>
        </w:rPr>
      </w:pP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附件：兴业银行股份有限公司中期股东回报规划（20</w:t>
      </w:r>
      <w:r>
        <w:rPr>
          <w:rFonts w:ascii="仿宋_GB2312" w:eastAsia="仿宋_GB2312"/>
          <w:sz w:val="30"/>
          <w:szCs w:val="30"/>
        </w:rPr>
        <w:t>21</w:t>
      </w:r>
      <w:r>
        <w:rPr>
          <w:rFonts w:ascii="仿宋_GB2312" w:eastAsia="仿宋_GB2312" w:hint="eastAsia"/>
          <w:sz w:val="30"/>
          <w:szCs w:val="30"/>
        </w:rPr>
        <w:t>-20</w:t>
      </w:r>
      <w:r>
        <w:rPr>
          <w:rFonts w:ascii="仿宋_GB2312" w:eastAsia="仿宋_GB2312"/>
          <w:sz w:val="30"/>
          <w:szCs w:val="30"/>
        </w:rPr>
        <w:t>23</w:t>
      </w:r>
      <w:r>
        <w:rPr>
          <w:rFonts w:ascii="仿宋_GB2312" w:eastAsia="仿宋_GB2312" w:hint="eastAsia"/>
          <w:sz w:val="30"/>
          <w:szCs w:val="30"/>
        </w:rPr>
        <w:t>年）</w:t>
      </w:r>
    </w:p>
    <w:p w:rsidR="00092652" w:rsidRDefault="0039522B">
      <w:pPr>
        <w:spacing w:line="500" w:lineRule="exact"/>
        <w:rPr>
          <w:rFonts w:ascii="宋体" w:hAnsi="宋体"/>
          <w:b/>
          <w:bCs/>
          <w:sz w:val="24"/>
          <w:szCs w:val="24"/>
        </w:rPr>
      </w:pPr>
      <w:r>
        <w:rPr>
          <w:rFonts w:eastAsia="仿宋_GB2312"/>
          <w:sz w:val="28"/>
          <w:szCs w:val="28"/>
        </w:rPr>
        <w:br w:type="page"/>
      </w:r>
      <w:r>
        <w:rPr>
          <w:rFonts w:ascii="仿宋_GB2312" w:eastAsia="仿宋_GB2312" w:hint="eastAsia"/>
          <w:sz w:val="30"/>
          <w:szCs w:val="30"/>
        </w:rPr>
        <w:lastRenderedPageBreak/>
        <w:t>附件</w:t>
      </w:r>
    </w:p>
    <w:p w:rsidR="00092652" w:rsidRDefault="0039522B">
      <w:pPr>
        <w:spacing w:before="50" w:after="50" w:line="500" w:lineRule="exact"/>
        <w:jc w:val="center"/>
        <w:rPr>
          <w:rFonts w:ascii="宋体" w:hAnsi="宋体"/>
          <w:b/>
          <w:bCs/>
          <w:sz w:val="30"/>
          <w:szCs w:val="30"/>
        </w:rPr>
      </w:pPr>
      <w:r>
        <w:rPr>
          <w:rFonts w:ascii="宋体" w:hAnsi="宋体"/>
          <w:b/>
          <w:bCs/>
          <w:sz w:val="30"/>
          <w:szCs w:val="30"/>
        </w:rPr>
        <w:t>兴业银行股份有限公司</w:t>
      </w:r>
    </w:p>
    <w:p w:rsidR="00092652" w:rsidRDefault="0039522B">
      <w:pPr>
        <w:spacing w:before="50" w:after="50" w:line="500" w:lineRule="exact"/>
        <w:jc w:val="center"/>
        <w:rPr>
          <w:rFonts w:ascii="宋体" w:hAnsi="宋体"/>
          <w:b/>
          <w:bCs/>
          <w:sz w:val="30"/>
          <w:szCs w:val="30"/>
        </w:rPr>
      </w:pPr>
      <w:r>
        <w:rPr>
          <w:rFonts w:ascii="宋体" w:hAnsi="宋体"/>
          <w:b/>
          <w:bCs/>
          <w:sz w:val="30"/>
          <w:szCs w:val="30"/>
        </w:rPr>
        <w:t>中期股东回报规划（2021-2023年）</w:t>
      </w:r>
    </w:p>
    <w:p w:rsidR="00092652" w:rsidRDefault="00092652">
      <w:pPr>
        <w:spacing w:line="360" w:lineRule="auto"/>
        <w:jc w:val="center"/>
        <w:rPr>
          <w:rFonts w:ascii="宋体" w:hAnsi="宋体"/>
          <w:b/>
          <w:bCs/>
          <w:sz w:val="28"/>
          <w:szCs w:val="24"/>
        </w:rPr>
      </w:pPr>
    </w:p>
    <w:p w:rsidR="00092652" w:rsidRDefault="0039522B">
      <w:pPr>
        <w:spacing w:line="520" w:lineRule="exact"/>
        <w:ind w:firstLineChars="200" w:firstLine="560"/>
        <w:rPr>
          <w:rFonts w:ascii="宋体" w:hAnsi="宋体"/>
          <w:sz w:val="28"/>
          <w:szCs w:val="28"/>
        </w:rPr>
      </w:pPr>
      <w:r>
        <w:rPr>
          <w:rFonts w:ascii="宋体" w:hAnsi="宋体" w:hint="eastAsia"/>
          <w:sz w:val="28"/>
          <w:szCs w:val="28"/>
        </w:rPr>
        <w:t>为建立对股东持续、稳定、科学的回报机制，保持股东回报政策的连续性、稳定性和合理性，</w:t>
      </w:r>
      <w:r>
        <w:rPr>
          <w:rFonts w:ascii="宋体" w:hAnsi="宋体"/>
          <w:sz w:val="28"/>
          <w:szCs w:val="28"/>
        </w:rPr>
        <w:t>兴业银行股份有限公司（以下简称“公司”）依照《中华人民共和国公司法》《中华人民共和国证券法》</w:t>
      </w:r>
      <w:r>
        <w:rPr>
          <w:rFonts w:ascii="宋体" w:hAnsi="宋体" w:hint="eastAsia"/>
          <w:sz w:val="28"/>
          <w:szCs w:val="28"/>
        </w:rPr>
        <w:t>《中国证券监督管理委员会关于进一步落实上市公司现金分红有关事项的通知》</w:t>
      </w:r>
      <w:r>
        <w:rPr>
          <w:rFonts w:ascii="宋体" w:hAnsi="宋体"/>
          <w:sz w:val="28"/>
          <w:szCs w:val="28"/>
        </w:rPr>
        <w:t>《上市公司监管指引第3号——上市公司现金分红》及《兴业银行股份有限公司章程》（以下简称“</w:t>
      </w:r>
      <w:r>
        <w:rPr>
          <w:rFonts w:ascii="宋体" w:hAnsi="宋体" w:hint="eastAsia"/>
          <w:sz w:val="28"/>
          <w:szCs w:val="28"/>
        </w:rPr>
        <w:t>《</w:t>
      </w:r>
      <w:r>
        <w:rPr>
          <w:rFonts w:ascii="宋体" w:hAnsi="宋体"/>
          <w:sz w:val="28"/>
          <w:szCs w:val="28"/>
        </w:rPr>
        <w:t>公司章程</w:t>
      </w:r>
      <w:r>
        <w:rPr>
          <w:rFonts w:ascii="宋体" w:hAnsi="宋体" w:hint="eastAsia"/>
          <w:sz w:val="28"/>
          <w:szCs w:val="28"/>
        </w:rPr>
        <w:t>》</w:t>
      </w:r>
      <w:r>
        <w:rPr>
          <w:rFonts w:ascii="宋体" w:hAnsi="宋体"/>
          <w:sz w:val="28"/>
          <w:szCs w:val="28"/>
        </w:rPr>
        <w:t>”）的规定，</w:t>
      </w:r>
      <w:r>
        <w:rPr>
          <w:rFonts w:ascii="宋体" w:hAnsi="宋体" w:hint="eastAsia"/>
          <w:sz w:val="28"/>
          <w:szCs w:val="28"/>
        </w:rPr>
        <w:t>综合考虑公司实际经营情况及未来发展需要，特制订《兴业银行股份有限公司中期股东回报规划（2021-2023年）》</w:t>
      </w:r>
      <w:r>
        <w:rPr>
          <w:rFonts w:ascii="宋体" w:hAnsi="宋体"/>
          <w:sz w:val="28"/>
          <w:szCs w:val="28"/>
        </w:rPr>
        <w:t>（以下简称“本规划”）。</w:t>
      </w:r>
    </w:p>
    <w:p w:rsidR="00092652" w:rsidRDefault="0039522B">
      <w:pPr>
        <w:spacing w:line="520" w:lineRule="exact"/>
        <w:ind w:firstLineChars="200" w:firstLine="562"/>
        <w:rPr>
          <w:rFonts w:ascii="宋体" w:hAnsi="宋体"/>
          <w:b/>
          <w:sz w:val="28"/>
          <w:szCs w:val="28"/>
        </w:rPr>
      </w:pPr>
      <w:r>
        <w:rPr>
          <w:rFonts w:ascii="宋体" w:hAnsi="宋体"/>
          <w:b/>
          <w:sz w:val="28"/>
          <w:szCs w:val="28"/>
        </w:rPr>
        <w:t>一</w:t>
      </w:r>
      <w:r>
        <w:rPr>
          <w:rFonts w:ascii="宋体" w:hAnsi="宋体" w:hint="eastAsia"/>
          <w:b/>
          <w:sz w:val="28"/>
          <w:szCs w:val="28"/>
        </w:rPr>
        <w:t>、</w:t>
      </w:r>
      <w:r>
        <w:rPr>
          <w:rFonts w:ascii="宋体" w:hAnsi="宋体"/>
          <w:b/>
          <w:sz w:val="28"/>
          <w:szCs w:val="28"/>
        </w:rPr>
        <w:t>制定本规划的基本原则</w:t>
      </w:r>
    </w:p>
    <w:p w:rsidR="00092652" w:rsidRDefault="0039522B">
      <w:pPr>
        <w:spacing w:line="520" w:lineRule="exact"/>
        <w:ind w:firstLineChars="200" w:firstLine="560"/>
        <w:rPr>
          <w:rFonts w:ascii="宋体" w:hAnsi="宋体"/>
          <w:sz w:val="28"/>
          <w:szCs w:val="28"/>
        </w:rPr>
      </w:pPr>
      <w:r>
        <w:rPr>
          <w:rFonts w:ascii="宋体" w:hAnsi="宋体" w:hint="eastAsia"/>
          <w:sz w:val="28"/>
          <w:szCs w:val="28"/>
        </w:rPr>
        <w:t>（一）</w:t>
      </w:r>
      <w:r>
        <w:rPr>
          <w:rFonts w:ascii="宋体" w:hAnsi="宋体"/>
          <w:sz w:val="28"/>
          <w:szCs w:val="28"/>
        </w:rPr>
        <w:t>严格遵照相关法律法规、监管要求和《公司章程》中对于利润分配的规定。</w:t>
      </w:r>
    </w:p>
    <w:p w:rsidR="00092652" w:rsidRDefault="0039522B">
      <w:pPr>
        <w:spacing w:line="520" w:lineRule="exact"/>
        <w:ind w:firstLineChars="200" w:firstLine="560"/>
        <w:rPr>
          <w:rFonts w:ascii="宋体" w:hAnsi="宋体"/>
          <w:sz w:val="28"/>
          <w:szCs w:val="28"/>
        </w:rPr>
      </w:pPr>
      <w:r>
        <w:rPr>
          <w:rFonts w:ascii="宋体" w:hAnsi="宋体" w:hint="eastAsia"/>
          <w:sz w:val="28"/>
          <w:szCs w:val="28"/>
        </w:rPr>
        <w:t>（二）</w:t>
      </w:r>
      <w:r>
        <w:rPr>
          <w:rFonts w:ascii="宋体" w:hAnsi="宋体"/>
          <w:sz w:val="28"/>
          <w:szCs w:val="28"/>
        </w:rPr>
        <w:t>充分考虑和重视对股东的合理投资回报，同时兼顾公司的可持续发展，建立对股东持续、稳定、科学的回报机制。</w:t>
      </w:r>
    </w:p>
    <w:p w:rsidR="00092652" w:rsidRDefault="0039522B">
      <w:pPr>
        <w:spacing w:line="520" w:lineRule="exact"/>
        <w:ind w:firstLineChars="200" w:firstLine="560"/>
        <w:rPr>
          <w:rFonts w:ascii="宋体" w:hAnsi="宋体"/>
          <w:sz w:val="28"/>
          <w:szCs w:val="28"/>
        </w:rPr>
      </w:pPr>
      <w:r>
        <w:rPr>
          <w:rFonts w:ascii="宋体" w:hAnsi="宋体" w:hint="eastAsia"/>
          <w:sz w:val="28"/>
          <w:szCs w:val="28"/>
        </w:rPr>
        <w:t>（三）</w:t>
      </w:r>
      <w:r>
        <w:rPr>
          <w:rFonts w:ascii="宋体" w:hAnsi="宋体"/>
          <w:sz w:val="28"/>
          <w:szCs w:val="28"/>
        </w:rPr>
        <w:t>在任何会计年度内，若公司就全部股本进行利润分配（不包括对净资产无削减作用的股息派发或其他分配），总额原则上不超过上一会计年度年终时的净利润。</w:t>
      </w:r>
    </w:p>
    <w:p w:rsidR="00092652" w:rsidRDefault="0039522B">
      <w:pPr>
        <w:spacing w:line="520" w:lineRule="exact"/>
        <w:ind w:firstLineChars="200" w:firstLine="562"/>
        <w:rPr>
          <w:rFonts w:ascii="宋体" w:hAnsi="宋体"/>
          <w:b/>
          <w:sz w:val="28"/>
          <w:szCs w:val="28"/>
        </w:rPr>
      </w:pPr>
      <w:r>
        <w:rPr>
          <w:rFonts w:ascii="宋体" w:hAnsi="宋体"/>
          <w:b/>
          <w:sz w:val="28"/>
          <w:szCs w:val="28"/>
        </w:rPr>
        <w:t>二</w:t>
      </w:r>
      <w:r>
        <w:rPr>
          <w:rFonts w:ascii="宋体" w:hAnsi="宋体" w:hint="eastAsia"/>
          <w:b/>
          <w:sz w:val="28"/>
          <w:szCs w:val="28"/>
        </w:rPr>
        <w:t>、</w:t>
      </w:r>
      <w:r>
        <w:rPr>
          <w:rFonts w:ascii="宋体" w:hAnsi="宋体"/>
          <w:b/>
          <w:sz w:val="28"/>
          <w:szCs w:val="28"/>
        </w:rPr>
        <w:t>制定本规划的主要考虑因素</w:t>
      </w:r>
    </w:p>
    <w:p w:rsidR="00092652" w:rsidRDefault="0039522B">
      <w:pPr>
        <w:spacing w:line="520" w:lineRule="exact"/>
        <w:ind w:firstLineChars="200" w:firstLine="560"/>
        <w:rPr>
          <w:rFonts w:ascii="宋体" w:hAnsi="宋体"/>
          <w:sz w:val="28"/>
          <w:szCs w:val="28"/>
        </w:rPr>
      </w:pPr>
      <w:r>
        <w:rPr>
          <w:rFonts w:ascii="宋体" w:hAnsi="宋体"/>
          <w:sz w:val="28"/>
          <w:szCs w:val="28"/>
        </w:rPr>
        <w:t>公司着眼于长远和可持续发展，结合行业特点、发展阶段和公司自身经营模式、盈利水平、资本需求等因素，在充分考虑并合理预判行业发展趋势及公司业务发展需要的基础上，制定</w:t>
      </w:r>
      <w:r>
        <w:rPr>
          <w:rFonts w:ascii="宋体" w:hAnsi="宋体" w:hint="eastAsia"/>
          <w:sz w:val="28"/>
          <w:szCs w:val="28"/>
        </w:rPr>
        <w:t>本规划</w:t>
      </w:r>
      <w:r>
        <w:rPr>
          <w:rFonts w:ascii="宋体" w:hAnsi="宋体"/>
          <w:sz w:val="28"/>
          <w:szCs w:val="28"/>
        </w:rPr>
        <w:t>。</w:t>
      </w:r>
    </w:p>
    <w:p w:rsidR="00092652" w:rsidRDefault="0039522B">
      <w:pPr>
        <w:spacing w:line="520" w:lineRule="exact"/>
        <w:ind w:firstLineChars="200" w:firstLine="560"/>
        <w:rPr>
          <w:rFonts w:ascii="宋体" w:hAnsi="宋体"/>
          <w:sz w:val="28"/>
          <w:szCs w:val="28"/>
        </w:rPr>
      </w:pPr>
      <w:r>
        <w:rPr>
          <w:rFonts w:ascii="宋体" w:hAnsi="宋体"/>
          <w:sz w:val="28"/>
          <w:szCs w:val="28"/>
        </w:rPr>
        <w:t>公司需符合</w:t>
      </w:r>
      <w:r>
        <w:rPr>
          <w:rFonts w:ascii="宋体" w:hAnsi="宋体" w:hint="eastAsia"/>
          <w:sz w:val="28"/>
          <w:szCs w:val="28"/>
        </w:rPr>
        <w:t>中国人民银行及中国银行保险监督管理委员会（以下简称“中国银保监会”）</w:t>
      </w:r>
      <w:r>
        <w:rPr>
          <w:rFonts w:ascii="宋体" w:hAnsi="宋体"/>
          <w:sz w:val="28"/>
          <w:szCs w:val="28"/>
        </w:rPr>
        <w:t>对商业银行资本充足水平的</w:t>
      </w:r>
      <w:r>
        <w:rPr>
          <w:rFonts w:ascii="宋体" w:hAnsi="宋体" w:hint="eastAsia"/>
          <w:sz w:val="28"/>
          <w:szCs w:val="28"/>
        </w:rPr>
        <w:t>相关</w:t>
      </w:r>
      <w:r>
        <w:rPr>
          <w:rFonts w:ascii="宋体" w:hAnsi="宋体"/>
          <w:sz w:val="28"/>
          <w:szCs w:val="28"/>
        </w:rPr>
        <w:t>监管要求。</w:t>
      </w:r>
      <w:r>
        <w:rPr>
          <w:rFonts w:ascii="宋体" w:hAnsi="宋体" w:hint="eastAsia"/>
          <w:sz w:val="28"/>
          <w:szCs w:val="28"/>
        </w:rPr>
        <w:lastRenderedPageBreak/>
        <w:t>原中国银行业监督管理委员会发布的</w:t>
      </w:r>
      <w:r>
        <w:rPr>
          <w:rFonts w:ascii="宋体" w:hAnsi="宋体"/>
          <w:sz w:val="28"/>
          <w:szCs w:val="28"/>
        </w:rPr>
        <w:t>《商业银行资本管理办法（试行）》于2013年1月1日正式施行，进一步强化了资本约束机制，</w:t>
      </w:r>
      <w:r>
        <w:rPr>
          <w:rFonts w:ascii="宋体" w:hAnsi="宋体" w:hint="eastAsia"/>
          <w:sz w:val="28"/>
          <w:szCs w:val="28"/>
        </w:rPr>
        <w:t>提高了对于我国商业银行资本监管的标准。中国人民银行、中国银保监会发布的《关于建立逆周期资本缓冲机制的通知》自2</w:t>
      </w:r>
      <w:r>
        <w:rPr>
          <w:rFonts w:ascii="宋体" w:hAnsi="宋体"/>
          <w:sz w:val="28"/>
          <w:szCs w:val="28"/>
        </w:rPr>
        <w:t>020</w:t>
      </w:r>
      <w:r>
        <w:rPr>
          <w:rFonts w:ascii="宋体" w:hAnsi="宋体" w:hint="eastAsia"/>
          <w:sz w:val="28"/>
          <w:szCs w:val="28"/>
        </w:rPr>
        <w:t>年</w:t>
      </w:r>
      <w:r>
        <w:rPr>
          <w:rFonts w:ascii="宋体" w:hAnsi="宋体"/>
          <w:sz w:val="28"/>
          <w:szCs w:val="28"/>
        </w:rPr>
        <w:t>9</w:t>
      </w:r>
      <w:r>
        <w:rPr>
          <w:rFonts w:ascii="宋体" w:hAnsi="宋体" w:hint="eastAsia"/>
          <w:sz w:val="28"/>
          <w:szCs w:val="28"/>
        </w:rPr>
        <w:t>月</w:t>
      </w:r>
      <w:r>
        <w:rPr>
          <w:rFonts w:ascii="宋体" w:hAnsi="宋体"/>
          <w:sz w:val="28"/>
          <w:szCs w:val="28"/>
        </w:rPr>
        <w:t>30</w:t>
      </w:r>
      <w:r>
        <w:rPr>
          <w:rFonts w:ascii="宋体" w:hAnsi="宋体" w:hint="eastAsia"/>
          <w:sz w:val="28"/>
          <w:szCs w:val="28"/>
        </w:rPr>
        <w:t>日起实施，明确了我国逆周期资本缓冲的计提方式、覆盖范围及评估机制，逆周期资本缓冲要求为0%-2.5%，用核心一级资本进行满足，现阶段逆周期缓冲资本暂定为0%，后续将综合考虑宏观经济金融形势、杠杆率水平、银行体系稳健性等因素，定期评估和调整逆周期资本缓冲要求。中国人民银行、中国银保监会发布的《系统重要性银行评估办法》自2</w:t>
      </w:r>
      <w:r>
        <w:rPr>
          <w:rFonts w:ascii="宋体" w:hAnsi="宋体"/>
          <w:sz w:val="28"/>
          <w:szCs w:val="28"/>
        </w:rPr>
        <w:t>021</w:t>
      </w:r>
      <w:r>
        <w:rPr>
          <w:rFonts w:ascii="宋体" w:hAnsi="宋体" w:hint="eastAsia"/>
          <w:sz w:val="28"/>
          <w:szCs w:val="28"/>
        </w:rPr>
        <w:t>年1月1日起实施，对入选国内系统重要性银行的金融机构从附加资本、杠杆率、大额风险暴露、公司治理、恢复处置计划、信息披露和数据报送等方面提出监管要求，其中附加资本预计在1%以内，用核心一级资本进行满足。</w:t>
      </w:r>
      <w:r>
        <w:rPr>
          <w:rFonts w:ascii="宋体" w:hAnsi="宋体"/>
          <w:sz w:val="28"/>
          <w:szCs w:val="28"/>
        </w:rPr>
        <w:t>公司的利润分配政策需充分考虑自身的资本充足水平，在资本充足率满足监管要求和公司长远利益、全体股东的整体利益的前提下，实施</w:t>
      </w:r>
      <w:r>
        <w:rPr>
          <w:rFonts w:ascii="宋体" w:hAnsi="宋体" w:hint="eastAsia"/>
          <w:sz w:val="28"/>
          <w:szCs w:val="28"/>
        </w:rPr>
        <w:t>稳定</w:t>
      </w:r>
      <w:r>
        <w:rPr>
          <w:rFonts w:ascii="宋体" w:hAnsi="宋体"/>
          <w:sz w:val="28"/>
          <w:szCs w:val="28"/>
        </w:rPr>
        <w:t>的利润分配方案，切实维护股东的合法权益，为投资者提供合理的投资回报。</w:t>
      </w:r>
    </w:p>
    <w:p w:rsidR="00092652" w:rsidRDefault="0039522B">
      <w:pPr>
        <w:spacing w:line="520" w:lineRule="exact"/>
        <w:ind w:firstLineChars="200" w:firstLine="560"/>
        <w:rPr>
          <w:rFonts w:ascii="宋体" w:hAnsi="宋体"/>
          <w:sz w:val="28"/>
          <w:szCs w:val="28"/>
        </w:rPr>
      </w:pPr>
      <w:r>
        <w:rPr>
          <w:rFonts w:ascii="宋体" w:hAnsi="宋体"/>
          <w:sz w:val="28"/>
          <w:szCs w:val="28"/>
        </w:rPr>
        <w:t>另外，公司就</w:t>
      </w:r>
      <w:bookmarkStart w:id="29" w:name="OLE_LINK2"/>
      <w:r>
        <w:rPr>
          <w:rFonts w:ascii="宋体" w:hAnsi="宋体"/>
          <w:sz w:val="28"/>
          <w:szCs w:val="28"/>
        </w:rPr>
        <w:t>中国证券监督管理委员会</w:t>
      </w:r>
      <w:r>
        <w:rPr>
          <w:rFonts w:ascii="宋体" w:hAnsi="宋体" w:hint="eastAsia"/>
          <w:sz w:val="28"/>
          <w:szCs w:val="28"/>
        </w:rPr>
        <w:t>（</w:t>
      </w:r>
      <w:bookmarkEnd w:id="29"/>
      <w:r>
        <w:rPr>
          <w:rFonts w:ascii="宋体" w:hAnsi="宋体" w:hint="eastAsia"/>
          <w:sz w:val="28"/>
          <w:szCs w:val="28"/>
        </w:rPr>
        <w:t>以下简称“中国证监会”）</w:t>
      </w:r>
      <w:r>
        <w:rPr>
          <w:rFonts w:ascii="宋体" w:hAnsi="宋体"/>
          <w:sz w:val="28"/>
          <w:szCs w:val="28"/>
        </w:rPr>
        <w:t>颁布的《上市公司监管指引第3号——上市公司现金分红》对上市公司利润分配及现金分红政策的监管要求进行落实，以进一步健全现金分红制度，增强现金分红透明度，保持现金分红政策的一致性和合理性。</w:t>
      </w:r>
    </w:p>
    <w:p w:rsidR="00092652" w:rsidRDefault="0039522B">
      <w:pPr>
        <w:spacing w:line="520" w:lineRule="exact"/>
        <w:ind w:firstLineChars="200" w:firstLine="560"/>
        <w:rPr>
          <w:rFonts w:ascii="宋体" w:hAnsi="宋体"/>
          <w:sz w:val="28"/>
          <w:szCs w:val="28"/>
        </w:rPr>
      </w:pPr>
      <w:r>
        <w:rPr>
          <w:rFonts w:ascii="宋体" w:hAnsi="宋体"/>
          <w:sz w:val="28"/>
          <w:szCs w:val="28"/>
        </w:rPr>
        <w:t>公司2018年</w:t>
      </w:r>
      <w:r>
        <w:rPr>
          <w:rFonts w:ascii="宋体" w:hAnsi="宋体" w:hint="eastAsia"/>
          <w:sz w:val="28"/>
          <w:szCs w:val="28"/>
        </w:rPr>
        <w:t>、</w:t>
      </w:r>
      <w:r>
        <w:rPr>
          <w:rFonts w:ascii="宋体" w:hAnsi="宋体"/>
          <w:sz w:val="28"/>
          <w:szCs w:val="28"/>
        </w:rPr>
        <w:t>2019年</w:t>
      </w:r>
      <w:r>
        <w:rPr>
          <w:rFonts w:ascii="宋体" w:hAnsi="宋体" w:hint="eastAsia"/>
          <w:sz w:val="28"/>
          <w:szCs w:val="28"/>
        </w:rPr>
        <w:t>和2</w:t>
      </w:r>
      <w:r>
        <w:rPr>
          <w:rFonts w:ascii="宋体" w:hAnsi="宋体"/>
          <w:sz w:val="28"/>
          <w:szCs w:val="28"/>
        </w:rPr>
        <w:t>020</w:t>
      </w:r>
      <w:r>
        <w:rPr>
          <w:rFonts w:ascii="宋体" w:hAnsi="宋体" w:hint="eastAsia"/>
          <w:sz w:val="28"/>
          <w:szCs w:val="28"/>
        </w:rPr>
        <w:t>年</w:t>
      </w:r>
      <w:r>
        <w:rPr>
          <w:rFonts w:ascii="宋体" w:hAnsi="宋体"/>
          <w:sz w:val="28"/>
          <w:szCs w:val="28"/>
        </w:rPr>
        <w:t>的资产总额增速分别为4.59%</w:t>
      </w:r>
      <w:r>
        <w:rPr>
          <w:rFonts w:ascii="宋体" w:hAnsi="宋体" w:hint="eastAsia"/>
          <w:sz w:val="28"/>
          <w:szCs w:val="28"/>
        </w:rPr>
        <w:t>、6</w:t>
      </w:r>
      <w:r>
        <w:rPr>
          <w:rFonts w:ascii="宋体" w:hAnsi="宋体"/>
          <w:sz w:val="28"/>
          <w:szCs w:val="28"/>
        </w:rPr>
        <w:t>.47%</w:t>
      </w:r>
      <w:r>
        <w:rPr>
          <w:rFonts w:ascii="宋体" w:hAnsi="宋体" w:hint="eastAsia"/>
          <w:sz w:val="28"/>
          <w:szCs w:val="28"/>
        </w:rPr>
        <w:t>和1</w:t>
      </w:r>
      <w:r>
        <w:rPr>
          <w:rFonts w:ascii="宋体" w:hAnsi="宋体"/>
          <w:sz w:val="28"/>
          <w:szCs w:val="28"/>
        </w:rPr>
        <w:t>0</w:t>
      </w:r>
      <w:r>
        <w:rPr>
          <w:rFonts w:ascii="宋体" w:hAnsi="宋体" w:hint="eastAsia"/>
          <w:sz w:val="28"/>
          <w:szCs w:val="28"/>
        </w:rPr>
        <w:t>.</w:t>
      </w:r>
      <w:r>
        <w:rPr>
          <w:rFonts w:ascii="宋体" w:hAnsi="宋体"/>
          <w:sz w:val="28"/>
          <w:szCs w:val="28"/>
        </w:rPr>
        <w:t>47</w:t>
      </w:r>
      <w:r>
        <w:rPr>
          <w:rFonts w:ascii="宋体" w:hAnsi="宋体" w:hint="eastAsia"/>
          <w:sz w:val="28"/>
          <w:szCs w:val="28"/>
        </w:rPr>
        <w:t>%</w:t>
      </w:r>
      <w:r>
        <w:rPr>
          <w:rFonts w:ascii="宋体" w:hAnsi="宋体"/>
          <w:sz w:val="28"/>
          <w:szCs w:val="28"/>
        </w:rPr>
        <w:t>，贷款总额增速分别为20.71%</w:t>
      </w:r>
      <w:r>
        <w:rPr>
          <w:rFonts w:ascii="宋体" w:hAnsi="宋体" w:hint="eastAsia"/>
          <w:sz w:val="28"/>
          <w:szCs w:val="28"/>
        </w:rPr>
        <w:t>、</w:t>
      </w:r>
      <w:r>
        <w:rPr>
          <w:rFonts w:ascii="宋体" w:hAnsi="宋体"/>
          <w:sz w:val="28"/>
          <w:szCs w:val="28"/>
        </w:rPr>
        <w:t>17.29%</w:t>
      </w:r>
      <w:r>
        <w:rPr>
          <w:rFonts w:ascii="宋体" w:hAnsi="宋体" w:hint="eastAsia"/>
          <w:sz w:val="28"/>
          <w:szCs w:val="28"/>
        </w:rPr>
        <w:t>和1</w:t>
      </w:r>
      <w:r>
        <w:rPr>
          <w:rFonts w:ascii="宋体" w:hAnsi="宋体"/>
          <w:sz w:val="28"/>
          <w:szCs w:val="28"/>
        </w:rPr>
        <w:t>5</w:t>
      </w:r>
      <w:r>
        <w:rPr>
          <w:rFonts w:ascii="宋体" w:hAnsi="宋体" w:hint="eastAsia"/>
          <w:sz w:val="28"/>
          <w:szCs w:val="28"/>
        </w:rPr>
        <w:t>.</w:t>
      </w:r>
      <w:r>
        <w:rPr>
          <w:rFonts w:ascii="宋体" w:hAnsi="宋体"/>
          <w:sz w:val="28"/>
          <w:szCs w:val="28"/>
        </w:rPr>
        <w:t>23</w:t>
      </w:r>
      <w:r>
        <w:rPr>
          <w:rFonts w:ascii="宋体" w:hAnsi="宋体" w:hint="eastAsia"/>
          <w:sz w:val="28"/>
          <w:szCs w:val="28"/>
        </w:rPr>
        <w:t>%</w:t>
      </w:r>
      <w:r>
        <w:rPr>
          <w:rFonts w:ascii="宋体" w:hAnsi="宋体"/>
          <w:sz w:val="28"/>
          <w:szCs w:val="28"/>
        </w:rPr>
        <w:t>，</w:t>
      </w:r>
      <w:r>
        <w:rPr>
          <w:rFonts w:ascii="宋体" w:hAnsi="宋体" w:hint="eastAsia"/>
          <w:sz w:val="28"/>
          <w:szCs w:val="28"/>
        </w:rPr>
        <w:t>总体</w:t>
      </w:r>
      <w:r>
        <w:rPr>
          <w:rFonts w:ascii="宋体" w:hAnsi="宋体"/>
          <w:sz w:val="28"/>
          <w:szCs w:val="28"/>
        </w:rPr>
        <w:t>呈现平稳增长的态势</w:t>
      </w:r>
      <w:r>
        <w:rPr>
          <w:rFonts w:ascii="宋体" w:hAnsi="宋体" w:hint="eastAsia"/>
          <w:sz w:val="28"/>
          <w:szCs w:val="28"/>
        </w:rPr>
        <w:t>；</w:t>
      </w:r>
      <w:r>
        <w:rPr>
          <w:rFonts w:ascii="宋体" w:hAnsi="宋体"/>
          <w:sz w:val="28"/>
          <w:szCs w:val="28"/>
        </w:rPr>
        <w:t>同时</w:t>
      </w:r>
      <w:r>
        <w:rPr>
          <w:rFonts w:ascii="宋体" w:hAnsi="宋体" w:hint="eastAsia"/>
          <w:sz w:val="28"/>
          <w:szCs w:val="28"/>
        </w:rPr>
        <w:t>，</w:t>
      </w:r>
      <w:r>
        <w:rPr>
          <w:rFonts w:ascii="宋体" w:hAnsi="宋体"/>
          <w:sz w:val="28"/>
          <w:szCs w:val="28"/>
        </w:rPr>
        <w:t>为了</w:t>
      </w:r>
      <w:r>
        <w:rPr>
          <w:rFonts w:ascii="宋体" w:hAnsi="宋体" w:hint="eastAsia"/>
          <w:sz w:val="28"/>
          <w:szCs w:val="28"/>
        </w:rPr>
        <w:t>扎实推进“1</w:t>
      </w:r>
      <w:r>
        <w:rPr>
          <w:rFonts w:ascii="宋体" w:hAnsi="宋体"/>
          <w:sz w:val="28"/>
          <w:szCs w:val="28"/>
        </w:rPr>
        <w:t>234</w:t>
      </w:r>
      <w:r>
        <w:rPr>
          <w:rFonts w:ascii="宋体" w:hAnsi="宋体" w:hint="eastAsia"/>
          <w:sz w:val="28"/>
          <w:szCs w:val="28"/>
        </w:rPr>
        <w:t>”战略实施，稳步推进综合化、集团化进程，公司将在业务拓展、对外投资方面持续支出资本，</w:t>
      </w:r>
      <w:r>
        <w:rPr>
          <w:rFonts w:ascii="宋体" w:hAnsi="宋体"/>
          <w:sz w:val="28"/>
          <w:szCs w:val="28"/>
        </w:rPr>
        <w:t>存在</w:t>
      </w:r>
      <w:r>
        <w:rPr>
          <w:rFonts w:ascii="宋体" w:hAnsi="宋体" w:hint="eastAsia"/>
          <w:sz w:val="28"/>
          <w:szCs w:val="28"/>
        </w:rPr>
        <w:t>一定</w:t>
      </w:r>
      <w:r>
        <w:rPr>
          <w:rFonts w:ascii="宋体" w:hAnsi="宋体"/>
          <w:sz w:val="28"/>
          <w:szCs w:val="28"/>
        </w:rPr>
        <w:t>的</w:t>
      </w:r>
      <w:r>
        <w:rPr>
          <w:rFonts w:ascii="宋体" w:hAnsi="宋体" w:hint="eastAsia"/>
          <w:sz w:val="28"/>
          <w:szCs w:val="28"/>
        </w:rPr>
        <w:t>资本补充</w:t>
      </w:r>
      <w:r>
        <w:rPr>
          <w:rFonts w:ascii="宋体" w:hAnsi="宋体"/>
          <w:sz w:val="28"/>
          <w:szCs w:val="28"/>
        </w:rPr>
        <w:t>需求。公司董事会基于上述判断，</w:t>
      </w:r>
      <w:r>
        <w:rPr>
          <w:rFonts w:ascii="宋体" w:hAnsi="宋体"/>
          <w:sz w:val="28"/>
          <w:szCs w:val="28"/>
        </w:rPr>
        <w:lastRenderedPageBreak/>
        <w:t>并结合公司未来三年的发展前景及战略计划，制定本规划。</w:t>
      </w:r>
    </w:p>
    <w:p w:rsidR="00092652" w:rsidRDefault="0039522B">
      <w:pPr>
        <w:spacing w:line="520" w:lineRule="exact"/>
        <w:ind w:firstLineChars="200" w:firstLine="562"/>
        <w:rPr>
          <w:rFonts w:ascii="宋体" w:hAnsi="宋体"/>
          <w:b/>
          <w:sz w:val="28"/>
          <w:szCs w:val="28"/>
        </w:rPr>
      </w:pPr>
      <w:r>
        <w:rPr>
          <w:rFonts w:ascii="宋体" w:hAnsi="宋体" w:hint="eastAsia"/>
          <w:b/>
          <w:sz w:val="28"/>
          <w:szCs w:val="28"/>
        </w:rPr>
        <w:t>三、公司20</w:t>
      </w:r>
      <w:r>
        <w:rPr>
          <w:rFonts w:ascii="宋体" w:hAnsi="宋体"/>
          <w:b/>
          <w:sz w:val="28"/>
          <w:szCs w:val="28"/>
        </w:rPr>
        <w:t>18</w:t>
      </w:r>
      <w:r>
        <w:rPr>
          <w:rFonts w:ascii="宋体" w:hAnsi="宋体" w:hint="eastAsia"/>
          <w:b/>
          <w:sz w:val="28"/>
          <w:szCs w:val="28"/>
        </w:rPr>
        <w:t>-20</w:t>
      </w:r>
      <w:r>
        <w:rPr>
          <w:rFonts w:ascii="宋体" w:hAnsi="宋体"/>
          <w:b/>
          <w:sz w:val="28"/>
          <w:szCs w:val="28"/>
        </w:rPr>
        <w:t>20</w:t>
      </w:r>
      <w:r>
        <w:rPr>
          <w:rFonts w:ascii="宋体" w:hAnsi="宋体" w:hint="eastAsia"/>
          <w:b/>
          <w:sz w:val="28"/>
          <w:szCs w:val="28"/>
        </w:rPr>
        <w:t>年度利润分配及未分配利润使用情况</w:t>
      </w:r>
    </w:p>
    <w:p w:rsidR="00092652" w:rsidRDefault="0039522B">
      <w:pPr>
        <w:spacing w:line="520" w:lineRule="exact"/>
        <w:ind w:firstLineChars="200" w:firstLine="562"/>
        <w:rPr>
          <w:rFonts w:ascii="宋体" w:hAnsi="宋体"/>
          <w:b/>
          <w:sz w:val="28"/>
          <w:szCs w:val="28"/>
        </w:rPr>
      </w:pPr>
      <w:r>
        <w:rPr>
          <w:rFonts w:ascii="宋体" w:hAnsi="宋体" w:hint="eastAsia"/>
          <w:b/>
          <w:sz w:val="28"/>
          <w:szCs w:val="28"/>
        </w:rPr>
        <w:t>（一）201</w:t>
      </w:r>
      <w:r>
        <w:rPr>
          <w:rFonts w:ascii="宋体" w:hAnsi="宋体"/>
          <w:b/>
          <w:sz w:val="28"/>
          <w:szCs w:val="28"/>
        </w:rPr>
        <w:t>8</w:t>
      </w:r>
      <w:r>
        <w:rPr>
          <w:rFonts w:ascii="宋体" w:hAnsi="宋体" w:hint="eastAsia"/>
          <w:b/>
          <w:sz w:val="28"/>
          <w:szCs w:val="28"/>
        </w:rPr>
        <w:t>-20</w:t>
      </w:r>
      <w:r>
        <w:rPr>
          <w:rFonts w:ascii="宋体" w:hAnsi="宋体"/>
          <w:b/>
          <w:sz w:val="28"/>
          <w:szCs w:val="28"/>
        </w:rPr>
        <w:t>20</w:t>
      </w:r>
      <w:r>
        <w:rPr>
          <w:rFonts w:ascii="宋体" w:hAnsi="宋体" w:hint="eastAsia"/>
          <w:b/>
          <w:sz w:val="28"/>
          <w:szCs w:val="28"/>
        </w:rPr>
        <w:t>年度利润分配情况</w:t>
      </w:r>
    </w:p>
    <w:p w:rsidR="00092652" w:rsidRDefault="0039522B">
      <w:pPr>
        <w:spacing w:line="520" w:lineRule="exact"/>
        <w:ind w:firstLineChars="200" w:firstLine="560"/>
        <w:rPr>
          <w:rFonts w:ascii="宋体" w:hAnsi="宋体"/>
          <w:sz w:val="28"/>
          <w:szCs w:val="28"/>
        </w:rPr>
      </w:pPr>
      <w:r>
        <w:rPr>
          <w:rFonts w:ascii="宋体" w:hAnsi="宋体" w:hint="eastAsia"/>
          <w:sz w:val="28"/>
          <w:szCs w:val="28"/>
        </w:rPr>
        <w:t>公司</w:t>
      </w:r>
      <w:r>
        <w:rPr>
          <w:rFonts w:ascii="宋体" w:hAnsi="宋体"/>
          <w:sz w:val="28"/>
          <w:szCs w:val="28"/>
        </w:rPr>
        <w:t>2018-2020</w:t>
      </w:r>
      <w:r>
        <w:rPr>
          <w:rFonts w:ascii="宋体" w:hAnsi="宋体" w:hint="eastAsia"/>
          <w:sz w:val="28"/>
          <w:szCs w:val="28"/>
        </w:rPr>
        <w:t>年度普通股利润分配情况如下：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339"/>
        <w:gridCol w:w="1340"/>
        <w:gridCol w:w="1340"/>
      </w:tblGrid>
      <w:tr w:rsidR="00092652">
        <w:trPr>
          <w:tblHeader/>
        </w:trPr>
        <w:tc>
          <w:tcPr>
            <w:tcW w:w="4503" w:type="dxa"/>
            <w:tcBorders>
              <w:top w:val="single" w:sz="4" w:space="0" w:color="auto"/>
              <w:left w:val="single" w:sz="4" w:space="0" w:color="auto"/>
              <w:bottom w:val="single" w:sz="4" w:space="0" w:color="auto"/>
              <w:right w:val="single" w:sz="4" w:space="0" w:color="auto"/>
            </w:tcBorders>
            <w:vAlign w:val="center"/>
          </w:tcPr>
          <w:p w:rsidR="00092652" w:rsidRDefault="0039522B">
            <w:pPr>
              <w:tabs>
                <w:tab w:val="center" w:pos="4153"/>
                <w:tab w:val="right" w:pos="8306"/>
              </w:tabs>
              <w:snapToGrid w:val="0"/>
              <w:spacing w:before="50" w:after="50"/>
              <w:ind w:left="12" w:hangingChars="5" w:hanging="12"/>
              <w:jc w:val="center"/>
              <w:rPr>
                <w:rFonts w:ascii="宋体" w:hAnsi="宋体" w:cs="Arial"/>
                <w:b/>
                <w:sz w:val="24"/>
                <w:szCs w:val="24"/>
              </w:rPr>
            </w:pPr>
            <w:r>
              <w:rPr>
                <w:rFonts w:ascii="宋体" w:hAnsi="宋体" w:cs="Arial" w:hint="eastAsia"/>
                <w:b/>
                <w:sz w:val="24"/>
                <w:szCs w:val="24"/>
              </w:rPr>
              <w:t>项目</w:t>
            </w:r>
          </w:p>
        </w:tc>
        <w:tc>
          <w:tcPr>
            <w:tcW w:w="1339" w:type="dxa"/>
            <w:tcBorders>
              <w:top w:val="single" w:sz="4" w:space="0" w:color="auto"/>
              <w:left w:val="single" w:sz="4" w:space="0" w:color="auto"/>
              <w:bottom w:val="single" w:sz="4" w:space="0" w:color="auto"/>
              <w:right w:val="single" w:sz="4" w:space="0" w:color="auto"/>
            </w:tcBorders>
            <w:vAlign w:val="center"/>
          </w:tcPr>
          <w:p w:rsidR="00092652" w:rsidRDefault="0039522B">
            <w:pPr>
              <w:tabs>
                <w:tab w:val="center" w:pos="4153"/>
                <w:tab w:val="right" w:pos="8306"/>
              </w:tabs>
              <w:snapToGrid w:val="0"/>
              <w:spacing w:before="50" w:after="50"/>
              <w:ind w:left="12" w:hangingChars="5" w:hanging="12"/>
              <w:jc w:val="center"/>
              <w:rPr>
                <w:rFonts w:ascii="宋体" w:hAnsi="宋体" w:cs="Arial"/>
                <w:b/>
                <w:sz w:val="24"/>
                <w:szCs w:val="24"/>
              </w:rPr>
            </w:pPr>
            <w:r>
              <w:rPr>
                <w:rFonts w:ascii="宋体" w:hAnsi="宋体" w:cs="Arial"/>
                <w:b/>
                <w:sz w:val="24"/>
                <w:szCs w:val="24"/>
              </w:rPr>
              <w:t>2020</w:t>
            </w:r>
            <w:r>
              <w:rPr>
                <w:rFonts w:ascii="宋体" w:hAnsi="宋体" w:cs="Arial" w:hint="eastAsia"/>
                <w:b/>
                <w:sz w:val="24"/>
                <w:szCs w:val="24"/>
              </w:rPr>
              <w:t>年度</w:t>
            </w:r>
          </w:p>
        </w:tc>
        <w:tc>
          <w:tcPr>
            <w:tcW w:w="1340" w:type="dxa"/>
            <w:tcBorders>
              <w:top w:val="single" w:sz="4" w:space="0" w:color="auto"/>
              <w:left w:val="single" w:sz="4" w:space="0" w:color="auto"/>
              <w:bottom w:val="single" w:sz="4" w:space="0" w:color="auto"/>
              <w:right w:val="single" w:sz="4" w:space="0" w:color="auto"/>
            </w:tcBorders>
            <w:vAlign w:val="center"/>
          </w:tcPr>
          <w:p w:rsidR="00092652" w:rsidRDefault="0039522B">
            <w:pPr>
              <w:tabs>
                <w:tab w:val="center" w:pos="4153"/>
                <w:tab w:val="right" w:pos="8306"/>
              </w:tabs>
              <w:snapToGrid w:val="0"/>
              <w:spacing w:before="50" w:after="50"/>
              <w:ind w:left="12" w:hangingChars="5" w:hanging="12"/>
              <w:jc w:val="center"/>
              <w:rPr>
                <w:rFonts w:ascii="宋体" w:hAnsi="宋体" w:cs="Arial"/>
                <w:b/>
                <w:sz w:val="24"/>
                <w:szCs w:val="24"/>
              </w:rPr>
            </w:pPr>
            <w:r>
              <w:rPr>
                <w:rFonts w:ascii="宋体" w:hAnsi="宋体" w:cs="Arial"/>
                <w:b/>
                <w:sz w:val="24"/>
                <w:szCs w:val="24"/>
              </w:rPr>
              <w:t>2019</w:t>
            </w:r>
            <w:r>
              <w:rPr>
                <w:rFonts w:ascii="宋体" w:hAnsi="宋体" w:cs="Arial" w:hint="eastAsia"/>
                <w:b/>
                <w:sz w:val="24"/>
                <w:szCs w:val="24"/>
              </w:rPr>
              <w:t>年度</w:t>
            </w:r>
          </w:p>
        </w:tc>
        <w:tc>
          <w:tcPr>
            <w:tcW w:w="1340" w:type="dxa"/>
            <w:tcBorders>
              <w:top w:val="single" w:sz="4" w:space="0" w:color="auto"/>
              <w:left w:val="single" w:sz="4" w:space="0" w:color="auto"/>
              <w:bottom w:val="single" w:sz="4" w:space="0" w:color="auto"/>
              <w:right w:val="single" w:sz="4" w:space="0" w:color="auto"/>
            </w:tcBorders>
            <w:vAlign w:val="center"/>
          </w:tcPr>
          <w:p w:rsidR="00092652" w:rsidRDefault="0039522B">
            <w:pPr>
              <w:tabs>
                <w:tab w:val="center" w:pos="4153"/>
                <w:tab w:val="right" w:pos="8306"/>
              </w:tabs>
              <w:snapToGrid w:val="0"/>
              <w:spacing w:before="50" w:after="50"/>
              <w:ind w:left="12" w:hangingChars="5" w:hanging="12"/>
              <w:jc w:val="center"/>
              <w:rPr>
                <w:rFonts w:ascii="宋体" w:hAnsi="宋体" w:cs="Arial"/>
                <w:b/>
                <w:sz w:val="24"/>
                <w:szCs w:val="24"/>
              </w:rPr>
            </w:pPr>
            <w:r>
              <w:rPr>
                <w:rFonts w:ascii="宋体" w:hAnsi="宋体" w:cs="Arial"/>
                <w:b/>
                <w:sz w:val="24"/>
                <w:szCs w:val="24"/>
              </w:rPr>
              <w:t>2018</w:t>
            </w:r>
            <w:r>
              <w:rPr>
                <w:rFonts w:ascii="宋体" w:hAnsi="宋体" w:cs="Arial" w:hint="eastAsia"/>
                <w:b/>
                <w:sz w:val="24"/>
                <w:szCs w:val="24"/>
              </w:rPr>
              <w:t>年度</w:t>
            </w:r>
          </w:p>
        </w:tc>
      </w:tr>
      <w:tr w:rsidR="00092652">
        <w:tc>
          <w:tcPr>
            <w:tcW w:w="4503" w:type="dxa"/>
            <w:tcBorders>
              <w:top w:val="single" w:sz="4" w:space="0" w:color="auto"/>
              <w:left w:val="single" w:sz="4" w:space="0" w:color="auto"/>
              <w:bottom w:val="single" w:sz="4" w:space="0" w:color="auto"/>
              <w:right w:val="single" w:sz="4" w:space="0" w:color="auto"/>
            </w:tcBorders>
            <w:vAlign w:val="center"/>
          </w:tcPr>
          <w:p w:rsidR="00092652" w:rsidRDefault="0039522B">
            <w:pPr>
              <w:tabs>
                <w:tab w:val="center" w:pos="4153"/>
                <w:tab w:val="right" w:pos="8306"/>
              </w:tabs>
              <w:snapToGrid w:val="0"/>
              <w:spacing w:before="50" w:after="50"/>
              <w:ind w:left="12" w:hangingChars="5" w:hanging="12"/>
              <w:rPr>
                <w:rFonts w:ascii="宋体" w:hAnsi="宋体" w:cs="Arial"/>
                <w:sz w:val="24"/>
                <w:szCs w:val="24"/>
              </w:rPr>
            </w:pPr>
            <w:r>
              <w:rPr>
                <w:rFonts w:ascii="宋体" w:hAnsi="宋体" w:cs="Arial" w:hint="eastAsia"/>
                <w:sz w:val="24"/>
                <w:szCs w:val="24"/>
              </w:rPr>
              <w:t>每</w:t>
            </w:r>
            <w:r>
              <w:rPr>
                <w:rFonts w:ascii="宋体" w:hAnsi="宋体" w:cs="Arial"/>
                <w:sz w:val="24"/>
                <w:szCs w:val="24"/>
              </w:rPr>
              <w:t>10股派发股利（元）（含税）</w:t>
            </w:r>
          </w:p>
        </w:tc>
        <w:tc>
          <w:tcPr>
            <w:tcW w:w="1339" w:type="dxa"/>
            <w:tcBorders>
              <w:top w:val="single" w:sz="4" w:space="0" w:color="auto"/>
              <w:left w:val="single" w:sz="4" w:space="0" w:color="auto"/>
              <w:bottom w:val="single" w:sz="4" w:space="0" w:color="auto"/>
              <w:right w:val="single" w:sz="4" w:space="0" w:color="auto"/>
            </w:tcBorders>
            <w:vAlign w:val="center"/>
          </w:tcPr>
          <w:p w:rsidR="00092652" w:rsidRDefault="0039522B">
            <w:pPr>
              <w:tabs>
                <w:tab w:val="center" w:pos="4153"/>
                <w:tab w:val="right" w:pos="8306"/>
              </w:tabs>
              <w:snapToGrid w:val="0"/>
              <w:spacing w:before="50" w:after="50"/>
              <w:ind w:left="12" w:hangingChars="5" w:hanging="12"/>
              <w:jc w:val="right"/>
              <w:rPr>
                <w:rFonts w:ascii="宋体" w:hAnsi="宋体" w:cs="Arial"/>
                <w:sz w:val="24"/>
                <w:szCs w:val="24"/>
              </w:rPr>
            </w:pPr>
            <w:r>
              <w:rPr>
                <w:rFonts w:ascii="宋体" w:hAnsi="宋体" w:cs="Arial" w:hint="eastAsia"/>
                <w:sz w:val="24"/>
                <w:szCs w:val="24"/>
              </w:rPr>
              <w:t>8.02</w:t>
            </w:r>
          </w:p>
        </w:tc>
        <w:tc>
          <w:tcPr>
            <w:tcW w:w="1340" w:type="dxa"/>
            <w:tcBorders>
              <w:top w:val="single" w:sz="4" w:space="0" w:color="auto"/>
              <w:left w:val="single" w:sz="4" w:space="0" w:color="auto"/>
              <w:bottom w:val="single" w:sz="4" w:space="0" w:color="auto"/>
              <w:right w:val="single" w:sz="4" w:space="0" w:color="auto"/>
            </w:tcBorders>
            <w:vAlign w:val="center"/>
          </w:tcPr>
          <w:p w:rsidR="00092652" w:rsidRDefault="0039522B">
            <w:pPr>
              <w:tabs>
                <w:tab w:val="center" w:pos="4153"/>
                <w:tab w:val="right" w:pos="8306"/>
              </w:tabs>
              <w:snapToGrid w:val="0"/>
              <w:spacing w:before="50" w:after="50"/>
              <w:ind w:left="12" w:hangingChars="5" w:hanging="12"/>
              <w:jc w:val="right"/>
              <w:rPr>
                <w:rFonts w:ascii="宋体" w:hAnsi="宋体" w:cs="Arial"/>
                <w:sz w:val="24"/>
                <w:szCs w:val="24"/>
              </w:rPr>
            </w:pPr>
            <w:r>
              <w:rPr>
                <w:rFonts w:ascii="宋体" w:hAnsi="宋体" w:cs="Arial"/>
                <w:sz w:val="24"/>
                <w:szCs w:val="24"/>
              </w:rPr>
              <w:t>7</w:t>
            </w:r>
            <w:r>
              <w:rPr>
                <w:rFonts w:ascii="宋体" w:hAnsi="宋体" w:cs="Arial" w:hint="eastAsia"/>
                <w:sz w:val="24"/>
                <w:szCs w:val="24"/>
              </w:rPr>
              <w:t>.</w:t>
            </w:r>
            <w:r>
              <w:rPr>
                <w:rFonts w:ascii="宋体" w:hAnsi="宋体" w:cs="Arial"/>
                <w:sz w:val="24"/>
                <w:szCs w:val="24"/>
              </w:rPr>
              <w:t>62</w:t>
            </w:r>
          </w:p>
        </w:tc>
        <w:tc>
          <w:tcPr>
            <w:tcW w:w="1340" w:type="dxa"/>
            <w:tcBorders>
              <w:top w:val="single" w:sz="4" w:space="0" w:color="auto"/>
              <w:left w:val="single" w:sz="4" w:space="0" w:color="auto"/>
              <w:bottom w:val="single" w:sz="4" w:space="0" w:color="auto"/>
              <w:right w:val="single" w:sz="4" w:space="0" w:color="auto"/>
            </w:tcBorders>
            <w:vAlign w:val="center"/>
          </w:tcPr>
          <w:p w:rsidR="00092652" w:rsidRDefault="0039522B">
            <w:pPr>
              <w:tabs>
                <w:tab w:val="center" w:pos="4153"/>
                <w:tab w:val="right" w:pos="8306"/>
              </w:tabs>
              <w:snapToGrid w:val="0"/>
              <w:spacing w:before="50" w:after="50"/>
              <w:ind w:left="12" w:hangingChars="5" w:hanging="12"/>
              <w:jc w:val="right"/>
              <w:rPr>
                <w:rFonts w:ascii="宋体" w:hAnsi="宋体" w:cs="Arial"/>
                <w:sz w:val="24"/>
                <w:szCs w:val="24"/>
              </w:rPr>
            </w:pPr>
            <w:r>
              <w:rPr>
                <w:rFonts w:ascii="宋体" w:hAnsi="宋体" w:cs="Arial"/>
                <w:sz w:val="24"/>
                <w:szCs w:val="24"/>
              </w:rPr>
              <w:t>6.90</w:t>
            </w:r>
          </w:p>
        </w:tc>
      </w:tr>
      <w:tr w:rsidR="00092652">
        <w:tc>
          <w:tcPr>
            <w:tcW w:w="4503" w:type="dxa"/>
            <w:tcBorders>
              <w:top w:val="single" w:sz="4" w:space="0" w:color="auto"/>
              <w:left w:val="single" w:sz="4" w:space="0" w:color="auto"/>
              <w:bottom w:val="single" w:sz="4" w:space="0" w:color="auto"/>
              <w:right w:val="single" w:sz="4" w:space="0" w:color="auto"/>
            </w:tcBorders>
            <w:vAlign w:val="center"/>
          </w:tcPr>
          <w:p w:rsidR="00092652" w:rsidRDefault="0039522B">
            <w:pPr>
              <w:tabs>
                <w:tab w:val="center" w:pos="4153"/>
                <w:tab w:val="right" w:pos="8306"/>
              </w:tabs>
              <w:snapToGrid w:val="0"/>
              <w:spacing w:before="50" w:after="50"/>
              <w:ind w:left="12" w:hangingChars="5" w:hanging="12"/>
              <w:rPr>
                <w:rFonts w:ascii="宋体" w:hAnsi="宋体" w:cs="Arial"/>
                <w:sz w:val="24"/>
                <w:szCs w:val="24"/>
              </w:rPr>
            </w:pPr>
            <w:r>
              <w:rPr>
                <w:rFonts w:ascii="宋体" w:hAnsi="宋体" w:cs="Arial" w:hint="eastAsia"/>
                <w:sz w:val="24"/>
                <w:szCs w:val="24"/>
              </w:rPr>
              <w:t>现金分红的数额（百万元）（含税）</w:t>
            </w:r>
          </w:p>
        </w:tc>
        <w:tc>
          <w:tcPr>
            <w:tcW w:w="1339" w:type="dxa"/>
            <w:tcBorders>
              <w:top w:val="single" w:sz="4" w:space="0" w:color="auto"/>
              <w:left w:val="single" w:sz="4" w:space="0" w:color="auto"/>
              <w:bottom w:val="single" w:sz="4" w:space="0" w:color="auto"/>
              <w:right w:val="single" w:sz="4" w:space="0" w:color="auto"/>
            </w:tcBorders>
            <w:vAlign w:val="center"/>
          </w:tcPr>
          <w:p w:rsidR="00092652" w:rsidRDefault="0039522B">
            <w:pPr>
              <w:tabs>
                <w:tab w:val="center" w:pos="4153"/>
                <w:tab w:val="right" w:pos="8306"/>
              </w:tabs>
              <w:snapToGrid w:val="0"/>
              <w:spacing w:before="50" w:after="50"/>
              <w:ind w:left="12" w:hangingChars="5" w:hanging="12"/>
              <w:jc w:val="right"/>
              <w:rPr>
                <w:rFonts w:ascii="宋体" w:hAnsi="宋体" w:cs="Arial"/>
                <w:sz w:val="24"/>
                <w:szCs w:val="24"/>
              </w:rPr>
            </w:pPr>
            <w:r>
              <w:rPr>
                <w:rFonts w:ascii="宋体" w:hAnsi="宋体" w:cs="Arial" w:hint="eastAsia"/>
                <w:sz w:val="24"/>
                <w:szCs w:val="24"/>
              </w:rPr>
              <w:t>16,661</w:t>
            </w:r>
          </w:p>
        </w:tc>
        <w:tc>
          <w:tcPr>
            <w:tcW w:w="1340" w:type="dxa"/>
            <w:tcBorders>
              <w:top w:val="single" w:sz="4" w:space="0" w:color="auto"/>
              <w:left w:val="single" w:sz="4" w:space="0" w:color="auto"/>
              <w:bottom w:val="single" w:sz="4" w:space="0" w:color="auto"/>
              <w:right w:val="single" w:sz="4" w:space="0" w:color="auto"/>
            </w:tcBorders>
            <w:vAlign w:val="center"/>
          </w:tcPr>
          <w:p w:rsidR="00092652" w:rsidRDefault="0039522B">
            <w:pPr>
              <w:tabs>
                <w:tab w:val="center" w:pos="4153"/>
                <w:tab w:val="right" w:pos="8306"/>
              </w:tabs>
              <w:snapToGrid w:val="0"/>
              <w:spacing w:before="50" w:after="50"/>
              <w:ind w:left="12" w:hangingChars="5" w:hanging="12"/>
              <w:jc w:val="right"/>
              <w:rPr>
                <w:rFonts w:ascii="宋体" w:hAnsi="宋体" w:cs="Arial"/>
                <w:sz w:val="24"/>
                <w:szCs w:val="24"/>
              </w:rPr>
            </w:pPr>
            <w:r>
              <w:rPr>
                <w:rFonts w:ascii="宋体" w:hAnsi="宋体" w:cs="Arial"/>
                <w:sz w:val="24"/>
                <w:szCs w:val="24"/>
              </w:rPr>
              <w:t>15</w:t>
            </w:r>
            <w:r>
              <w:rPr>
                <w:rFonts w:ascii="宋体" w:hAnsi="宋体" w:cs="Arial" w:hint="eastAsia"/>
                <w:sz w:val="24"/>
                <w:szCs w:val="24"/>
              </w:rPr>
              <w:t>,</w:t>
            </w:r>
            <w:r>
              <w:rPr>
                <w:rFonts w:ascii="宋体" w:hAnsi="宋体" w:cs="Arial"/>
                <w:sz w:val="24"/>
                <w:szCs w:val="24"/>
              </w:rPr>
              <w:t>830</w:t>
            </w:r>
          </w:p>
        </w:tc>
        <w:tc>
          <w:tcPr>
            <w:tcW w:w="1340" w:type="dxa"/>
            <w:tcBorders>
              <w:top w:val="single" w:sz="4" w:space="0" w:color="auto"/>
              <w:left w:val="single" w:sz="4" w:space="0" w:color="auto"/>
              <w:bottom w:val="single" w:sz="4" w:space="0" w:color="auto"/>
              <w:right w:val="single" w:sz="4" w:space="0" w:color="auto"/>
            </w:tcBorders>
            <w:vAlign w:val="center"/>
          </w:tcPr>
          <w:p w:rsidR="00092652" w:rsidRDefault="0039522B">
            <w:pPr>
              <w:tabs>
                <w:tab w:val="center" w:pos="4153"/>
                <w:tab w:val="right" w:pos="8306"/>
              </w:tabs>
              <w:snapToGrid w:val="0"/>
              <w:spacing w:before="50" w:after="50"/>
              <w:ind w:left="12" w:hangingChars="5" w:hanging="12"/>
              <w:jc w:val="right"/>
              <w:rPr>
                <w:rFonts w:ascii="宋体" w:hAnsi="宋体" w:cs="Arial"/>
                <w:sz w:val="24"/>
                <w:szCs w:val="24"/>
              </w:rPr>
            </w:pPr>
            <w:r>
              <w:rPr>
                <w:rFonts w:ascii="宋体" w:hAnsi="宋体" w:cs="Arial"/>
                <w:sz w:val="24"/>
                <w:szCs w:val="24"/>
              </w:rPr>
              <w:t>14,334</w:t>
            </w:r>
          </w:p>
        </w:tc>
      </w:tr>
      <w:tr w:rsidR="00092652">
        <w:tc>
          <w:tcPr>
            <w:tcW w:w="4503" w:type="dxa"/>
            <w:tcBorders>
              <w:top w:val="single" w:sz="4" w:space="0" w:color="auto"/>
              <w:left w:val="single" w:sz="4" w:space="0" w:color="auto"/>
              <w:bottom w:val="single" w:sz="4" w:space="0" w:color="auto"/>
              <w:right w:val="single" w:sz="4" w:space="0" w:color="auto"/>
            </w:tcBorders>
            <w:vAlign w:val="center"/>
          </w:tcPr>
          <w:p w:rsidR="00092652" w:rsidRDefault="0039522B">
            <w:pPr>
              <w:tabs>
                <w:tab w:val="center" w:pos="4153"/>
                <w:tab w:val="right" w:pos="8306"/>
              </w:tabs>
              <w:snapToGrid w:val="0"/>
              <w:spacing w:before="50" w:after="50"/>
              <w:ind w:left="12" w:hangingChars="5" w:hanging="12"/>
              <w:rPr>
                <w:rFonts w:ascii="宋体" w:hAnsi="宋体" w:cs="Arial"/>
                <w:sz w:val="24"/>
                <w:szCs w:val="24"/>
              </w:rPr>
            </w:pPr>
            <w:r>
              <w:rPr>
                <w:rFonts w:ascii="宋体" w:hAnsi="宋体" w:cs="Arial" w:hint="eastAsia"/>
                <w:sz w:val="24"/>
                <w:szCs w:val="24"/>
              </w:rPr>
              <w:t>分红年度合并报表中归属于</w:t>
            </w:r>
            <w:r>
              <w:rPr>
                <w:rFonts w:ascii="宋体" w:hAnsi="宋体" w:cs="Arial"/>
                <w:sz w:val="24"/>
                <w:szCs w:val="24"/>
              </w:rPr>
              <w:t>母</w:t>
            </w:r>
            <w:r>
              <w:rPr>
                <w:rFonts w:ascii="宋体" w:hAnsi="宋体" w:cs="Arial" w:hint="eastAsia"/>
                <w:sz w:val="24"/>
                <w:szCs w:val="24"/>
              </w:rPr>
              <w:t>公司股东的净利润（百万元）</w:t>
            </w:r>
          </w:p>
        </w:tc>
        <w:tc>
          <w:tcPr>
            <w:tcW w:w="1339" w:type="dxa"/>
            <w:tcBorders>
              <w:top w:val="single" w:sz="4" w:space="0" w:color="auto"/>
              <w:left w:val="single" w:sz="4" w:space="0" w:color="auto"/>
              <w:bottom w:val="single" w:sz="4" w:space="0" w:color="auto"/>
              <w:right w:val="single" w:sz="4" w:space="0" w:color="auto"/>
            </w:tcBorders>
            <w:vAlign w:val="center"/>
          </w:tcPr>
          <w:p w:rsidR="00092652" w:rsidRDefault="0039522B">
            <w:pPr>
              <w:tabs>
                <w:tab w:val="center" w:pos="4153"/>
                <w:tab w:val="right" w:pos="8306"/>
              </w:tabs>
              <w:snapToGrid w:val="0"/>
              <w:spacing w:before="50" w:after="50"/>
              <w:ind w:left="12" w:hangingChars="5" w:hanging="12"/>
              <w:jc w:val="right"/>
              <w:rPr>
                <w:rFonts w:ascii="宋体" w:hAnsi="宋体" w:cs="Arial"/>
                <w:sz w:val="24"/>
                <w:szCs w:val="24"/>
              </w:rPr>
            </w:pPr>
            <w:r>
              <w:rPr>
                <w:rFonts w:ascii="宋体" w:hAnsi="宋体" w:cs="Arial"/>
                <w:sz w:val="24"/>
                <w:szCs w:val="24"/>
              </w:rPr>
              <w:t>66</w:t>
            </w:r>
            <w:r>
              <w:rPr>
                <w:rFonts w:ascii="宋体" w:hAnsi="宋体" w:cs="Arial" w:hint="eastAsia"/>
                <w:sz w:val="24"/>
                <w:szCs w:val="24"/>
              </w:rPr>
              <w:t>,</w:t>
            </w:r>
            <w:r>
              <w:rPr>
                <w:rFonts w:ascii="宋体" w:hAnsi="宋体" w:cs="Arial"/>
                <w:sz w:val="24"/>
                <w:szCs w:val="24"/>
              </w:rPr>
              <w:t>626</w:t>
            </w:r>
          </w:p>
        </w:tc>
        <w:tc>
          <w:tcPr>
            <w:tcW w:w="1340" w:type="dxa"/>
            <w:tcBorders>
              <w:top w:val="single" w:sz="4" w:space="0" w:color="auto"/>
              <w:left w:val="single" w:sz="4" w:space="0" w:color="auto"/>
              <w:bottom w:val="single" w:sz="4" w:space="0" w:color="auto"/>
              <w:right w:val="single" w:sz="4" w:space="0" w:color="auto"/>
            </w:tcBorders>
            <w:vAlign w:val="center"/>
          </w:tcPr>
          <w:p w:rsidR="00092652" w:rsidRDefault="0039522B">
            <w:pPr>
              <w:tabs>
                <w:tab w:val="center" w:pos="4153"/>
                <w:tab w:val="right" w:pos="8306"/>
              </w:tabs>
              <w:snapToGrid w:val="0"/>
              <w:spacing w:before="50" w:after="50"/>
              <w:ind w:left="12" w:hangingChars="5" w:hanging="12"/>
              <w:jc w:val="right"/>
              <w:rPr>
                <w:rFonts w:ascii="宋体" w:hAnsi="宋体" w:cs="Arial"/>
                <w:sz w:val="24"/>
                <w:szCs w:val="24"/>
              </w:rPr>
            </w:pPr>
            <w:r>
              <w:rPr>
                <w:rFonts w:ascii="宋体" w:hAnsi="宋体" w:cs="Arial"/>
                <w:sz w:val="24"/>
                <w:szCs w:val="24"/>
              </w:rPr>
              <w:t>65,868</w:t>
            </w:r>
          </w:p>
        </w:tc>
        <w:tc>
          <w:tcPr>
            <w:tcW w:w="1340" w:type="dxa"/>
            <w:tcBorders>
              <w:top w:val="single" w:sz="4" w:space="0" w:color="auto"/>
              <w:left w:val="single" w:sz="4" w:space="0" w:color="auto"/>
              <w:bottom w:val="single" w:sz="4" w:space="0" w:color="auto"/>
              <w:right w:val="single" w:sz="4" w:space="0" w:color="auto"/>
            </w:tcBorders>
            <w:vAlign w:val="center"/>
          </w:tcPr>
          <w:p w:rsidR="00092652" w:rsidRDefault="0039522B">
            <w:pPr>
              <w:tabs>
                <w:tab w:val="center" w:pos="4153"/>
                <w:tab w:val="right" w:pos="8306"/>
              </w:tabs>
              <w:snapToGrid w:val="0"/>
              <w:spacing w:before="50" w:after="50"/>
              <w:ind w:left="12" w:hangingChars="5" w:hanging="12"/>
              <w:jc w:val="right"/>
              <w:rPr>
                <w:rFonts w:ascii="宋体" w:hAnsi="宋体" w:cs="Arial"/>
                <w:sz w:val="24"/>
                <w:szCs w:val="24"/>
              </w:rPr>
            </w:pPr>
            <w:r>
              <w:rPr>
                <w:rFonts w:ascii="宋体" w:hAnsi="宋体" w:cs="Arial"/>
                <w:sz w:val="24"/>
                <w:szCs w:val="24"/>
              </w:rPr>
              <w:t>60,620</w:t>
            </w:r>
          </w:p>
        </w:tc>
      </w:tr>
      <w:tr w:rsidR="00092652">
        <w:tc>
          <w:tcPr>
            <w:tcW w:w="4503" w:type="dxa"/>
            <w:tcBorders>
              <w:top w:val="single" w:sz="4" w:space="0" w:color="auto"/>
              <w:left w:val="single" w:sz="4" w:space="0" w:color="auto"/>
              <w:bottom w:val="single" w:sz="4" w:space="0" w:color="auto"/>
              <w:right w:val="single" w:sz="4" w:space="0" w:color="auto"/>
            </w:tcBorders>
            <w:vAlign w:val="center"/>
          </w:tcPr>
          <w:p w:rsidR="00092652" w:rsidRDefault="0039522B">
            <w:pPr>
              <w:tabs>
                <w:tab w:val="center" w:pos="4153"/>
                <w:tab w:val="right" w:pos="8306"/>
              </w:tabs>
              <w:snapToGrid w:val="0"/>
              <w:spacing w:before="50" w:after="50"/>
              <w:ind w:left="12" w:hangingChars="5" w:hanging="12"/>
              <w:rPr>
                <w:rFonts w:ascii="宋体" w:hAnsi="宋体" w:cs="Arial"/>
                <w:sz w:val="24"/>
                <w:szCs w:val="24"/>
              </w:rPr>
            </w:pPr>
            <w:r>
              <w:rPr>
                <w:rFonts w:ascii="宋体" w:hAnsi="宋体" w:cs="Arial" w:hint="eastAsia"/>
                <w:sz w:val="24"/>
                <w:szCs w:val="24"/>
              </w:rPr>
              <w:t>占合并报表中归属于</w:t>
            </w:r>
            <w:r>
              <w:rPr>
                <w:rFonts w:ascii="宋体" w:hAnsi="宋体" w:cs="Arial"/>
                <w:sz w:val="24"/>
                <w:szCs w:val="24"/>
              </w:rPr>
              <w:t>母</w:t>
            </w:r>
            <w:r>
              <w:rPr>
                <w:rFonts w:ascii="宋体" w:hAnsi="宋体" w:cs="Arial" w:hint="eastAsia"/>
                <w:sz w:val="24"/>
                <w:szCs w:val="24"/>
              </w:rPr>
              <w:t>公司股东的净利润比率</w:t>
            </w:r>
          </w:p>
        </w:tc>
        <w:tc>
          <w:tcPr>
            <w:tcW w:w="1339" w:type="dxa"/>
            <w:tcBorders>
              <w:top w:val="single" w:sz="4" w:space="0" w:color="auto"/>
              <w:left w:val="single" w:sz="4" w:space="0" w:color="auto"/>
              <w:bottom w:val="single" w:sz="4" w:space="0" w:color="auto"/>
              <w:right w:val="single" w:sz="4" w:space="0" w:color="auto"/>
            </w:tcBorders>
            <w:vAlign w:val="center"/>
          </w:tcPr>
          <w:p w:rsidR="00092652" w:rsidRDefault="0039522B">
            <w:pPr>
              <w:tabs>
                <w:tab w:val="center" w:pos="4153"/>
                <w:tab w:val="right" w:pos="8306"/>
              </w:tabs>
              <w:snapToGrid w:val="0"/>
              <w:spacing w:before="50" w:after="50"/>
              <w:ind w:left="12" w:hangingChars="5" w:hanging="12"/>
              <w:jc w:val="right"/>
              <w:rPr>
                <w:rFonts w:ascii="宋体" w:hAnsi="宋体" w:cs="Arial"/>
                <w:sz w:val="24"/>
                <w:szCs w:val="24"/>
              </w:rPr>
            </w:pPr>
            <w:r>
              <w:rPr>
                <w:rFonts w:ascii="宋体" w:hAnsi="宋体" w:cs="Arial" w:hint="eastAsia"/>
                <w:sz w:val="24"/>
                <w:szCs w:val="24"/>
              </w:rPr>
              <w:t>25.01%</w:t>
            </w:r>
          </w:p>
        </w:tc>
        <w:tc>
          <w:tcPr>
            <w:tcW w:w="1340" w:type="dxa"/>
            <w:tcBorders>
              <w:top w:val="single" w:sz="4" w:space="0" w:color="auto"/>
              <w:left w:val="single" w:sz="4" w:space="0" w:color="auto"/>
              <w:bottom w:val="single" w:sz="4" w:space="0" w:color="auto"/>
              <w:right w:val="single" w:sz="4" w:space="0" w:color="auto"/>
            </w:tcBorders>
            <w:vAlign w:val="center"/>
          </w:tcPr>
          <w:p w:rsidR="00092652" w:rsidRDefault="0039522B">
            <w:pPr>
              <w:tabs>
                <w:tab w:val="center" w:pos="4153"/>
                <w:tab w:val="right" w:pos="8306"/>
              </w:tabs>
              <w:snapToGrid w:val="0"/>
              <w:spacing w:before="50" w:after="50"/>
              <w:ind w:left="12" w:hangingChars="5" w:hanging="12"/>
              <w:jc w:val="right"/>
              <w:rPr>
                <w:rFonts w:ascii="宋体" w:hAnsi="宋体" w:cs="Arial"/>
                <w:sz w:val="24"/>
                <w:szCs w:val="24"/>
              </w:rPr>
            </w:pPr>
            <w:r>
              <w:rPr>
                <w:rFonts w:ascii="宋体" w:hAnsi="宋体" w:cs="Arial" w:hint="eastAsia"/>
                <w:sz w:val="24"/>
                <w:szCs w:val="24"/>
              </w:rPr>
              <w:t>2</w:t>
            </w:r>
            <w:r>
              <w:rPr>
                <w:rFonts w:ascii="宋体" w:hAnsi="宋体" w:cs="Arial"/>
                <w:sz w:val="24"/>
                <w:szCs w:val="24"/>
              </w:rPr>
              <w:t>4</w:t>
            </w:r>
            <w:r>
              <w:rPr>
                <w:rFonts w:ascii="宋体" w:hAnsi="宋体" w:cs="Arial" w:hint="eastAsia"/>
                <w:sz w:val="24"/>
                <w:szCs w:val="24"/>
              </w:rPr>
              <w:t>.</w:t>
            </w:r>
            <w:r>
              <w:rPr>
                <w:rFonts w:ascii="宋体" w:hAnsi="宋体" w:cs="Arial"/>
                <w:sz w:val="24"/>
                <w:szCs w:val="24"/>
              </w:rPr>
              <w:t>03</w:t>
            </w:r>
            <w:r>
              <w:rPr>
                <w:rFonts w:ascii="宋体" w:hAnsi="宋体" w:cs="Arial" w:hint="eastAsia"/>
                <w:sz w:val="24"/>
                <w:szCs w:val="24"/>
              </w:rPr>
              <w:t>%</w:t>
            </w:r>
          </w:p>
        </w:tc>
        <w:tc>
          <w:tcPr>
            <w:tcW w:w="1340" w:type="dxa"/>
            <w:tcBorders>
              <w:top w:val="single" w:sz="4" w:space="0" w:color="auto"/>
              <w:left w:val="single" w:sz="4" w:space="0" w:color="auto"/>
              <w:bottom w:val="single" w:sz="4" w:space="0" w:color="auto"/>
              <w:right w:val="single" w:sz="4" w:space="0" w:color="auto"/>
            </w:tcBorders>
            <w:vAlign w:val="center"/>
          </w:tcPr>
          <w:p w:rsidR="00092652" w:rsidRDefault="0039522B">
            <w:pPr>
              <w:tabs>
                <w:tab w:val="center" w:pos="4153"/>
                <w:tab w:val="right" w:pos="8306"/>
              </w:tabs>
              <w:snapToGrid w:val="0"/>
              <w:spacing w:before="50" w:after="50"/>
              <w:ind w:left="12" w:hangingChars="5" w:hanging="12"/>
              <w:jc w:val="right"/>
              <w:rPr>
                <w:rFonts w:ascii="宋体" w:hAnsi="宋体" w:cs="Arial"/>
                <w:sz w:val="24"/>
                <w:szCs w:val="24"/>
              </w:rPr>
            </w:pPr>
            <w:r>
              <w:rPr>
                <w:rFonts w:ascii="宋体" w:hAnsi="宋体" w:cs="Arial" w:hint="eastAsia"/>
                <w:sz w:val="24"/>
                <w:szCs w:val="24"/>
              </w:rPr>
              <w:t>2</w:t>
            </w:r>
            <w:r>
              <w:rPr>
                <w:rFonts w:ascii="宋体" w:hAnsi="宋体" w:cs="Arial"/>
                <w:sz w:val="24"/>
                <w:szCs w:val="24"/>
              </w:rPr>
              <w:t>3</w:t>
            </w:r>
            <w:r>
              <w:rPr>
                <w:rFonts w:ascii="宋体" w:hAnsi="宋体" w:cs="Arial" w:hint="eastAsia"/>
                <w:sz w:val="24"/>
                <w:szCs w:val="24"/>
              </w:rPr>
              <w:t>.</w:t>
            </w:r>
            <w:r>
              <w:rPr>
                <w:rFonts w:ascii="宋体" w:hAnsi="宋体" w:cs="Arial"/>
                <w:sz w:val="24"/>
                <w:szCs w:val="24"/>
              </w:rPr>
              <w:t>65</w:t>
            </w:r>
            <w:r>
              <w:rPr>
                <w:rFonts w:ascii="宋体" w:hAnsi="宋体" w:cs="Arial" w:hint="eastAsia"/>
                <w:sz w:val="24"/>
                <w:szCs w:val="24"/>
              </w:rPr>
              <w:t>%</w:t>
            </w:r>
          </w:p>
        </w:tc>
      </w:tr>
      <w:tr w:rsidR="00092652">
        <w:tc>
          <w:tcPr>
            <w:tcW w:w="4503" w:type="dxa"/>
            <w:tcBorders>
              <w:top w:val="single" w:sz="4" w:space="0" w:color="auto"/>
              <w:left w:val="single" w:sz="4" w:space="0" w:color="auto"/>
              <w:bottom w:val="single" w:sz="4" w:space="0" w:color="auto"/>
              <w:right w:val="single" w:sz="4" w:space="0" w:color="auto"/>
            </w:tcBorders>
            <w:vAlign w:val="center"/>
          </w:tcPr>
          <w:p w:rsidR="00092652" w:rsidRDefault="0039522B">
            <w:pPr>
              <w:tabs>
                <w:tab w:val="center" w:pos="4153"/>
                <w:tab w:val="right" w:pos="8306"/>
              </w:tabs>
              <w:snapToGrid w:val="0"/>
              <w:spacing w:before="50" w:after="50"/>
              <w:ind w:left="12" w:hangingChars="5" w:hanging="12"/>
              <w:rPr>
                <w:rFonts w:ascii="宋体" w:hAnsi="宋体" w:cs="Arial"/>
                <w:sz w:val="24"/>
                <w:szCs w:val="24"/>
              </w:rPr>
            </w:pPr>
            <w:r>
              <w:rPr>
                <w:rFonts w:ascii="宋体" w:hAnsi="宋体" w:cs="Arial" w:hint="eastAsia"/>
                <w:sz w:val="24"/>
                <w:szCs w:val="24"/>
              </w:rPr>
              <w:t>现金分红占当年利润分配的比率</w:t>
            </w:r>
          </w:p>
        </w:tc>
        <w:tc>
          <w:tcPr>
            <w:tcW w:w="1339" w:type="dxa"/>
            <w:tcBorders>
              <w:top w:val="single" w:sz="4" w:space="0" w:color="auto"/>
              <w:left w:val="single" w:sz="4" w:space="0" w:color="auto"/>
              <w:bottom w:val="single" w:sz="4" w:space="0" w:color="auto"/>
              <w:right w:val="single" w:sz="4" w:space="0" w:color="auto"/>
            </w:tcBorders>
            <w:vAlign w:val="center"/>
          </w:tcPr>
          <w:p w:rsidR="00092652" w:rsidRDefault="0039522B">
            <w:pPr>
              <w:tabs>
                <w:tab w:val="center" w:pos="4153"/>
                <w:tab w:val="right" w:pos="8306"/>
              </w:tabs>
              <w:snapToGrid w:val="0"/>
              <w:spacing w:before="50" w:after="50"/>
              <w:ind w:left="12" w:hangingChars="5" w:hanging="12"/>
              <w:jc w:val="right"/>
              <w:rPr>
                <w:rFonts w:ascii="宋体" w:hAnsi="宋体" w:cs="Arial"/>
                <w:sz w:val="24"/>
                <w:szCs w:val="24"/>
              </w:rPr>
            </w:pPr>
            <w:r>
              <w:rPr>
                <w:rFonts w:ascii="宋体" w:hAnsi="宋体" w:cs="Arial"/>
                <w:sz w:val="24"/>
                <w:szCs w:val="24"/>
              </w:rPr>
              <w:t>100.00%</w:t>
            </w:r>
          </w:p>
        </w:tc>
        <w:tc>
          <w:tcPr>
            <w:tcW w:w="1340" w:type="dxa"/>
            <w:tcBorders>
              <w:top w:val="single" w:sz="4" w:space="0" w:color="auto"/>
              <w:left w:val="single" w:sz="4" w:space="0" w:color="auto"/>
              <w:bottom w:val="single" w:sz="4" w:space="0" w:color="auto"/>
              <w:right w:val="single" w:sz="4" w:space="0" w:color="auto"/>
            </w:tcBorders>
            <w:vAlign w:val="center"/>
          </w:tcPr>
          <w:p w:rsidR="00092652" w:rsidRDefault="0039522B">
            <w:pPr>
              <w:tabs>
                <w:tab w:val="center" w:pos="4153"/>
                <w:tab w:val="right" w:pos="8306"/>
              </w:tabs>
              <w:snapToGrid w:val="0"/>
              <w:spacing w:before="50" w:after="50"/>
              <w:ind w:left="12" w:hangingChars="5" w:hanging="12"/>
              <w:jc w:val="right"/>
              <w:rPr>
                <w:rFonts w:ascii="宋体" w:hAnsi="宋体" w:cs="Arial"/>
                <w:sz w:val="24"/>
                <w:szCs w:val="24"/>
              </w:rPr>
            </w:pPr>
            <w:r>
              <w:rPr>
                <w:rFonts w:ascii="宋体" w:hAnsi="宋体" w:cs="Arial"/>
                <w:sz w:val="24"/>
                <w:szCs w:val="24"/>
              </w:rPr>
              <w:t>100.00%</w:t>
            </w:r>
          </w:p>
        </w:tc>
        <w:tc>
          <w:tcPr>
            <w:tcW w:w="1340" w:type="dxa"/>
            <w:tcBorders>
              <w:top w:val="single" w:sz="4" w:space="0" w:color="auto"/>
              <w:left w:val="single" w:sz="4" w:space="0" w:color="auto"/>
              <w:bottom w:val="single" w:sz="4" w:space="0" w:color="auto"/>
              <w:right w:val="single" w:sz="4" w:space="0" w:color="auto"/>
            </w:tcBorders>
            <w:vAlign w:val="center"/>
          </w:tcPr>
          <w:p w:rsidR="00092652" w:rsidRDefault="0039522B">
            <w:pPr>
              <w:tabs>
                <w:tab w:val="center" w:pos="4153"/>
                <w:tab w:val="right" w:pos="8306"/>
              </w:tabs>
              <w:snapToGrid w:val="0"/>
              <w:spacing w:before="50" w:after="50"/>
              <w:ind w:left="12" w:hangingChars="5" w:hanging="12"/>
              <w:jc w:val="right"/>
              <w:rPr>
                <w:rFonts w:ascii="宋体" w:hAnsi="宋体" w:cs="Arial"/>
                <w:sz w:val="24"/>
                <w:szCs w:val="24"/>
              </w:rPr>
            </w:pPr>
            <w:r>
              <w:rPr>
                <w:rFonts w:ascii="宋体" w:hAnsi="宋体" w:cs="Arial"/>
                <w:sz w:val="24"/>
                <w:szCs w:val="24"/>
              </w:rPr>
              <w:t>100.00%</w:t>
            </w:r>
          </w:p>
        </w:tc>
      </w:tr>
      <w:tr w:rsidR="00092652">
        <w:tc>
          <w:tcPr>
            <w:tcW w:w="4503" w:type="dxa"/>
            <w:tcBorders>
              <w:top w:val="single" w:sz="4" w:space="0" w:color="auto"/>
              <w:left w:val="single" w:sz="4" w:space="0" w:color="auto"/>
              <w:bottom w:val="single" w:sz="4" w:space="0" w:color="auto"/>
              <w:right w:val="single" w:sz="4" w:space="0" w:color="auto"/>
            </w:tcBorders>
            <w:vAlign w:val="center"/>
          </w:tcPr>
          <w:p w:rsidR="00092652" w:rsidRDefault="0039522B">
            <w:pPr>
              <w:tabs>
                <w:tab w:val="center" w:pos="4153"/>
                <w:tab w:val="right" w:pos="8306"/>
              </w:tabs>
              <w:snapToGrid w:val="0"/>
              <w:spacing w:before="50" w:after="50"/>
              <w:ind w:left="12" w:hangingChars="5" w:hanging="12"/>
              <w:rPr>
                <w:rFonts w:ascii="宋体" w:hAnsi="宋体" w:cs="Arial"/>
                <w:sz w:val="24"/>
                <w:szCs w:val="24"/>
              </w:rPr>
            </w:pPr>
            <w:r>
              <w:rPr>
                <w:rFonts w:ascii="宋体" w:hAnsi="宋体" w:cs="Arial" w:hint="eastAsia"/>
                <w:sz w:val="24"/>
                <w:szCs w:val="24"/>
              </w:rPr>
              <w:t>近</w:t>
            </w:r>
            <w:r>
              <w:rPr>
                <w:rFonts w:ascii="宋体" w:hAnsi="宋体" w:cs="Arial"/>
                <w:sz w:val="24"/>
                <w:szCs w:val="24"/>
              </w:rPr>
              <w:t>3年累计现金分红占近3年年均归属于母</w:t>
            </w:r>
            <w:r>
              <w:rPr>
                <w:rFonts w:ascii="宋体" w:hAnsi="宋体" w:cs="Arial" w:hint="eastAsia"/>
                <w:sz w:val="24"/>
                <w:szCs w:val="24"/>
              </w:rPr>
              <w:t>公司股东的净利润比率</w:t>
            </w:r>
          </w:p>
        </w:tc>
        <w:tc>
          <w:tcPr>
            <w:tcW w:w="4019" w:type="dxa"/>
            <w:gridSpan w:val="3"/>
            <w:tcBorders>
              <w:top w:val="single" w:sz="4" w:space="0" w:color="auto"/>
              <w:left w:val="single" w:sz="4" w:space="0" w:color="auto"/>
              <w:bottom w:val="single" w:sz="4" w:space="0" w:color="auto"/>
              <w:right w:val="single" w:sz="4" w:space="0" w:color="auto"/>
            </w:tcBorders>
            <w:vAlign w:val="center"/>
          </w:tcPr>
          <w:p w:rsidR="00092652" w:rsidRDefault="0039522B">
            <w:pPr>
              <w:tabs>
                <w:tab w:val="center" w:pos="4153"/>
                <w:tab w:val="right" w:pos="8306"/>
              </w:tabs>
              <w:snapToGrid w:val="0"/>
              <w:spacing w:before="50" w:after="50"/>
              <w:jc w:val="center"/>
              <w:rPr>
                <w:rFonts w:ascii="宋体" w:hAnsi="宋体" w:cs="Arial"/>
                <w:sz w:val="24"/>
                <w:szCs w:val="24"/>
              </w:rPr>
            </w:pPr>
            <w:r>
              <w:rPr>
                <w:rFonts w:ascii="宋体" w:hAnsi="宋体" w:cs="Arial"/>
                <w:sz w:val="24"/>
                <w:szCs w:val="24"/>
              </w:rPr>
              <w:t>72.74%</w:t>
            </w:r>
          </w:p>
        </w:tc>
      </w:tr>
    </w:tbl>
    <w:p w:rsidR="00092652" w:rsidRDefault="0039522B">
      <w:pPr>
        <w:spacing w:line="500" w:lineRule="exact"/>
        <w:ind w:firstLineChars="200" w:firstLine="560"/>
        <w:rPr>
          <w:rFonts w:ascii="宋体" w:hAnsi="宋体"/>
          <w:sz w:val="28"/>
          <w:szCs w:val="28"/>
        </w:rPr>
      </w:pPr>
      <w:r>
        <w:rPr>
          <w:rFonts w:ascii="宋体" w:hAnsi="宋体" w:hint="eastAsia"/>
          <w:sz w:val="28"/>
          <w:szCs w:val="28"/>
        </w:rPr>
        <w:t>公司</w:t>
      </w:r>
      <w:r>
        <w:rPr>
          <w:rFonts w:ascii="宋体" w:hAnsi="宋体"/>
          <w:sz w:val="28"/>
          <w:szCs w:val="28"/>
        </w:rPr>
        <w:t>2018-2020年度</w:t>
      </w:r>
      <w:r>
        <w:rPr>
          <w:rFonts w:ascii="宋体" w:hAnsi="宋体" w:hint="eastAsia"/>
          <w:sz w:val="28"/>
          <w:szCs w:val="28"/>
        </w:rPr>
        <w:t>优先股利润分配情况如下：</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4"/>
        <w:gridCol w:w="1549"/>
        <w:gridCol w:w="1549"/>
        <w:gridCol w:w="1550"/>
      </w:tblGrid>
      <w:tr w:rsidR="00092652">
        <w:trPr>
          <w:trHeight w:val="372"/>
          <w:tblHeader/>
        </w:trPr>
        <w:tc>
          <w:tcPr>
            <w:tcW w:w="3864" w:type="dxa"/>
            <w:shd w:val="clear" w:color="auto" w:fill="auto"/>
            <w:vAlign w:val="center"/>
          </w:tcPr>
          <w:p w:rsidR="00092652" w:rsidRDefault="0039522B">
            <w:pPr>
              <w:tabs>
                <w:tab w:val="center" w:pos="4153"/>
                <w:tab w:val="right" w:pos="8306"/>
              </w:tabs>
              <w:snapToGrid w:val="0"/>
              <w:spacing w:before="50" w:after="50"/>
              <w:ind w:left="12" w:hangingChars="5" w:hanging="12"/>
              <w:jc w:val="center"/>
              <w:rPr>
                <w:rFonts w:ascii="宋体" w:hAnsi="宋体" w:cs="Arial"/>
                <w:b/>
                <w:sz w:val="24"/>
                <w:szCs w:val="24"/>
              </w:rPr>
            </w:pPr>
            <w:r>
              <w:rPr>
                <w:rFonts w:ascii="宋体" w:hAnsi="宋体" w:cs="Arial" w:hint="eastAsia"/>
                <w:b/>
                <w:sz w:val="24"/>
                <w:szCs w:val="24"/>
              </w:rPr>
              <w:t>项目</w:t>
            </w:r>
          </w:p>
        </w:tc>
        <w:tc>
          <w:tcPr>
            <w:tcW w:w="1549" w:type="dxa"/>
            <w:shd w:val="clear" w:color="auto" w:fill="auto"/>
            <w:vAlign w:val="center"/>
          </w:tcPr>
          <w:p w:rsidR="00092652" w:rsidRDefault="0039522B">
            <w:pPr>
              <w:tabs>
                <w:tab w:val="center" w:pos="4153"/>
                <w:tab w:val="right" w:pos="8306"/>
              </w:tabs>
              <w:snapToGrid w:val="0"/>
              <w:spacing w:before="50" w:after="50"/>
              <w:ind w:left="12" w:hangingChars="5" w:hanging="12"/>
              <w:jc w:val="center"/>
              <w:rPr>
                <w:rFonts w:ascii="宋体" w:hAnsi="宋体" w:cs="Arial"/>
                <w:b/>
                <w:sz w:val="24"/>
                <w:szCs w:val="24"/>
              </w:rPr>
            </w:pPr>
            <w:r>
              <w:rPr>
                <w:rFonts w:ascii="宋体" w:hAnsi="宋体" w:cs="Arial"/>
                <w:b/>
                <w:sz w:val="24"/>
                <w:szCs w:val="24"/>
              </w:rPr>
              <w:t>2020</w:t>
            </w:r>
            <w:r>
              <w:rPr>
                <w:rFonts w:ascii="宋体" w:hAnsi="宋体" w:cs="Arial" w:hint="eastAsia"/>
                <w:b/>
                <w:sz w:val="24"/>
                <w:szCs w:val="24"/>
              </w:rPr>
              <w:t>年度</w:t>
            </w:r>
          </w:p>
        </w:tc>
        <w:tc>
          <w:tcPr>
            <w:tcW w:w="1549" w:type="dxa"/>
            <w:shd w:val="clear" w:color="auto" w:fill="auto"/>
            <w:vAlign w:val="center"/>
          </w:tcPr>
          <w:p w:rsidR="00092652" w:rsidRDefault="0039522B">
            <w:pPr>
              <w:tabs>
                <w:tab w:val="center" w:pos="4153"/>
                <w:tab w:val="right" w:pos="8306"/>
              </w:tabs>
              <w:snapToGrid w:val="0"/>
              <w:spacing w:before="50" w:after="50"/>
              <w:ind w:left="12" w:hangingChars="5" w:hanging="12"/>
              <w:jc w:val="center"/>
              <w:rPr>
                <w:rFonts w:ascii="宋体" w:hAnsi="宋体" w:cs="Arial"/>
                <w:b/>
                <w:sz w:val="24"/>
                <w:szCs w:val="24"/>
              </w:rPr>
            </w:pPr>
            <w:r>
              <w:rPr>
                <w:rFonts w:ascii="宋体" w:hAnsi="宋体" w:cs="Arial"/>
                <w:b/>
                <w:sz w:val="24"/>
                <w:szCs w:val="24"/>
              </w:rPr>
              <w:t>2019</w:t>
            </w:r>
            <w:r>
              <w:rPr>
                <w:rFonts w:ascii="宋体" w:hAnsi="宋体" w:cs="Arial" w:hint="eastAsia"/>
                <w:b/>
                <w:sz w:val="24"/>
                <w:szCs w:val="24"/>
              </w:rPr>
              <w:t>年度</w:t>
            </w:r>
          </w:p>
        </w:tc>
        <w:tc>
          <w:tcPr>
            <w:tcW w:w="1550" w:type="dxa"/>
            <w:shd w:val="clear" w:color="auto" w:fill="auto"/>
            <w:vAlign w:val="center"/>
          </w:tcPr>
          <w:p w:rsidR="00092652" w:rsidRDefault="0039522B">
            <w:pPr>
              <w:tabs>
                <w:tab w:val="center" w:pos="4153"/>
                <w:tab w:val="right" w:pos="8306"/>
              </w:tabs>
              <w:snapToGrid w:val="0"/>
              <w:spacing w:before="50" w:after="50"/>
              <w:ind w:left="12" w:hangingChars="5" w:hanging="12"/>
              <w:jc w:val="center"/>
              <w:rPr>
                <w:rFonts w:ascii="宋体" w:hAnsi="宋体" w:cs="Arial"/>
                <w:b/>
                <w:sz w:val="24"/>
                <w:szCs w:val="24"/>
              </w:rPr>
            </w:pPr>
            <w:r>
              <w:rPr>
                <w:rFonts w:ascii="宋体" w:hAnsi="宋体" w:cs="Arial"/>
                <w:b/>
                <w:sz w:val="24"/>
                <w:szCs w:val="24"/>
              </w:rPr>
              <w:t>2018</w:t>
            </w:r>
            <w:r>
              <w:rPr>
                <w:rFonts w:ascii="宋体" w:hAnsi="宋体" w:cs="Arial" w:hint="eastAsia"/>
                <w:b/>
                <w:sz w:val="24"/>
                <w:szCs w:val="24"/>
              </w:rPr>
              <w:t>年度</w:t>
            </w:r>
          </w:p>
        </w:tc>
      </w:tr>
      <w:tr w:rsidR="00092652">
        <w:trPr>
          <w:trHeight w:val="372"/>
        </w:trPr>
        <w:tc>
          <w:tcPr>
            <w:tcW w:w="3864" w:type="dxa"/>
            <w:shd w:val="clear" w:color="auto" w:fill="auto"/>
            <w:vAlign w:val="center"/>
          </w:tcPr>
          <w:p w:rsidR="00092652" w:rsidRDefault="0039522B">
            <w:pPr>
              <w:tabs>
                <w:tab w:val="center" w:pos="4153"/>
                <w:tab w:val="right" w:pos="8306"/>
              </w:tabs>
              <w:snapToGrid w:val="0"/>
              <w:spacing w:before="50" w:after="50"/>
              <w:ind w:left="12" w:hangingChars="5" w:hanging="12"/>
              <w:rPr>
                <w:rFonts w:ascii="宋体" w:hAnsi="宋体" w:cs="Arial"/>
                <w:sz w:val="24"/>
                <w:szCs w:val="24"/>
              </w:rPr>
            </w:pPr>
            <w:r>
              <w:rPr>
                <w:rFonts w:ascii="宋体" w:hAnsi="宋体" w:cs="Arial" w:hint="eastAsia"/>
                <w:sz w:val="24"/>
                <w:szCs w:val="24"/>
              </w:rPr>
              <w:t>分配金额（百万元）</w:t>
            </w:r>
          </w:p>
        </w:tc>
        <w:tc>
          <w:tcPr>
            <w:tcW w:w="1549" w:type="dxa"/>
            <w:shd w:val="clear" w:color="auto" w:fill="auto"/>
            <w:vAlign w:val="center"/>
          </w:tcPr>
          <w:p w:rsidR="00092652" w:rsidRDefault="0039522B">
            <w:pPr>
              <w:tabs>
                <w:tab w:val="center" w:pos="4153"/>
                <w:tab w:val="right" w:pos="8306"/>
              </w:tabs>
              <w:snapToGrid w:val="0"/>
              <w:spacing w:before="50" w:after="50"/>
              <w:ind w:left="12" w:hangingChars="5" w:hanging="12"/>
              <w:jc w:val="right"/>
              <w:rPr>
                <w:rFonts w:ascii="宋体" w:hAnsi="宋体" w:cs="Arial"/>
                <w:sz w:val="24"/>
                <w:szCs w:val="24"/>
              </w:rPr>
            </w:pPr>
            <w:r>
              <w:rPr>
                <w:rFonts w:ascii="宋体" w:hAnsi="宋体" w:cs="Arial"/>
                <w:sz w:val="24"/>
                <w:szCs w:val="24"/>
              </w:rPr>
              <w:t>2,841</w:t>
            </w:r>
          </w:p>
        </w:tc>
        <w:tc>
          <w:tcPr>
            <w:tcW w:w="1549" w:type="dxa"/>
            <w:shd w:val="clear" w:color="auto" w:fill="auto"/>
            <w:vAlign w:val="center"/>
          </w:tcPr>
          <w:p w:rsidR="00092652" w:rsidRDefault="0039522B">
            <w:pPr>
              <w:tabs>
                <w:tab w:val="center" w:pos="4153"/>
                <w:tab w:val="right" w:pos="8306"/>
              </w:tabs>
              <w:snapToGrid w:val="0"/>
              <w:spacing w:before="50" w:after="50"/>
              <w:ind w:left="12" w:hangingChars="5" w:hanging="12"/>
              <w:jc w:val="right"/>
              <w:rPr>
                <w:rFonts w:ascii="宋体" w:hAnsi="宋体" w:cs="Arial"/>
                <w:sz w:val="24"/>
                <w:szCs w:val="24"/>
              </w:rPr>
            </w:pPr>
            <w:r>
              <w:rPr>
                <w:rFonts w:ascii="宋体" w:hAnsi="宋体" w:cs="Arial"/>
                <w:sz w:val="24"/>
                <w:szCs w:val="24"/>
              </w:rPr>
              <w:t>2</w:t>
            </w:r>
            <w:r>
              <w:rPr>
                <w:rFonts w:ascii="宋体" w:hAnsi="宋体" w:cs="Arial" w:hint="eastAsia"/>
                <w:sz w:val="24"/>
                <w:szCs w:val="24"/>
              </w:rPr>
              <w:t>,</w:t>
            </w:r>
            <w:r>
              <w:rPr>
                <w:rFonts w:ascii="宋体" w:hAnsi="宋体" w:cs="Arial"/>
                <w:sz w:val="24"/>
                <w:szCs w:val="24"/>
              </w:rPr>
              <w:t>549</w:t>
            </w:r>
          </w:p>
        </w:tc>
        <w:tc>
          <w:tcPr>
            <w:tcW w:w="1550" w:type="dxa"/>
            <w:shd w:val="clear" w:color="auto" w:fill="auto"/>
            <w:vAlign w:val="center"/>
          </w:tcPr>
          <w:p w:rsidR="00092652" w:rsidRDefault="0039522B">
            <w:pPr>
              <w:tabs>
                <w:tab w:val="center" w:pos="4153"/>
                <w:tab w:val="right" w:pos="8306"/>
              </w:tabs>
              <w:snapToGrid w:val="0"/>
              <w:spacing w:before="50" w:after="50"/>
              <w:ind w:left="12" w:hangingChars="5" w:hanging="12"/>
              <w:jc w:val="right"/>
              <w:rPr>
                <w:rFonts w:ascii="宋体" w:hAnsi="宋体" w:cs="Arial"/>
                <w:sz w:val="24"/>
                <w:szCs w:val="24"/>
              </w:rPr>
            </w:pPr>
            <w:r>
              <w:rPr>
                <w:rFonts w:ascii="宋体" w:hAnsi="宋体" w:cs="Arial"/>
                <w:sz w:val="24"/>
                <w:szCs w:val="24"/>
              </w:rPr>
              <w:t>1,482</w:t>
            </w:r>
          </w:p>
        </w:tc>
      </w:tr>
      <w:tr w:rsidR="00092652">
        <w:trPr>
          <w:trHeight w:val="373"/>
        </w:trPr>
        <w:tc>
          <w:tcPr>
            <w:tcW w:w="3864" w:type="dxa"/>
            <w:shd w:val="clear" w:color="auto" w:fill="auto"/>
            <w:vAlign w:val="center"/>
          </w:tcPr>
          <w:p w:rsidR="00092652" w:rsidRDefault="0039522B">
            <w:pPr>
              <w:tabs>
                <w:tab w:val="center" w:pos="4153"/>
                <w:tab w:val="right" w:pos="8306"/>
              </w:tabs>
              <w:snapToGrid w:val="0"/>
              <w:spacing w:before="50" w:after="50"/>
              <w:ind w:left="12" w:hangingChars="5" w:hanging="12"/>
              <w:rPr>
                <w:rFonts w:ascii="宋体" w:hAnsi="宋体" w:cs="Arial"/>
                <w:sz w:val="24"/>
                <w:szCs w:val="24"/>
              </w:rPr>
            </w:pPr>
            <w:r>
              <w:rPr>
                <w:rFonts w:ascii="宋体" w:hAnsi="宋体" w:cs="Arial" w:hint="eastAsia"/>
                <w:sz w:val="24"/>
                <w:szCs w:val="24"/>
              </w:rPr>
              <w:t>分配比例</w:t>
            </w:r>
          </w:p>
        </w:tc>
        <w:tc>
          <w:tcPr>
            <w:tcW w:w="1549" w:type="dxa"/>
            <w:shd w:val="clear" w:color="auto" w:fill="auto"/>
            <w:vAlign w:val="center"/>
          </w:tcPr>
          <w:p w:rsidR="00092652" w:rsidRDefault="0039522B">
            <w:pPr>
              <w:tabs>
                <w:tab w:val="center" w:pos="4153"/>
                <w:tab w:val="right" w:pos="8306"/>
              </w:tabs>
              <w:snapToGrid w:val="0"/>
              <w:spacing w:before="50" w:after="50"/>
              <w:ind w:left="12" w:hangingChars="5" w:hanging="12"/>
              <w:jc w:val="right"/>
              <w:rPr>
                <w:rFonts w:ascii="宋体" w:hAnsi="宋体" w:cs="Arial"/>
                <w:sz w:val="24"/>
                <w:szCs w:val="24"/>
              </w:rPr>
            </w:pPr>
            <w:r>
              <w:rPr>
                <w:rFonts w:ascii="宋体" w:hAnsi="宋体" w:cs="Arial"/>
                <w:sz w:val="24"/>
                <w:szCs w:val="24"/>
              </w:rPr>
              <w:t>100</w:t>
            </w:r>
            <w:r>
              <w:rPr>
                <w:rFonts w:ascii="宋体" w:hAnsi="宋体" w:cs="Arial" w:hint="eastAsia"/>
                <w:sz w:val="24"/>
                <w:szCs w:val="24"/>
              </w:rPr>
              <w:t>.00</w:t>
            </w:r>
            <w:r>
              <w:rPr>
                <w:rFonts w:ascii="宋体" w:hAnsi="宋体" w:cs="Arial"/>
                <w:sz w:val="24"/>
                <w:szCs w:val="24"/>
              </w:rPr>
              <w:t>%</w:t>
            </w:r>
          </w:p>
        </w:tc>
        <w:tc>
          <w:tcPr>
            <w:tcW w:w="1549" w:type="dxa"/>
            <w:shd w:val="clear" w:color="auto" w:fill="auto"/>
            <w:vAlign w:val="center"/>
          </w:tcPr>
          <w:p w:rsidR="00092652" w:rsidRDefault="0039522B">
            <w:pPr>
              <w:tabs>
                <w:tab w:val="center" w:pos="4153"/>
                <w:tab w:val="right" w:pos="8306"/>
              </w:tabs>
              <w:snapToGrid w:val="0"/>
              <w:spacing w:before="50" w:after="50"/>
              <w:ind w:left="12" w:hangingChars="5" w:hanging="12"/>
              <w:jc w:val="right"/>
              <w:rPr>
                <w:rFonts w:ascii="宋体" w:hAnsi="宋体" w:cs="Arial"/>
                <w:sz w:val="24"/>
                <w:szCs w:val="24"/>
              </w:rPr>
            </w:pPr>
            <w:r>
              <w:rPr>
                <w:rFonts w:ascii="宋体" w:hAnsi="宋体" w:cs="Arial"/>
                <w:sz w:val="24"/>
                <w:szCs w:val="24"/>
              </w:rPr>
              <w:t>100</w:t>
            </w:r>
            <w:r>
              <w:rPr>
                <w:rFonts w:ascii="宋体" w:hAnsi="宋体" w:cs="Arial" w:hint="eastAsia"/>
                <w:sz w:val="24"/>
                <w:szCs w:val="24"/>
              </w:rPr>
              <w:t>.00</w:t>
            </w:r>
            <w:r>
              <w:rPr>
                <w:rFonts w:ascii="宋体" w:hAnsi="宋体" w:cs="Arial"/>
                <w:sz w:val="24"/>
                <w:szCs w:val="24"/>
              </w:rPr>
              <w:t>%</w:t>
            </w:r>
          </w:p>
        </w:tc>
        <w:tc>
          <w:tcPr>
            <w:tcW w:w="1550" w:type="dxa"/>
            <w:shd w:val="clear" w:color="auto" w:fill="auto"/>
            <w:vAlign w:val="center"/>
          </w:tcPr>
          <w:p w:rsidR="00092652" w:rsidRDefault="0039522B">
            <w:pPr>
              <w:tabs>
                <w:tab w:val="center" w:pos="4153"/>
                <w:tab w:val="right" w:pos="8306"/>
              </w:tabs>
              <w:snapToGrid w:val="0"/>
              <w:spacing w:before="50" w:after="50"/>
              <w:ind w:left="12" w:hangingChars="5" w:hanging="12"/>
              <w:jc w:val="right"/>
              <w:rPr>
                <w:rFonts w:ascii="宋体" w:hAnsi="宋体" w:cs="Arial"/>
                <w:sz w:val="24"/>
                <w:szCs w:val="24"/>
              </w:rPr>
            </w:pPr>
            <w:r>
              <w:rPr>
                <w:rFonts w:ascii="宋体" w:hAnsi="宋体" w:cs="Arial"/>
                <w:sz w:val="24"/>
                <w:szCs w:val="24"/>
              </w:rPr>
              <w:t>100.00%</w:t>
            </w:r>
          </w:p>
        </w:tc>
      </w:tr>
    </w:tbl>
    <w:p w:rsidR="00092652" w:rsidRDefault="0039522B">
      <w:pPr>
        <w:spacing w:before="50" w:after="50" w:line="360" w:lineRule="auto"/>
        <w:rPr>
          <w:rFonts w:ascii="宋体" w:hAnsi="宋体"/>
          <w:sz w:val="24"/>
          <w:szCs w:val="24"/>
        </w:rPr>
      </w:pPr>
      <w:r>
        <w:rPr>
          <w:rFonts w:ascii="宋体" w:hAnsi="宋体"/>
          <w:sz w:val="24"/>
          <w:szCs w:val="24"/>
        </w:rPr>
        <w:t>注</w:t>
      </w:r>
      <w:r>
        <w:rPr>
          <w:rFonts w:ascii="宋体" w:hAnsi="宋体" w:hint="eastAsia"/>
          <w:sz w:val="24"/>
          <w:szCs w:val="24"/>
        </w:rPr>
        <w:t>：</w:t>
      </w:r>
      <w:r>
        <w:rPr>
          <w:rFonts w:ascii="宋体" w:hAnsi="宋体"/>
          <w:sz w:val="24"/>
          <w:szCs w:val="24"/>
        </w:rPr>
        <w:t>分配比例=支付股息金额/约定的当年度支付股息金额*100%</w:t>
      </w:r>
      <w:r>
        <w:rPr>
          <w:rFonts w:ascii="宋体" w:hAnsi="宋体" w:hint="eastAsia"/>
          <w:sz w:val="24"/>
          <w:szCs w:val="24"/>
        </w:rPr>
        <w:t>；20</w:t>
      </w:r>
      <w:r>
        <w:rPr>
          <w:rFonts w:ascii="宋体" w:hAnsi="宋体"/>
          <w:sz w:val="24"/>
          <w:szCs w:val="24"/>
        </w:rPr>
        <w:t>20</w:t>
      </w:r>
      <w:r>
        <w:rPr>
          <w:rFonts w:ascii="宋体" w:hAnsi="宋体" w:hint="eastAsia"/>
          <w:sz w:val="24"/>
          <w:szCs w:val="24"/>
        </w:rPr>
        <w:t>年度利润分配预案已经公司第九届董事会第二十七次会议审议通过，尚需20</w:t>
      </w:r>
      <w:r>
        <w:rPr>
          <w:rFonts w:ascii="宋体" w:hAnsi="宋体"/>
          <w:sz w:val="24"/>
          <w:szCs w:val="24"/>
        </w:rPr>
        <w:t>20</w:t>
      </w:r>
      <w:r>
        <w:rPr>
          <w:rFonts w:ascii="宋体" w:hAnsi="宋体" w:hint="eastAsia"/>
          <w:sz w:val="24"/>
          <w:szCs w:val="24"/>
        </w:rPr>
        <w:t>年年度股东大会审议批准。</w:t>
      </w:r>
    </w:p>
    <w:p w:rsidR="00092652" w:rsidRDefault="0039522B">
      <w:pPr>
        <w:spacing w:line="520" w:lineRule="exact"/>
        <w:ind w:firstLineChars="200" w:firstLine="562"/>
        <w:rPr>
          <w:rFonts w:ascii="宋体" w:hAnsi="宋体"/>
          <w:b/>
          <w:sz w:val="28"/>
          <w:szCs w:val="28"/>
        </w:rPr>
      </w:pPr>
      <w:r>
        <w:rPr>
          <w:rFonts w:ascii="宋体" w:hAnsi="宋体"/>
          <w:b/>
          <w:sz w:val="28"/>
          <w:szCs w:val="28"/>
        </w:rPr>
        <w:t>1</w:t>
      </w:r>
      <w:r>
        <w:rPr>
          <w:rFonts w:ascii="宋体" w:hAnsi="宋体" w:hint="eastAsia"/>
          <w:b/>
          <w:sz w:val="28"/>
          <w:szCs w:val="28"/>
        </w:rPr>
        <w:t>、20</w:t>
      </w:r>
      <w:r>
        <w:rPr>
          <w:rFonts w:ascii="宋体" w:hAnsi="宋体"/>
          <w:b/>
          <w:sz w:val="28"/>
          <w:szCs w:val="28"/>
        </w:rPr>
        <w:t>18</w:t>
      </w:r>
      <w:r>
        <w:rPr>
          <w:rFonts w:ascii="宋体" w:hAnsi="宋体" w:hint="eastAsia"/>
          <w:b/>
          <w:sz w:val="28"/>
          <w:szCs w:val="28"/>
        </w:rPr>
        <w:t>年度</w:t>
      </w:r>
    </w:p>
    <w:p w:rsidR="00092652" w:rsidRDefault="0039522B">
      <w:pPr>
        <w:spacing w:line="520" w:lineRule="exact"/>
        <w:ind w:firstLineChars="200" w:firstLine="560"/>
        <w:rPr>
          <w:rFonts w:ascii="宋体" w:hAnsi="宋体"/>
          <w:sz w:val="28"/>
          <w:szCs w:val="28"/>
        </w:rPr>
      </w:pPr>
      <w:r>
        <w:rPr>
          <w:rFonts w:ascii="宋体" w:hAnsi="宋体" w:hint="eastAsia"/>
          <w:sz w:val="28"/>
          <w:szCs w:val="28"/>
        </w:rPr>
        <w:t>20</w:t>
      </w:r>
      <w:r>
        <w:rPr>
          <w:rFonts w:ascii="宋体" w:hAnsi="宋体"/>
          <w:sz w:val="28"/>
          <w:szCs w:val="28"/>
        </w:rPr>
        <w:t>19</w:t>
      </w:r>
      <w:r>
        <w:rPr>
          <w:rFonts w:ascii="宋体" w:hAnsi="宋体" w:hint="eastAsia"/>
          <w:sz w:val="28"/>
          <w:szCs w:val="28"/>
        </w:rPr>
        <w:t>年4月2</w:t>
      </w:r>
      <w:r>
        <w:rPr>
          <w:rFonts w:ascii="宋体" w:hAnsi="宋体"/>
          <w:sz w:val="28"/>
          <w:szCs w:val="28"/>
        </w:rPr>
        <w:t>9</w:t>
      </w:r>
      <w:r>
        <w:rPr>
          <w:rFonts w:ascii="宋体" w:hAnsi="宋体" w:hint="eastAsia"/>
          <w:sz w:val="28"/>
          <w:szCs w:val="28"/>
        </w:rPr>
        <w:t>日公司第九届董事会第十四次会议、201</w:t>
      </w:r>
      <w:r>
        <w:rPr>
          <w:rFonts w:ascii="宋体" w:hAnsi="宋体"/>
          <w:sz w:val="28"/>
          <w:szCs w:val="28"/>
        </w:rPr>
        <w:t>9</w:t>
      </w:r>
      <w:r>
        <w:rPr>
          <w:rFonts w:ascii="宋体" w:hAnsi="宋体" w:hint="eastAsia"/>
          <w:sz w:val="28"/>
          <w:szCs w:val="28"/>
        </w:rPr>
        <w:t>年</w:t>
      </w:r>
      <w:r>
        <w:rPr>
          <w:rFonts w:ascii="宋体" w:hAnsi="宋体"/>
          <w:sz w:val="28"/>
          <w:szCs w:val="28"/>
        </w:rPr>
        <w:t>5</w:t>
      </w:r>
      <w:r>
        <w:rPr>
          <w:rFonts w:ascii="宋体" w:hAnsi="宋体" w:hint="eastAsia"/>
          <w:sz w:val="28"/>
          <w:szCs w:val="28"/>
        </w:rPr>
        <w:t>月27日公司201</w:t>
      </w:r>
      <w:r>
        <w:rPr>
          <w:rFonts w:ascii="宋体" w:hAnsi="宋体"/>
          <w:sz w:val="28"/>
          <w:szCs w:val="28"/>
        </w:rPr>
        <w:t>8</w:t>
      </w:r>
      <w:r>
        <w:rPr>
          <w:rFonts w:ascii="宋体" w:hAnsi="宋体" w:hint="eastAsia"/>
          <w:sz w:val="28"/>
          <w:szCs w:val="28"/>
        </w:rPr>
        <w:t>年年度股东大会审议通过201</w:t>
      </w:r>
      <w:r>
        <w:rPr>
          <w:rFonts w:ascii="宋体" w:hAnsi="宋体"/>
          <w:sz w:val="28"/>
          <w:szCs w:val="28"/>
        </w:rPr>
        <w:t>8</w:t>
      </w:r>
      <w:r>
        <w:rPr>
          <w:rFonts w:ascii="宋体" w:hAnsi="宋体" w:hint="eastAsia"/>
          <w:sz w:val="28"/>
          <w:szCs w:val="28"/>
        </w:rPr>
        <w:t>年度利润分配方案：公司201</w:t>
      </w:r>
      <w:r>
        <w:rPr>
          <w:rFonts w:ascii="宋体" w:hAnsi="宋体"/>
          <w:sz w:val="28"/>
          <w:szCs w:val="28"/>
        </w:rPr>
        <w:t>8</w:t>
      </w:r>
      <w:r>
        <w:rPr>
          <w:rFonts w:ascii="宋体" w:hAnsi="宋体" w:hint="eastAsia"/>
          <w:sz w:val="28"/>
          <w:szCs w:val="28"/>
        </w:rPr>
        <w:t>年度实现归属于母公司股东净利润</w:t>
      </w:r>
      <w:r>
        <w:rPr>
          <w:rFonts w:ascii="宋体" w:hAnsi="宋体"/>
          <w:sz w:val="28"/>
          <w:szCs w:val="28"/>
        </w:rPr>
        <w:t>606</w:t>
      </w:r>
      <w:r>
        <w:rPr>
          <w:rFonts w:ascii="宋体" w:hAnsi="宋体" w:hint="eastAsia"/>
          <w:sz w:val="28"/>
          <w:szCs w:val="28"/>
        </w:rPr>
        <w:t>.</w:t>
      </w:r>
      <w:r>
        <w:rPr>
          <w:rFonts w:ascii="宋体" w:hAnsi="宋体"/>
          <w:sz w:val="28"/>
          <w:szCs w:val="28"/>
        </w:rPr>
        <w:t>20</w:t>
      </w:r>
      <w:r>
        <w:rPr>
          <w:rFonts w:ascii="宋体" w:hAnsi="宋体" w:hint="eastAsia"/>
          <w:sz w:val="28"/>
          <w:szCs w:val="28"/>
        </w:rPr>
        <w:t>亿元，以普通股总股本</w:t>
      </w:r>
      <w:r>
        <w:rPr>
          <w:rFonts w:ascii="宋体" w:hAnsi="宋体"/>
          <w:sz w:val="28"/>
          <w:szCs w:val="28"/>
        </w:rPr>
        <w:t>207</w:t>
      </w:r>
      <w:r>
        <w:rPr>
          <w:rFonts w:ascii="宋体" w:hAnsi="宋体" w:hint="eastAsia"/>
          <w:sz w:val="28"/>
          <w:szCs w:val="28"/>
        </w:rPr>
        <w:t>.</w:t>
      </w:r>
      <w:r>
        <w:rPr>
          <w:rFonts w:ascii="宋体" w:hAnsi="宋体"/>
          <w:sz w:val="28"/>
          <w:szCs w:val="28"/>
        </w:rPr>
        <w:t>74</w:t>
      </w:r>
      <w:r>
        <w:rPr>
          <w:rFonts w:ascii="宋体" w:hAnsi="宋体" w:hint="eastAsia"/>
          <w:sz w:val="28"/>
          <w:szCs w:val="28"/>
        </w:rPr>
        <w:t>亿股为基数，每10股普通股派发现金股利</w:t>
      </w:r>
      <w:r>
        <w:rPr>
          <w:rFonts w:ascii="宋体" w:hAnsi="宋体"/>
          <w:sz w:val="28"/>
          <w:szCs w:val="28"/>
        </w:rPr>
        <w:t>6</w:t>
      </w:r>
      <w:r>
        <w:rPr>
          <w:rFonts w:ascii="宋体" w:hAnsi="宋体" w:hint="eastAsia"/>
          <w:sz w:val="28"/>
          <w:szCs w:val="28"/>
        </w:rPr>
        <w:t>.</w:t>
      </w:r>
      <w:r>
        <w:rPr>
          <w:rFonts w:ascii="宋体" w:hAnsi="宋体"/>
          <w:sz w:val="28"/>
          <w:szCs w:val="28"/>
        </w:rPr>
        <w:t>90</w:t>
      </w:r>
      <w:r>
        <w:rPr>
          <w:rFonts w:ascii="宋体" w:hAnsi="宋体" w:hint="eastAsia"/>
          <w:sz w:val="28"/>
          <w:szCs w:val="28"/>
        </w:rPr>
        <w:t>元（含税），合计分配现金红利</w:t>
      </w:r>
      <w:r>
        <w:rPr>
          <w:rFonts w:ascii="宋体" w:hAnsi="宋体"/>
          <w:sz w:val="28"/>
          <w:szCs w:val="28"/>
        </w:rPr>
        <w:t>143</w:t>
      </w:r>
      <w:r>
        <w:rPr>
          <w:rFonts w:ascii="宋体" w:hAnsi="宋体" w:hint="eastAsia"/>
          <w:sz w:val="28"/>
          <w:szCs w:val="28"/>
        </w:rPr>
        <w:t>.</w:t>
      </w:r>
      <w:r>
        <w:rPr>
          <w:rFonts w:ascii="宋体" w:hAnsi="宋体"/>
          <w:sz w:val="28"/>
          <w:szCs w:val="28"/>
        </w:rPr>
        <w:t>34</w:t>
      </w:r>
      <w:r>
        <w:rPr>
          <w:rFonts w:ascii="宋体" w:hAnsi="宋体" w:hint="eastAsia"/>
          <w:sz w:val="28"/>
          <w:szCs w:val="28"/>
        </w:rPr>
        <w:t>亿元；根据已发行的优先股面值、年股息率与计息期间，201</w:t>
      </w:r>
      <w:r>
        <w:rPr>
          <w:rFonts w:ascii="宋体" w:hAnsi="宋体"/>
          <w:sz w:val="28"/>
          <w:szCs w:val="28"/>
        </w:rPr>
        <w:t>8</w:t>
      </w:r>
      <w:r>
        <w:rPr>
          <w:rFonts w:ascii="宋体" w:hAnsi="宋体" w:hint="eastAsia"/>
          <w:sz w:val="28"/>
          <w:szCs w:val="28"/>
        </w:rPr>
        <w:t>年度“兴业优1”（优先股代码：</w:t>
      </w:r>
      <w:r>
        <w:rPr>
          <w:rFonts w:ascii="宋体" w:hAnsi="宋体"/>
          <w:sz w:val="28"/>
          <w:szCs w:val="28"/>
        </w:rPr>
        <w:t>360005</w:t>
      </w:r>
      <w:r>
        <w:rPr>
          <w:rFonts w:ascii="宋体" w:hAnsi="宋体" w:hint="eastAsia"/>
          <w:sz w:val="28"/>
          <w:szCs w:val="28"/>
        </w:rPr>
        <w:t>）每股派发现金股息</w:t>
      </w:r>
      <w:r>
        <w:rPr>
          <w:rFonts w:ascii="宋体" w:hAnsi="宋体"/>
          <w:sz w:val="28"/>
          <w:szCs w:val="28"/>
        </w:rPr>
        <w:t>6</w:t>
      </w:r>
      <w:r>
        <w:rPr>
          <w:rFonts w:ascii="宋体" w:hAnsi="宋体" w:hint="eastAsia"/>
          <w:sz w:val="28"/>
          <w:szCs w:val="28"/>
        </w:rPr>
        <w:t>.</w:t>
      </w:r>
      <w:r>
        <w:rPr>
          <w:rFonts w:ascii="宋体" w:hAnsi="宋体"/>
          <w:sz w:val="28"/>
          <w:szCs w:val="28"/>
        </w:rPr>
        <w:t>00</w:t>
      </w:r>
      <w:r>
        <w:rPr>
          <w:rFonts w:ascii="宋体" w:hAnsi="宋体" w:hint="eastAsia"/>
          <w:sz w:val="28"/>
          <w:szCs w:val="28"/>
        </w:rPr>
        <w:t>元，“兴业优2”（优先股代码：</w:t>
      </w:r>
      <w:r>
        <w:rPr>
          <w:rFonts w:ascii="宋体" w:hAnsi="宋体"/>
          <w:sz w:val="28"/>
          <w:szCs w:val="28"/>
        </w:rPr>
        <w:t>360012</w:t>
      </w:r>
      <w:r>
        <w:rPr>
          <w:rFonts w:ascii="宋体" w:hAnsi="宋体" w:hint="eastAsia"/>
          <w:sz w:val="28"/>
          <w:szCs w:val="28"/>
        </w:rPr>
        <w:t>）每股派发现金股息5.</w:t>
      </w:r>
      <w:r>
        <w:rPr>
          <w:rFonts w:ascii="宋体" w:hAnsi="宋体"/>
          <w:sz w:val="28"/>
          <w:szCs w:val="28"/>
        </w:rPr>
        <w:t>40</w:t>
      </w:r>
      <w:r>
        <w:rPr>
          <w:rFonts w:ascii="宋体" w:hAnsi="宋体" w:hint="eastAsia"/>
          <w:sz w:val="28"/>
          <w:szCs w:val="28"/>
        </w:rPr>
        <w:t>元，合计派发优先股现金股息1</w:t>
      </w:r>
      <w:r>
        <w:rPr>
          <w:rFonts w:ascii="宋体" w:hAnsi="宋体"/>
          <w:sz w:val="28"/>
          <w:szCs w:val="28"/>
        </w:rPr>
        <w:t>4</w:t>
      </w:r>
      <w:r>
        <w:rPr>
          <w:rFonts w:ascii="宋体" w:hAnsi="宋体" w:hint="eastAsia"/>
          <w:sz w:val="28"/>
          <w:szCs w:val="28"/>
        </w:rPr>
        <w:t>.</w:t>
      </w:r>
      <w:r>
        <w:rPr>
          <w:rFonts w:ascii="宋体" w:hAnsi="宋体"/>
          <w:sz w:val="28"/>
          <w:szCs w:val="28"/>
        </w:rPr>
        <w:t>82</w:t>
      </w:r>
      <w:r>
        <w:rPr>
          <w:rFonts w:ascii="宋体" w:hAnsi="宋体" w:hint="eastAsia"/>
          <w:sz w:val="28"/>
          <w:szCs w:val="28"/>
        </w:rPr>
        <w:t>亿元；结</w:t>
      </w:r>
      <w:r>
        <w:rPr>
          <w:rFonts w:ascii="宋体" w:hAnsi="宋体" w:hint="eastAsia"/>
          <w:sz w:val="28"/>
          <w:szCs w:val="28"/>
        </w:rPr>
        <w:lastRenderedPageBreak/>
        <w:t>余未分配利润结转下年度。</w:t>
      </w:r>
    </w:p>
    <w:p w:rsidR="00092652" w:rsidRDefault="0039522B">
      <w:pPr>
        <w:spacing w:line="520" w:lineRule="exact"/>
        <w:ind w:firstLineChars="200" w:firstLine="560"/>
        <w:rPr>
          <w:rFonts w:ascii="宋体" w:hAnsi="宋体"/>
          <w:sz w:val="28"/>
          <w:szCs w:val="28"/>
        </w:rPr>
      </w:pPr>
      <w:r>
        <w:rPr>
          <w:rFonts w:ascii="宋体" w:hAnsi="宋体" w:hint="eastAsia"/>
          <w:sz w:val="28"/>
          <w:szCs w:val="28"/>
        </w:rPr>
        <w:t>以上利润分配</w:t>
      </w:r>
      <w:r>
        <w:rPr>
          <w:rFonts w:ascii="宋体" w:hAnsi="宋体"/>
          <w:sz w:val="28"/>
          <w:szCs w:val="28"/>
        </w:rPr>
        <w:t>方案</w:t>
      </w:r>
      <w:r>
        <w:rPr>
          <w:rFonts w:ascii="宋体" w:hAnsi="宋体" w:hint="eastAsia"/>
          <w:sz w:val="28"/>
          <w:szCs w:val="28"/>
        </w:rPr>
        <w:t>已于201</w:t>
      </w:r>
      <w:r>
        <w:rPr>
          <w:rFonts w:ascii="宋体" w:hAnsi="宋体"/>
          <w:sz w:val="28"/>
          <w:szCs w:val="28"/>
        </w:rPr>
        <w:t>9</w:t>
      </w:r>
      <w:r>
        <w:rPr>
          <w:rFonts w:ascii="宋体" w:hAnsi="宋体" w:hint="eastAsia"/>
          <w:sz w:val="28"/>
          <w:szCs w:val="28"/>
        </w:rPr>
        <w:t>年6月实施。</w:t>
      </w:r>
    </w:p>
    <w:p w:rsidR="00092652" w:rsidRDefault="0039522B">
      <w:pPr>
        <w:spacing w:line="520" w:lineRule="exact"/>
        <w:ind w:firstLineChars="200" w:firstLine="562"/>
        <w:rPr>
          <w:rFonts w:ascii="宋体" w:hAnsi="宋体"/>
          <w:b/>
          <w:sz w:val="28"/>
          <w:szCs w:val="28"/>
        </w:rPr>
      </w:pPr>
      <w:r>
        <w:rPr>
          <w:rFonts w:ascii="宋体" w:hAnsi="宋体"/>
          <w:b/>
          <w:sz w:val="28"/>
          <w:szCs w:val="28"/>
        </w:rPr>
        <w:t>2</w:t>
      </w:r>
      <w:r>
        <w:rPr>
          <w:rFonts w:ascii="宋体" w:hAnsi="宋体" w:hint="eastAsia"/>
          <w:b/>
          <w:sz w:val="28"/>
          <w:szCs w:val="28"/>
        </w:rPr>
        <w:t>、201</w:t>
      </w:r>
      <w:r>
        <w:rPr>
          <w:rFonts w:ascii="宋体" w:hAnsi="宋体"/>
          <w:b/>
          <w:sz w:val="28"/>
          <w:szCs w:val="28"/>
        </w:rPr>
        <w:t>9</w:t>
      </w:r>
      <w:r>
        <w:rPr>
          <w:rFonts w:ascii="宋体" w:hAnsi="宋体" w:hint="eastAsia"/>
          <w:b/>
          <w:sz w:val="28"/>
          <w:szCs w:val="28"/>
        </w:rPr>
        <w:t>年度</w:t>
      </w:r>
    </w:p>
    <w:p w:rsidR="00092652" w:rsidRDefault="0039522B">
      <w:pPr>
        <w:spacing w:line="520" w:lineRule="exact"/>
        <w:ind w:firstLineChars="200" w:firstLine="560"/>
        <w:rPr>
          <w:rFonts w:ascii="宋体" w:hAnsi="宋体"/>
          <w:sz w:val="28"/>
          <w:szCs w:val="28"/>
        </w:rPr>
      </w:pPr>
      <w:r>
        <w:rPr>
          <w:rFonts w:ascii="宋体" w:hAnsi="宋体"/>
          <w:sz w:val="28"/>
          <w:szCs w:val="28"/>
        </w:rPr>
        <w:t>2020</w:t>
      </w:r>
      <w:r>
        <w:rPr>
          <w:rFonts w:ascii="宋体" w:hAnsi="宋体" w:hint="eastAsia"/>
          <w:sz w:val="28"/>
          <w:szCs w:val="28"/>
        </w:rPr>
        <w:t>年4月2</w:t>
      </w:r>
      <w:r>
        <w:rPr>
          <w:rFonts w:ascii="宋体" w:hAnsi="宋体"/>
          <w:sz w:val="28"/>
          <w:szCs w:val="28"/>
        </w:rPr>
        <w:t>8</w:t>
      </w:r>
      <w:r>
        <w:rPr>
          <w:rFonts w:ascii="宋体" w:hAnsi="宋体" w:hint="eastAsia"/>
          <w:sz w:val="28"/>
          <w:szCs w:val="28"/>
        </w:rPr>
        <w:t>日公司第九届董事会第二十二次会议、20</w:t>
      </w:r>
      <w:r>
        <w:rPr>
          <w:rFonts w:ascii="宋体" w:hAnsi="宋体"/>
          <w:sz w:val="28"/>
          <w:szCs w:val="28"/>
        </w:rPr>
        <w:t>20</w:t>
      </w:r>
      <w:r>
        <w:rPr>
          <w:rFonts w:ascii="宋体" w:hAnsi="宋体" w:hint="eastAsia"/>
          <w:sz w:val="28"/>
          <w:szCs w:val="28"/>
        </w:rPr>
        <w:t>年6月2</w:t>
      </w:r>
      <w:r>
        <w:rPr>
          <w:rFonts w:ascii="宋体" w:hAnsi="宋体"/>
          <w:sz w:val="28"/>
          <w:szCs w:val="28"/>
        </w:rPr>
        <w:t>9</w:t>
      </w:r>
      <w:r>
        <w:rPr>
          <w:rFonts w:ascii="宋体" w:hAnsi="宋体" w:hint="eastAsia"/>
          <w:sz w:val="28"/>
          <w:szCs w:val="28"/>
        </w:rPr>
        <w:t>日公司201</w:t>
      </w:r>
      <w:r>
        <w:rPr>
          <w:rFonts w:ascii="宋体" w:hAnsi="宋体"/>
          <w:sz w:val="28"/>
          <w:szCs w:val="28"/>
        </w:rPr>
        <w:t>9</w:t>
      </w:r>
      <w:r>
        <w:rPr>
          <w:rFonts w:ascii="宋体" w:hAnsi="宋体" w:hint="eastAsia"/>
          <w:sz w:val="28"/>
          <w:szCs w:val="28"/>
        </w:rPr>
        <w:t>年年度股东大会审议通过201</w:t>
      </w:r>
      <w:r>
        <w:rPr>
          <w:rFonts w:ascii="宋体" w:hAnsi="宋体"/>
          <w:sz w:val="28"/>
          <w:szCs w:val="28"/>
        </w:rPr>
        <w:t>9</w:t>
      </w:r>
      <w:r>
        <w:rPr>
          <w:rFonts w:ascii="宋体" w:hAnsi="宋体" w:hint="eastAsia"/>
          <w:sz w:val="28"/>
          <w:szCs w:val="28"/>
        </w:rPr>
        <w:t>年度利润分配方案：公司201</w:t>
      </w:r>
      <w:r>
        <w:rPr>
          <w:rFonts w:ascii="宋体" w:hAnsi="宋体"/>
          <w:sz w:val="28"/>
          <w:szCs w:val="28"/>
        </w:rPr>
        <w:t>9</w:t>
      </w:r>
      <w:r>
        <w:rPr>
          <w:rFonts w:ascii="宋体" w:hAnsi="宋体" w:hint="eastAsia"/>
          <w:sz w:val="28"/>
          <w:szCs w:val="28"/>
        </w:rPr>
        <w:t>年度实现归属于母公司股东净利润</w:t>
      </w:r>
      <w:r>
        <w:rPr>
          <w:rFonts w:ascii="宋体" w:hAnsi="宋体"/>
          <w:sz w:val="28"/>
          <w:szCs w:val="28"/>
        </w:rPr>
        <w:t>658</w:t>
      </w:r>
      <w:r>
        <w:rPr>
          <w:rFonts w:ascii="宋体" w:hAnsi="宋体" w:hint="eastAsia"/>
          <w:sz w:val="28"/>
          <w:szCs w:val="28"/>
        </w:rPr>
        <w:t>.</w:t>
      </w:r>
      <w:r>
        <w:rPr>
          <w:rFonts w:ascii="宋体" w:hAnsi="宋体"/>
          <w:sz w:val="28"/>
          <w:szCs w:val="28"/>
        </w:rPr>
        <w:t>68</w:t>
      </w:r>
      <w:r>
        <w:rPr>
          <w:rFonts w:ascii="宋体" w:hAnsi="宋体" w:hint="eastAsia"/>
          <w:sz w:val="28"/>
          <w:szCs w:val="28"/>
        </w:rPr>
        <w:t>亿元，以普通股总股本</w:t>
      </w:r>
      <w:r>
        <w:rPr>
          <w:rFonts w:ascii="宋体" w:hAnsi="宋体"/>
          <w:sz w:val="28"/>
          <w:szCs w:val="28"/>
        </w:rPr>
        <w:t>207</w:t>
      </w:r>
      <w:r>
        <w:rPr>
          <w:rFonts w:ascii="宋体" w:hAnsi="宋体" w:hint="eastAsia"/>
          <w:sz w:val="28"/>
          <w:szCs w:val="28"/>
        </w:rPr>
        <w:t>.</w:t>
      </w:r>
      <w:r>
        <w:rPr>
          <w:rFonts w:ascii="宋体" w:hAnsi="宋体"/>
          <w:sz w:val="28"/>
          <w:szCs w:val="28"/>
        </w:rPr>
        <w:t>74</w:t>
      </w:r>
      <w:r>
        <w:rPr>
          <w:rFonts w:ascii="宋体" w:hAnsi="宋体" w:hint="eastAsia"/>
          <w:sz w:val="28"/>
          <w:szCs w:val="28"/>
        </w:rPr>
        <w:t>亿股为基数，每10股普通股派发现金股利</w:t>
      </w:r>
      <w:r>
        <w:rPr>
          <w:rFonts w:ascii="宋体" w:hAnsi="宋体"/>
          <w:sz w:val="28"/>
          <w:szCs w:val="28"/>
        </w:rPr>
        <w:t>7</w:t>
      </w:r>
      <w:r>
        <w:rPr>
          <w:rFonts w:ascii="宋体" w:hAnsi="宋体" w:hint="eastAsia"/>
          <w:sz w:val="28"/>
          <w:szCs w:val="28"/>
        </w:rPr>
        <w:t>.</w:t>
      </w:r>
      <w:r>
        <w:rPr>
          <w:rFonts w:ascii="宋体" w:hAnsi="宋体"/>
          <w:sz w:val="28"/>
          <w:szCs w:val="28"/>
        </w:rPr>
        <w:t>62</w:t>
      </w:r>
      <w:r>
        <w:rPr>
          <w:rFonts w:ascii="宋体" w:hAnsi="宋体" w:hint="eastAsia"/>
          <w:sz w:val="28"/>
          <w:szCs w:val="28"/>
        </w:rPr>
        <w:t>元（含税），合计分配现金红利</w:t>
      </w:r>
      <w:r>
        <w:rPr>
          <w:rFonts w:ascii="宋体" w:hAnsi="宋体"/>
          <w:sz w:val="28"/>
          <w:szCs w:val="28"/>
        </w:rPr>
        <w:t>158</w:t>
      </w:r>
      <w:r>
        <w:rPr>
          <w:rFonts w:ascii="宋体" w:hAnsi="宋体" w:hint="eastAsia"/>
          <w:sz w:val="28"/>
          <w:szCs w:val="28"/>
        </w:rPr>
        <w:t>.</w:t>
      </w:r>
      <w:r>
        <w:rPr>
          <w:rFonts w:ascii="宋体" w:hAnsi="宋体"/>
          <w:sz w:val="28"/>
          <w:szCs w:val="28"/>
        </w:rPr>
        <w:t>30</w:t>
      </w:r>
      <w:r>
        <w:rPr>
          <w:rFonts w:ascii="宋体" w:hAnsi="宋体" w:hint="eastAsia"/>
          <w:sz w:val="28"/>
          <w:szCs w:val="28"/>
        </w:rPr>
        <w:t>亿元；根据已发行的优先股面值、年股息率与计息期间，201</w:t>
      </w:r>
      <w:r>
        <w:rPr>
          <w:rFonts w:ascii="宋体" w:hAnsi="宋体"/>
          <w:sz w:val="28"/>
          <w:szCs w:val="28"/>
        </w:rPr>
        <w:t>9</w:t>
      </w:r>
      <w:r>
        <w:rPr>
          <w:rFonts w:ascii="宋体" w:hAnsi="宋体" w:hint="eastAsia"/>
          <w:sz w:val="28"/>
          <w:szCs w:val="28"/>
        </w:rPr>
        <w:t>年度“兴业优1”（优先股代码：</w:t>
      </w:r>
      <w:r>
        <w:rPr>
          <w:rFonts w:ascii="宋体" w:hAnsi="宋体"/>
          <w:sz w:val="28"/>
          <w:szCs w:val="28"/>
        </w:rPr>
        <w:t>360005</w:t>
      </w:r>
      <w:r>
        <w:rPr>
          <w:rFonts w:ascii="宋体" w:hAnsi="宋体" w:hint="eastAsia"/>
          <w:sz w:val="28"/>
          <w:szCs w:val="28"/>
        </w:rPr>
        <w:t>）每股派发现金股息5.</w:t>
      </w:r>
      <w:r>
        <w:rPr>
          <w:rFonts w:ascii="宋体" w:hAnsi="宋体"/>
          <w:sz w:val="28"/>
          <w:szCs w:val="28"/>
        </w:rPr>
        <w:t>9704</w:t>
      </w:r>
      <w:r>
        <w:rPr>
          <w:rFonts w:ascii="宋体" w:hAnsi="宋体" w:hint="eastAsia"/>
          <w:sz w:val="28"/>
          <w:szCs w:val="28"/>
        </w:rPr>
        <w:t>元，“兴业优2”（优先股代码：</w:t>
      </w:r>
      <w:r>
        <w:rPr>
          <w:rFonts w:ascii="宋体" w:hAnsi="宋体"/>
          <w:sz w:val="28"/>
          <w:szCs w:val="28"/>
        </w:rPr>
        <w:t>360012</w:t>
      </w:r>
      <w:r>
        <w:rPr>
          <w:rFonts w:ascii="宋体" w:hAnsi="宋体" w:hint="eastAsia"/>
          <w:sz w:val="28"/>
          <w:szCs w:val="28"/>
        </w:rPr>
        <w:t>）每股派发现金股息5.</w:t>
      </w:r>
      <w:r>
        <w:rPr>
          <w:rFonts w:ascii="宋体" w:hAnsi="宋体"/>
          <w:sz w:val="28"/>
          <w:szCs w:val="28"/>
        </w:rPr>
        <w:t>40</w:t>
      </w:r>
      <w:r>
        <w:rPr>
          <w:rFonts w:ascii="宋体" w:hAnsi="宋体" w:hint="eastAsia"/>
          <w:sz w:val="28"/>
          <w:szCs w:val="28"/>
        </w:rPr>
        <w:t>元，“兴业优3”（优先股代码：</w:t>
      </w:r>
      <w:r>
        <w:rPr>
          <w:rFonts w:ascii="宋体" w:hAnsi="宋体"/>
          <w:sz w:val="28"/>
          <w:szCs w:val="28"/>
        </w:rPr>
        <w:t>360032</w:t>
      </w:r>
      <w:r>
        <w:rPr>
          <w:rFonts w:ascii="宋体" w:hAnsi="宋体" w:hint="eastAsia"/>
          <w:sz w:val="28"/>
          <w:szCs w:val="28"/>
        </w:rPr>
        <w:t>）每股派发现金股息3.</w:t>
      </w:r>
      <w:r>
        <w:rPr>
          <w:rFonts w:ascii="宋体" w:hAnsi="宋体"/>
          <w:sz w:val="28"/>
          <w:szCs w:val="28"/>
        </w:rPr>
        <w:t>5710</w:t>
      </w:r>
      <w:r>
        <w:rPr>
          <w:rFonts w:ascii="宋体" w:hAnsi="宋体" w:hint="eastAsia"/>
          <w:sz w:val="28"/>
          <w:szCs w:val="28"/>
        </w:rPr>
        <w:t>元，合计派发优先股现金股息</w:t>
      </w:r>
      <w:r>
        <w:rPr>
          <w:rFonts w:ascii="宋体" w:hAnsi="宋体"/>
          <w:sz w:val="28"/>
          <w:szCs w:val="28"/>
        </w:rPr>
        <w:t>25</w:t>
      </w:r>
      <w:r>
        <w:rPr>
          <w:rFonts w:ascii="宋体" w:hAnsi="宋体" w:hint="eastAsia"/>
          <w:sz w:val="28"/>
          <w:szCs w:val="28"/>
        </w:rPr>
        <w:t>.</w:t>
      </w:r>
      <w:r>
        <w:rPr>
          <w:rFonts w:ascii="宋体" w:hAnsi="宋体"/>
          <w:sz w:val="28"/>
          <w:szCs w:val="28"/>
        </w:rPr>
        <w:t>49</w:t>
      </w:r>
      <w:r>
        <w:rPr>
          <w:rFonts w:ascii="宋体" w:hAnsi="宋体" w:hint="eastAsia"/>
          <w:sz w:val="28"/>
          <w:szCs w:val="28"/>
        </w:rPr>
        <w:t>亿元；结余未分配利润结转下年度。</w:t>
      </w:r>
    </w:p>
    <w:p w:rsidR="00092652" w:rsidRDefault="0039522B">
      <w:pPr>
        <w:spacing w:line="520" w:lineRule="exact"/>
        <w:ind w:firstLineChars="200" w:firstLine="560"/>
        <w:rPr>
          <w:rFonts w:ascii="宋体" w:hAnsi="宋体"/>
          <w:sz w:val="28"/>
          <w:szCs w:val="28"/>
        </w:rPr>
      </w:pPr>
      <w:r>
        <w:rPr>
          <w:rFonts w:ascii="宋体" w:hAnsi="宋体" w:hint="eastAsia"/>
          <w:sz w:val="28"/>
          <w:szCs w:val="28"/>
        </w:rPr>
        <w:t>以上利润分配</w:t>
      </w:r>
      <w:r>
        <w:rPr>
          <w:rFonts w:ascii="宋体" w:hAnsi="宋体"/>
          <w:sz w:val="28"/>
          <w:szCs w:val="28"/>
        </w:rPr>
        <w:t>方案</w:t>
      </w:r>
      <w:r>
        <w:rPr>
          <w:rFonts w:ascii="宋体" w:hAnsi="宋体" w:hint="eastAsia"/>
          <w:sz w:val="28"/>
          <w:szCs w:val="28"/>
        </w:rPr>
        <w:t>已于20</w:t>
      </w:r>
      <w:r>
        <w:rPr>
          <w:rFonts w:ascii="宋体" w:hAnsi="宋体"/>
          <w:sz w:val="28"/>
          <w:szCs w:val="28"/>
        </w:rPr>
        <w:t>20</w:t>
      </w:r>
      <w:r>
        <w:rPr>
          <w:rFonts w:ascii="宋体" w:hAnsi="宋体" w:hint="eastAsia"/>
          <w:sz w:val="28"/>
          <w:szCs w:val="28"/>
        </w:rPr>
        <w:t>年7月实施。</w:t>
      </w:r>
    </w:p>
    <w:p w:rsidR="00092652" w:rsidRDefault="0039522B">
      <w:pPr>
        <w:spacing w:line="520" w:lineRule="exact"/>
        <w:ind w:firstLineChars="200" w:firstLine="562"/>
        <w:rPr>
          <w:rFonts w:ascii="宋体" w:hAnsi="宋体"/>
          <w:b/>
          <w:sz w:val="28"/>
          <w:szCs w:val="28"/>
        </w:rPr>
      </w:pPr>
      <w:r>
        <w:rPr>
          <w:rFonts w:ascii="宋体" w:hAnsi="宋体"/>
          <w:b/>
          <w:sz w:val="28"/>
          <w:szCs w:val="28"/>
        </w:rPr>
        <w:t>3</w:t>
      </w:r>
      <w:r>
        <w:rPr>
          <w:rFonts w:ascii="宋体" w:hAnsi="宋体" w:hint="eastAsia"/>
          <w:b/>
          <w:sz w:val="28"/>
          <w:szCs w:val="28"/>
        </w:rPr>
        <w:t>、20</w:t>
      </w:r>
      <w:r>
        <w:rPr>
          <w:rFonts w:ascii="宋体" w:hAnsi="宋体"/>
          <w:b/>
          <w:sz w:val="28"/>
          <w:szCs w:val="28"/>
        </w:rPr>
        <w:t>20</w:t>
      </w:r>
      <w:r>
        <w:rPr>
          <w:rFonts w:ascii="宋体" w:hAnsi="宋体" w:hint="eastAsia"/>
          <w:b/>
          <w:sz w:val="28"/>
          <w:szCs w:val="28"/>
        </w:rPr>
        <w:t>年度</w:t>
      </w:r>
    </w:p>
    <w:p w:rsidR="00092652" w:rsidRDefault="0039522B">
      <w:pPr>
        <w:spacing w:line="520" w:lineRule="exact"/>
        <w:ind w:firstLineChars="200" w:firstLine="560"/>
        <w:rPr>
          <w:rFonts w:ascii="宋体" w:hAnsi="宋体"/>
          <w:sz w:val="28"/>
          <w:szCs w:val="28"/>
        </w:rPr>
      </w:pPr>
      <w:r>
        <w:rPr>
          <w:rFonts w:ascii="宋体" w:hAnsi="宋体"/>
          <w:sz w:val="28"/>
          <w:szCs w:val="28"/>
        </w:rPr>
        <w:t>2021</w:t>
      </w:r>
      <w:r>
        <w:rPr>
          <w:rFonts w:ascii="宋体" w:hAnsi="宋体" w:hint="eastAsia"/>
          <w:sz w:val="28"/>
          <w:szCs w:val="28"/>
        </w:rPr>
        <w:t>年</w:t>
      </w:r>
      <w:r>
        <w:rPr>
          <w:rFonts w:ascii="宋体" w:hAnsi="宋体"/>
          <w:sz w:val="28"/>
          <w:szCs w:val="28"/>
        </w:rPr>
        <w:t>3</w:t>
      </w:r>
      <w:r>
        <w:rPr>
          <w:rFonts w:ascii="宋体" w:hAnsi="宋体" w:hint="eastAsia"/>
          <w:sz w:val="28"/>
          <w:szCs w:val="28"/>
        </w:rPr>
        <w:t>月3</w:t>
      </w:r>
      <w:r>
        <w:rPr>
          <w:rFonts w:ascii="宋体" w:hAnsi="宋体"/>
          <w:sz w:val="28"/>
          <w:szCs w:val="28"/>
        </w:rPr>
        <w:t>0</w:t>
      </w:r>
      <w:r>
        <w:rPr>
          <w:rFonts w:ascii="宋体" w:hAnsi="宋体" w:hint="eastAsia"/>
          <w:sz w:val="28"/>
          <w:szCs w:val="28"/>
        </w:rPr>
        <w:t>日公司第九届董事会第二十七次会议审议通过</w:t>
      </w:r>
      <w:r>
        <w:rPr>
          <w:rFonts w:ascii="宋体" w:hAnsi="宋体"/>
          <w:sz w:val="28"/>
          <w:szCs w:val="28"/>
        </w:rPr>
        <w:t>2020</w:t>
      </w:r>
      <w:r>
        <w:rPr>
          <w:rFonts w:ascii="宋体" w:hAnsi="宋体" w:hint="eastAsia"/>
          <w:sz w:val="28"/>
          <w:szCs w:val="28"/>
        </w:rPr>
        <w:t>年度利润分配预案：公司</w:t>
      </w:r>
      <w:r>
        <w:rPr>
          <w:rFonts w:ascii="宋体" w:hAnsi="宋体"/>
          <w:sz w:val="28"/>
          <w:szCs w:val="28"/>
        </w:rPr>
        <w:t>2020</w:t>
      </w:r>
      <w:r>
        <w:rPr>
          <w:rFonts w:ascii="宋体" w:hAnsi="宋体" w:hint="eastAsia"/>
          <w:sz w:val="28"/>
          <w:szCs w:val="28"/>
        </w:rPr>
        <w:t>年度实现归属于母公司股东净利润</w:t>
      </w:r>
      <w:r>
        <w:rPr>
          <w:rFonts w:ascii="宋体" w:hAnsi="宋体"/>
          <w:sz w:val="28"/>
          <w:szCs w:val="28"/>
        </w:rPr>
        <w:t>666</w:t>
      </w:r>
      <w:r>
        <w:rPr>
          <w:rFonts w:ascii="宋体" w:hAnsi="宋体" w:hint="eastAsia"/>
          <w:sz w:val="28"/>
          <w:szCs w:val="28"/>
        </w:rPr>
        <w:t>.</w:t>
      </w:r>
      <w:r>
        <w:rPr>
          <w:rFonts w:ascii="宋体" w:hAnsi="宋体"/>
          <w:sz w:val="28"/>
          <w:szCs w:val="28"/>
        </w:rPr>
        <w:t>26</w:t>
      </w:r>
      <w:r>
        <w:rPr>
          <w:rFonts w:ascii="宋体" w:hAnsi="宋体" w:hint="eastAsia"/>
          <w:sz w:val="28"/>
          <w:szCs w:val="28"/>
        </w:rPr>
        <w:t>亿元，以普通股总股本</w:t>
      </w:r>
      <w:r>
        <w:rPr>
          <w:rFonts w:ascii="宋体" w:hAnsi="宋体"/>
          <w:sz w:val="28"/>
          <w:szCs w:val="28"/>
        </w:rPr>
        <w:t>207.74</w:t>
      </w:r>
      <w:r>
        <w:rPr>
          <w:rFonts w:ascii="宋体" w:hAnsi="宋体" w:hint="eastAsia"/>
          <w:sz w:val="28"/>
          <w:szCs w:val="28"/>
        </w:rPr>
        <w:t>亿股为基数，每</w:t>
      </w:r>
      <w:r>
        <w:rPr>
          <w:rFonts w:ascii="宋体" w:hAnsi="宋体"/>
          <w:sz w:val="28"/>
          <w:szCs w:val="28"/>
        </w:rPr>
        <w:t>10</w:t>
      </w:r>
      <w:r>
        <w:rPr>
          <w:rFonts w:ascii="宋体" w:hAnsi="宋体" w:hint="eastAsia"/>
          <w:sz w:val="28"/>
          <w:szCs w:val="28"/>
        </w:rPr>
        <w:t>股普通股派发现金股利8.02元（含税），合计分配现金红利166.61亿元；根据已发行的优先股面值、年股息率与计息期间，</w:t>
      </w:r>
      <w:r>
        <w:rPr>
          <w:rFonts w:ascii="宋体" w:hAnsi="宋体"/>
          <w:sz w:val="28"/>
          <w:szCs w:val="28"/>
        </w:rPr>
        <w:t>2020</w:t>
      </w:r>
      <w:r>
        <w:rPr>
          <w:rFonts w:ascii="宋体" w:hAnsi="宋体" w:hint="eastAsia"/>
          <w:sz w:val="28"/>
          <w:szCs w:val="28"/>
        </w:rPr>
        <w:t>年度“兴业优</w:t>
      </w:r>
      <w:r>
        <w:rPr>
          <w:rFonts w:ascii="宋体" w:hAnsi="宋体"/>
          <w:sz w:val="28"/>
          <w:szCs w:val="28"/>
        </w:rPr>
        <w:t>1”</w:t>
      </w:r>
      <w:r>
        <w:rPr>
          <w:rFonts w:ascii="宋体" w:hAnsi="宋体" w:hint="eastAsia"/>
          <w:sz w:val="28"/>
          <w:szCs w:val="28"/>
        </w:rPr>
        <w:t>（优先股代码：</w:t>
      </w:r>
      <w:r>
        <w:rPr>
          <w:rFonts w:ascii="宋体" w:hAnsi="宋体"/>
          <w:sz w:val="28"/>
          <w:szCs w:val="28"/>
        </w:rPr>
        <w:t>360005</w:t>
      </w:r>
      <w:r>
        <w:rPr>
          <w:rFonts w:ascii="宋体" w:hAnsi="宋体" w:hint="eastAsia"/>
          <w:sz w:val="28"/>
          <w:szCs w:val="28"/>
        </w:rPr>
        <w:t>）每股派发现金股息</w:t>
      </w:r>
      <w:r>
        <w:rPr>
          <w:rFonts w:ascii="宋体" w:hAnsi="宋体"/>
          <w:sz w:val="28"/>
          <w:szCs w:val="28"/>
        </w:rPr>
        <w:t>5</w:t>
      </w:r>
      <w:r>
        <w:rPr>
          <w:rFonts w:ascii="宋体" w:hAnsi="宋体" w:hint="eastAsia"/>
          <w:sz w:val="28"/>
          <w:szCs w:val="28"/>
        </w:rPr>
        <w:t>.</w:t>
      </w:r>
      <w:r>
        <w:rPr>
          <w:rFonts w:ascii="宋体" w:hAnsi="宋体"/>
          <w:sz w:val="28"/>
          <w:szCs w:val="28"/>
        </w:rPr>
        <w:t>55</w:t>
      </w:r>
      <w:r>
        <w:rPr>
          <w:rFonts w:ascii="宋体" w:hAnsi="宋体" w:hint="eastAsia"/>
          <w:sz w:val="28"/>
          <w:szCs w:val="28"/>
        </w:rPr>
        <w:t>元（含税），“兴业优</w:t>
      </w:r>
      <w:r>
        <w:rPr>
          <w:rFonts w:ascii="宋体" w:hAnsi="宋体"/>
          <w:sz w:val="28"/>
          <w:szCs w:val="28"/>
        </w:rPr>
        <w:t>2”</w:t>
      </w:r>
      <w:r>
        <w:rPr>
          <w:rFonts w:ascii="宋体" w:hAnsi="宋体" w:hint="eastAsia"/>
          <w:sz w:val="28"/>
          <w:szCs w:val="28"/>
        </w:rPr>
        <w:t>（优先股代码：</w:t>
      </w:r>
      <w:r>
        <w:rPr>
          <w:rFonts w:ascii="宋体" w:hAnsi="宋体"/>
          <w:sz w:val="28"/>
          <w:szCs w:val="28"/>
        </w:rPr>
        <w:t>360012</w:t>
      </w:r>
      <w:r>
        <w:rPr>
          <w:rFonts w:ascii="宋体" w:hAnsi="宋体" w:hint="eastAsia"/>
          <w:sz w:val="28"/>
          <w:szCs w:val="28"/>
        </w:rPr>
        <w:t>）每股派发现金股息</w:t>
      </w:r>
      <w:r>
        <w:rPr>
          <w:rFonts w:ascii="宋体" w:hAnsi="宋体"/>
          <w:sz w:val="28"/>
          <w:szCs w:val="28"/>
        </w:rPr>
        <w:t>4.9982</w:t>
      </w:r>
      <w:r>
        <w:rPr>
          <w:rFonts w:ascii="宋体" w:hAnsi="宋体" w:hint="eastAsia"/>
          <w:sz w:val="28"/>
          <w:szCs w:val="28"/>
        </w:rPr>
        <w:t>元（含税），“兴业优3”（优先股代码：</w:t>
      </w:r>
      <w:r>
        <w:rPr>
          <w:rFonts w:ascii="宋体" w:hAnsi="宋体"/>
          <w:sz w:val="28"/>
          <w:szCs w:val="28"/>
        </w:rPr>
        <w:t>360032</w:t>
      </w:r>
      <w:r>
        <w:rPr>
          <w:rFonts w:ascii="宋体" w:hAnsi="宋体" w:hint="eastAsia"/>
          <w:sz w:val="28"/>
          <w:szCs w:val="28"/>
        </w:rPr>
        <w:t>）每股派发现金股息</w:t>
      </w:r>
      <w:r>
        <w:rPr>
          <w:rFonts w:ascii="宋体" w:hAnsi="宋体"/>
          <w:sz w:val="28"/>
          <w:szCs w:val="28"/>
        </w:rPr>
        <w:t>4</w:t>
      </w:r>
      <w:r>
        <w:rPr>
          <w:rFonts w:ascii="宋体" w:hAnsi="宋体" w:hint="eastAsia"/>
          <w:sz w:val="28"/>
          <w:szCs w:val="28"/>
        </w:rPr>
        <w:t>.</w:t>
      </w:r>
      <w:r>
        <w:rPr>
          <w:rFonts w:ascii="宋体" w:hAnsi="宋体"/>
          <w:sz w:val="28"/>
          <w:szCs w:val="28"/>
        </w:rPr>
        <w:t>90</w:t>
      </w:r>
      <w:r>
        <w:rPr>
          <w:rFonts w:ascii="宋体" w:hAnsi="宋体" w:hint="eastAsia"/>
          <w:sz w:val="28"/>
          <w:szCs w:val="28"/>
        </w:rPr>
        <w:t>元，合计派发优先股现金股息</w:t>
      </w:r>
      <w:r>
        <w:rPr>
          <w:rFonts w:ascii="宋体" w:hAnsi="宋体"/>
          <w:sz w:val="28"/>
          <w:szCs w:val="28"/>
        </w:rPr>
        <w:t>28</w:t>
      </w:r>
      <w:r>
        <w:rPr>
          <w:rFonts w:ascii="宋体" w:hAnsi="宋体" w:hint="eastAsia"/>
          <w:sz w:val="28"/>
          <w:szCs w:val="28"/>
        </w:rPr>
        <w:t>.</w:t>
      </w:r>
      <w:r>
        <w:rPr>
          <w:rFonts w:ascii="宋体" w:hAnsi="宋体"/>
          <w:sz w:val="28"/>
          <w:szCs w:val="28"/>
        </w:rPr>
        <w:t>41</w:t>
      </w:r>
      <w:r>
        <w:rPr>
          <w:rFonts w:ascii="宋体" w:hAnsi="宋体" w:hint="eastAsia"/>
          <w:sz w:val="28"/>
          <w:szCs w:val="28"/>
        </w:rPr>
        <w:t>亿元；结余未分配利润结转下年度。</w:t>
      </w:r>
    </w:p>
    <w:p w:rsidR="00092652" w:rsidRDefault="0039522B">
      <w:pPr>
        <w:spacing w:line="520" w:lineRule="exact"/>
        <w:ind w:firstLineChars="200" w:firstLine="560"/>
        <w:rPr>
          <w:rFonts w:ascii="宋体" w:hAnsi="宋体"/>
          <w:sz w:val="28"/>
          <w:szCs w:val="28"/>
        </w:rPr>
      </w:pPr>
      <w:r>
        <w:rPr>
          <w:rFonts w:ascii="宋体" w:hAnsi="宋体" w:hint="eastAsia"/>
          <w:sz w:val="28"/>
          <w:szCs w:val="28"/>
        </w:rPr>
        <w:t>以上利润分配预案尚需股东大会审议通过后方可实施。</w:t>
      </w:r>
    </w:p>
    <w:p w:rsidR="00092652" w:rsidRDefault="0039522B">
      <w:pPr>
        <w:spacing w:line="520" w:lineRule="exact"/>
        <w:ind w:firstLineChars="200" w:firstLine="562"/>
        <w:rPr>
          <w:rFonts w:ascii="宋体" w:hAnsi="宋体"/>
          <w:b/>
          <w:sz w:val="28"/>
          <w:szCs w:val="28"/>
        </w:rPr>
      </w:pPr>
      <w:r>
        <w:rPr>
          <w:rFonts w:ascii="宋体" w:hAnsi="宋体" w:hint="eastAsia"/>
          <w:b/>
          <w:sz w:val="28"/>
          <w:szCs w:val="28"/>
        </w:rPr>
        <w:lastRenderedPageBreak/>
        <w:t>（二）未分配利润使用情况</w:t>
      </w:r>
    </w:p>
    <w:p w:rsidR="00092652" w:rsidRDefault="0039522B">
      <w:pPr>
        <w:spacing w:line="520" w:lineRule="exact"/>
        <w:ind w:firstLineChars="200" w:firstLine="560"/>
        <w:rPr>
          <w:rFonts w:ascii="宋体" w:hAnsi="宋体"/>
          <w:sz w:val="28"/>
          <w:szCs w:val="28"/>
        </w:rPr>
      </w:pPr>
      <w:r>
        <w:rPr>
          <w:rFonts w:ascii="宋体" w:hAnsi="宋体" w:hint="eastAsia"/>
          <w:sz w:val="28"/>
          <w:szCs w:val="28"/>
        </w:rPr>
        <w:t>公司</w:t>
      </w:r>
      <w:r>
        <w:rPr>
          <w:rFonts w:ascii="宋体" w:hAnsi="宋体"/>
          <w:sz w:val="28"/>
          <w:szCs w:val="28"/>
        </w:rPr>
        <w:t>2018</w:t>
      </w:r>
      <w:r>
        <w:rPr>
          <w:rFonts w:ascii="宋体" w:hAnsi="宋体" w:hint="eastAsia"/>
          <w:sz w:val="28"/>
          <w:szCs w:val="28"/>
        </w:rPr>
        <w:t>-</w:t>
      </w:r>
      <w:r>
        <w:rPr>
          <w:rFonts w:ascii="宋体" w:hAnsi="宋体"/>
          <w:sz w:val="28"/>
          <w:szCs w:val="28"/>
        </w:rPr>
        <w:t>2020</w:t>
      </w:r>
      <w:r>
        <w:rPr>
          <w:rFonts w:ascii="宋体" w:hAnsi="宋体" w:hint="eastAsia"/>
          <w:sz w:val="28"/>
          <w:szCs w:val="28"/>
        </w:rPr>
        <w:t>年度未分配利润全部用于补充公司核心一级资本，支持公司各项业务持续健康发展。</w:t>
      </w:r>
    </w:p>
    <w:p w:rsidR="00092652" w:rsidRDefault="0039522B">
      <w:pPr>
        <w:spacing w:line="520" w:lineRule="exact"/>
        <w:ind w:firstLineChars="200" w:firstLine="562"/>
        <w:rPr>
          <w:rFonts w:ascii="宋体" w:hAnsi="宋体"/>
          <w:b/>
          <w:sz w:val="28"/>
          <w:szCs w:val="28"/>
        </w:rPr>
      </w:pPr>
      <w:r>
        <w:rPr>
          <w:rFonts w:ascii="宋体" w:hAnsi="宋体"/>
          <w:b/>
          <w:sz w:val="28"/>
          <w:szCs w:val="28"/>
        </w:rPr>
        <w:t>四、2021-2023年股东回报规划</w:t>
      </w:r>
    </w:p>
    <w:p w:rsidR="00092652" w:rsidRDefault="0039522B">
      <w:pPr>
        <w:spacing w:line="520" w:lineRule="exact"/>
        <w:ind w:firstLineChars="200" w:firstLine="560"/>
        <w:rPr>
          <w:rFonts w:ascii="宋体" w:hAnsi="宋体"/>
          <w:sz w:val="28"/>
          <w:szCs w:val="28"/>
        </w:rPr>
      </w:pPr>
      <w:r>
        <w:rPr>
          <w:rFonts w:ascii="宋体" w:hAnsi="宋体" w:hint="eastAsia"/>
          <w:sz w:val="28"/>
          <w:szCs w:val="28"/>
        </w:rPr>
        <w:t>（一）保持现金分红政策的一致性、合理性和稳定性，保证现金分红信息披露的真实性。</w:t>
      </w:r>
    </w:p>
    <w:p w:rsidR="00092652" w:rsidRDefault="0039522B">
      <w:pPr>
        <w:spacing w:line="520" w:lineRule="exact"/>
        <w:ind w:firstLineChars="200" w:firstLine="560"/>
        <w:rPr>
          <w:rFonts w:ascii="宋体" w:hAnsi="宋体"/>
          <w:sz w:val="28"/>
          <w:szCs w:val="28"/>
        </w:rPr>
      </w:pPr>
      <w:r>
        <w:rPr>
          <w:rFonts w:ascii="宋体" w:hAnsi="宋体" w:hint="eastAsia"/>
          <w:sz w:val="28"/>
          <w:szCs w:val="28"/>
        </w:rPr>
        <w:t>（二）按照相关法律法规、监管机构的有关要求和《公司章程》的相关规定，公司可以采用现金或股票或二者相结合的方式分配股利，在有条件的情况下，公司董事会可以根据公司的经营情况提议公司进行中期现金分红。</w:t>
      </w:r>
    </w:p>
    <w:p w:rsidR="00092652" w:rsidRDefault="0039522B">
      <w:pPr>
        <w:spacing w:line="520" w:lineRule="exact"/>
        <w:ind w:firstLineChars="200" w:firstLine="560"/>
        <w:rPr>
          <w:rFonts w:ascii="宋体" w:hAnsi="宋体"/>
          <w:sz w:val="28"/>
          <w:szCs w:val="28"/>
        </w:rPr>
      </w:pPr>
      <w:r>
        <w:rPr>
          <w:rFonts w:ascii="宋体" w:hAnsi="宋体" w:hint="eastAsia"/>
          <w:sz w:val="28"/>
          <w:szCs w:val="28"/>
        </w:rPr>
        <w:t>（三）未来三年内（20</w:t>
      </w:r>
      <w:r>
        <w:rPr>
          <w:rFonts w:ascii="宋体" w:hAnsi="宋体"/>
          <w:sz w:val="28"/>
          <w:szCs w:val="28"/>
        </w:rPr>
        <w:t>21</w:t>
      </w:r>
      <w:r>
        <w:rPr>
          <w:rFonts w:ascii="宋体" w:hAnsi="宋体" w:hint="eastAsia"/>
          <w:sz w:val="28"/>
          <w:szCs w:val="28"/>
        </w:rPr>
        <w:t>-20</w:t>
      </w:r>
      <w:r>
        <w:rPr>
          <w:rFonts w:ascii="宋体" w:hAnsi="宋体"/>
          <w:sz w:val="28"/>
          <w:szCs w:val="28"/>
        </w:rPr>
        <w:t>23</w:t>
      </w:r>
      <w:r>
        <w:rPr>
          <w:rFonts w:ascii="宋体" w:hAnsi="宋体" w:hint="eastAsia"/>
          <w:sz w:val="28"/>
          <w:szCs w:val="28"/>
        </w:rPr>
        <w:t>年度），在符合监管部门</w:t>
      </w:r>
      <w:r>
        <w:rPr>
          <w:rFonts w:ascii="宋体" w:hAnsi="宋体"/>
          <w:sz w:val="28"/>
          <w:szCs w:val="28"/>
        </w:rPr>
        <w:t>利润</w:t>
      </w:r>
      <w:r>
        <w:rPr>
          <w:rFonts w:ascii="宋体" w:hAnsi="宋体" w:hint="eastAsia"/>
          <w:sz w:val="28"/>
          <w:szCs w:val="28"/>
        </w:rPr>
        <w:t>分配政策并确保公司资本充足率满足监管要求的前提下，每一年度实现的盈利在依法弥补亏损、提取法定公积金和一般准备、支付优先股股息、支付无固定期限资本债券利息后有可分配利润的，可向普通股股东分配现金股利，且以现金方式分配的利润不少于当年度实现的可分配利润的2</w:t>
      </w:r>
      <w:r>
        <w:rPr>
          <w:rFonts w:ascii="宋体" w:hAnsi="宋体"/>
          <w:sz w:val="28"/>
          <w:szCs w:val="28"/>
        </w:rPr>
        <w:t>5</w:t>
      </w:r>
      <w:r>
        <w:rPr>
          <w:rFonts w:ascii="宋体" w:hAnsi="宋体" w:hint="eastAsia"/>
          <w:sz w:val="28"/>
          <w:szCs w:val="28"/>
        </w:rPr>
        <w:t>%（含2</w:t>
      </w:r>
      <w:r>
        <w:rPr>
          <w:rFonts w:ascii="宋体" w:hAnsi="宋体"/>
          <w:sz w:val="28"/>
          <w:szCs w:val="28"/>
        </w:rPr>
        <w:t>5</w:t>
      </w:r>
      <w:r>
        <w:rPr>
          <w:rFonts w:ascii="宋体" w:hAnsi="宋体" w:hint="eastAsia"/>
          <w:sz w:val="28"/>
          <w:szCs w:val="28"/>
        </w:rPr>
        <w:t>%）。</w:t>
      </w:r>
    </w:p>
    <w:p w:rsidR="00092652" w:rsidRDefault="0039522B">
      <w:pPr>
        <w:spacing w:line="520" w:lineRule="exact"/>
        <w:ind w:firstLineChars="200" w:firstLine="560"/>
        <w:rPr>
          <w:rFonts w:ascii="宋体" w:hAnsi="宋体"/>
          <w:sz w:val="28"/>
          <w:szCs w:val="28"/>
        </w:rPr>
      </w:pPr>
      <w:r>
        <w:rPr>
          <w:rFonts w:ascii="宋体" w:hAnsi="宋体" w:hint="eastAsia"/>
          <w:sz w:val="28"/>
          <w:szCs w:val="28"/>
        </w:rPr>
        <w:t>（四）在满足上述现金股利分配的基础上，为充分兼顾股东分红回报需求，公司可根据公司发展情况提出股票股利分配预案并在股东大会审议批准后实施。</w:t>
      </w:r>
    </w:p>
    <w:p w:rsidR="00092652" w:rsidRDefault="0039522B">
      <w:pPr>
        <w:spacing w:line="520" w:lineRule="exact"/>
        <w:ind w:firstLineChars="200" w:firstLine="560"/>
        <w:rPr>
          <w:rFonts w:ascii="宋体" w:hAnsi="宋体"/>
          <w:sz w:val="28"/>
          <w:szCs w:val="28"/>
        </w:rPr>
      </w:pPr>
      <w:r>
        <w:rPr>
          <w:rFonts w:ascii="宋体" w:hAnsi="宋体" w:hint="eastAsia"/>
          <w:sz w:val="28"/>
          <w:szCs w:val="28"/>
        </w:rPr>
        <w:t>（五）未来三年内（</w:t>
      </w:r>
      <w:bookmarkStart w:id="30" w:name="_Hlk54761918"/>
      <w:r>
        <w:rPr>
          <w:rFonts w:ascii="宋体" w:hAnsi="宋体" w:hint="eastAsia"/>
          <w:sz w:val="28"/>
          <w:szCs w:val="28"/>
        </w:rPr>
        <w:t>20</w:t>
      </w:r>
      <w:r>
        <w:rPr>
          <w:rFonts w:ascii="宋体" w:hAnsi="宋体"/>
          <w:sz w:val="28"/>
          <w:szCs w:val="28"/>
        </w:rPr>
        <w:t>21</w:t>
      </w:r>
      <w:r>
        <w:rPr>
          <w:rFonts w:ascii="宋体" w:hAnsi="宋体" w:hint="eastAsia"/>
          <w:sz w:val="28"/>
          <w:szCs w:val="28"/>
        </w:rPr>
        <w:t>-20</w:t>
      </w:r>
      <w:r>
        <w:rPr>
          <w:rFonts w:ascii="宋体" w:hAnsi="宋体"/>
          <w:sz w:val="28"/>
          <w:szCs w:val="28"/>
        </w:rPr>
        <w:t>23</w:t>
      </w:r>
      <w:bookmarkEnd w:id="30"/>
      <w:r>
        <w:rPr>
          <w:rFonts w:ascii="宋体" w:hAnsi="宋体" w:hint="eastAsia"/>
          <w:sz w:val="28"/>
          <w:szCs w:val="28"/>
        </w:rPr>
        <w:t>年度），在确保公司资本充足率满足监管要求的前提下，当公司采用现金或股票或二者相结合的方式分配股利时，现金分红方式在当年度利润分配中的比例不低于40%（含4</w:t>
      </w:r>
      <w:r>
        <w:rPr>
          <w:rFonts w:ascii="宋体" w:hAnsi="宋体"/>
          <w:sz w:val="28"/>
          <w:szCs w:val="28"/>
        </w:rPr>
        <w:t>0</w:t>
      </w:r>
      <w:r>
        <w:rPr>
          <w:rFonts w:ascii="宋体" w:hAnsi="宋体" w:hint="eastAsia"/>
          <w:sz w:val="28"/>
          <w:szCs w:val="28"/>
        </w:rPr>
        <w:t>%）。</w:t>
      </w:r>
    </w:p>
    <w:p w:rsidR="00092652" w:rsidRDefault="0039522B">
      <w:pPr>
        <w:spacing w:line="520" w:lineRule="exact"/>
        <w:ind w:firstLineChars="200" w:firstLine="562"/>
        <w:rPr>
          <w:rFonts w:ascii="宋体" w:hAnsi="宋体"/>
          <w:b/>
          <w:sz w:val="28"/>
          <w:szCs w:val="28"/>
        </w:rPr>
      </w:pPr>
      <w:r>
        <w:rPr>
          <w:rFonts w:ascii="宋体" w:hAnsi="宋体"/>
          <w:b/>
          <w:sz w:val="28"/>
          <w:szCs w:val="28"/>
        </w:rPr>
        <w:t>五、本规划制定、执行和调整的决策及监督机制</w:t>
      </w:r>
    </w:p>
    <w:p w:rsidR="00092652" w:rsidRDefault="0039522B">
      <w:pPr>
        <w:spacing w:line="520" w:lineRule="exact"/>
        <w:ind w:firstLineChars="200" w:firstLine="560"/>
        <w:rPr>
          <w:rFonts w:ascii="宋体" w:hAnsi="宋体"/>
          <w:sz w:val="28"/>
          <w:szCs w:val="28"/>
        </w:rPr>
      </w:pPr>
      <w:r>
        <w:rPr>
          <w:rFonts w:ascii="宋体" w:hAnsi="宋体" w:hint="eastAsia"/>
          <w:sz w:val="28"/>
          <w:szCs w:val="28"/>
        </w:rPr>
        <w:t>（一）</w:t>
      </w:r>
      <w:r>
        <w:rPr>
          <w:rFonts w:ascii="宋体" w:hAnsi="宋体"/>
          <w:sz w:val="28"/>
          <w:szCs w:val="28"/>
        </w:rPr>
        <w:t>公司董事会根据相关法律法规、监管要求、《公司章程》及具体情况制定本规划，充分听取股东（特别是中小股东）、独立董</w:t>
      </w:r>
      <w:r>
        <w:rPr>
          <w:rFonts w:ascii="宋体" w:hAnsi="宋体"/>
          <w:sz w:val="28"/>
          <w:szCs w:val="28"/>
        </w:rPr>
        <w:lastRenderedPageBreak/>
        <w:t>事和监事会的意见，经董事会审议通过后，提交股东大会审议通过后实施。</w:t>
      </w:r>
    </w:p>
    <w:p w:rsidR="00092652" w:rsidRDefault="0039522B">
      <w:pPr>
        <w:spacing w:line="520" w:lineRule="exact"/>
        <w:ind w:firstLineChars="200" w:firstLine="560"/>
        <w:rPr>
          <w:rFonts w:ascii="宋体" w:hAnsi="宋体"/>
          <w:sz w:val="28"/>
          <w:szCs w:val="28"/>
        </w:rPr>
      </w:pPr>
      <w:r>
        <w:rPr>
          <w:rFonts w:ascii="宋体" w:hAnsi="宋体" w:hint="eastAsia"/>
          <w:sz w:val="28"/>
          <w:szCs w:val="28"/>
        </w:rPr>
        <w:t>（二）</w:t>
      </w:r>
      <w:r>
        <w:rPr>
          <w:rFonts w:ascii="宋体" w:hAnsi="宋体"/>
          <w:sz w:val="28"/>
          <w:szCs w:val="28"/>
        </w:rPr>
        <w:t>根据行业监管政策、外部监管环境变化以及公司战略规划、经营情况、综合经营和长期发展需要，确需调整公司利润分配政策的，调整后的利润分配政策不得违反有关法律法规、中国银</w:t>
      </w:r>
      <w:r>
        <w:rPr>
          <w:rFonts w:ascii="宋体" w:hAnsi="宋体" w:hint="eastAsia"/>
          <w:sz w:val="28"/>
          <w:szCs w:val="28"/>
        </w:rPr>
        <w:t>保</w:t>
      </w:r>
      <w:r>
        <w:rPr>
          <w:rFonts w:ascii="宋体" w:hAnsi="宋体"/>
          <w:sz w:val="28"/>
          <w:szCs w:val="28"/>
        </w:rPr>
        <w:t>监会和中国证监会等监管机构的有关规定以及《公司章程》，有关利润分配政策调整的议案应充分考虑中小股东的意见，并事先征求独立董事及监事会的意见，经公司董事会详细论证后形成议案提交股东大会批准，并经出席股东大会的股东所持表决权的三分之二以上通过。</w:t>
      </w:r>
    </w:p>
    <w:p w:rsidR="00092652" w:rsidRDefault="0039522B">
      <w:pPr>
        <w:spacing w:line="520" w:lineRule="exact"/>
        <w:ind w:firstLineChars="200" w:firstLine="560"/>
        <w:rPr>
          <w:rFonts w:ascii="宋体" w:hAnsi="宋体"/>
          <w:sz w:val="28"/>
          <w:szCs w:val="28"/>
        </w:rPr>
      </w:pPr>
      <w:r>
        <w:rPr>
          <w:rFonts w:ascii="宋体" w:hAnsi="宋体" w:hint="eastAsia"/>
          <w:sz w:val="28"/>
          <w:szCs w:val="28"/>
        </w:rPr>
        <w:t>（三）</w:t>
      </w:r>
      <w:r>
        <w:rPr>
          <w:rFonts w:ascii="宋体" w:hAnsi="宋体"/>
          <w:sz w:val="28"/>
          <w:szCs w:val="28"/>
        </w:rPr>
        <w:t>公司在上一年度实现盈利，但公司董事会在上一会计年度结束后未提出现金利润分配预案的，应当在定期报告中详细说明未分红的原因、未用于分红的资金留存公司的用途，独立董事应当对此发表独立意见。</w:t>
      </w:r>
    </w:p>
    <w:p w:rsidR="00092652" w:rsidRDefault="0039522B">
      <w:pPr>
        <w:spacing w:line="520" w:lineRule="exact"/>
        <w:ind w:firstLineChars="200" w:firstLine="560"/>
        <w:rPr>
          <w:rFonts w:ascii="宋体" w:hAnsi="宋体"/>
          <w:sz w:val="28"/>
          <w:szCs w:val="28"/>
        </w:rPr>
      </w:pPr>
      <w:r>
        <w:rPr>
          <w:rFonts w:ascii="宋体" w:hAnsi="宋体" w:hint="eastAsia"/>
          <w:sz w:val="28"/>
          <w:szCs w:val="28"/>
        </w:rPr>
        <w:t>（四）</w:t>
      </w:r>
      <w:r>
        <w:rPr>
          <w:rFonts w:ascii="宋体" w:hAnsi="宋体"/>
          <w:sz w:val="28"/>
          <w:szCs w:val="28"/>
        </w:rPr>
        <w:t>公司董事会和管理层执行本规划及利润分配政策的情况及决策程序，接受监事会和监管机构的监督。</w:t>
      </w:r>
    </w:p>
    <w:p w:rsidR="00092652" w:rsidRDefault="0039522B">
      <w:pPr>
        <w:spacing w:line="520" w:lineRule="exact"/>
        <w:ind w:firstLineChars="200" w:firstLine="562"/>
        <w:rPr>
          <w:rFonts w:ascii="宋体" w:hAnsi="宋体"/>
          <w:b/>
          <w:sz w:val="28"/>
          <w:szCs w:val="28"/>
        </w:rPr>
      </w:pPr>
      <w:r>
        <w:rPr>
          <w:rFonts w:ascii="宋体" w:hAnsi="宋体" w:hint="eastAsia"/>
          <w:b/>
          <w:sz w:val="28"/>
          <w:szCs w:val="28"/>
        </w:rPr>
        <w:t>六、本规划的生效机制</w:t>
      </w:r>
    </w:p>
    <w:p w:rsidR="00092652" w:rsidRDefault="0039522B">
      <w:pPr>
        <w:spacing w:line="520" w:lineRule="exact"/>
        <w:ind w:firstLineChars="200" w:firstLine="560"/>
        <w:rPr>
          <w:rFonts w:ascii="宋体" w:hAnsi="宋体"/>
          <w:sz w:val="28"/>
          <w:szCs w:val="28"/>
        </w:rPr>
      </w:pPr>
      <w:r>
        <w:rPr>
          <w:rFonts w:ascii="宋体" w:hAnsi="宋体" w:hint="eastAsia"/>
          <w:sz w:val="28"/>
          <w:szCs w:val="28"/>
        </w:rPr>
        <w:t>本规划所述股东回报为普通股股东回报，优先股股东回报将根据《公司章程》及优先股发行方案的有关内容具体执行。本规划未尽事宜，依照相关法律法规、规范性文件及《公司章程》规定执行。本规划由公司董事会负责解释，自公司股东大会审议通过之日起实施。</w:t>
      </w:r>
    </w:p>
    <w:p w:rsidR="00092652" w:rsidRDefault="00092652">
      <w:pPr>
        <w:widowControl/>
        <w:spacing w:line="490" w:lineRule="exact"/>
        <w:ind w:firstLineChars="200" w:firstLine="600"/>
        <w:jc w:val="left"/>
        <w:rPr>
          <w:rFonts w:ascii="仿宋_GB2312" w:eastAsia="仿宋_GB2312" w:hAnsi="Calibri"/>
          <w:sz w:val="30"/>
          <w:szCs w:val="30"/>
        </w:rPr>
      </w:pPr>
    </w:p>
    <w:p w:rsidR="00092652" w:rsidRDefault="0039522B">
      <w:pPr>
        <w:widowControl/>
        <w:jc w:val="left"/>
        <w:rPr>
          <w:rFonts w:ascii="仿宋_GB2312" w:eastAsia="仿宋_GB2312" w:hAnsi="Calibri"/>
          <w:sz w:val="30"/>
          <w:szCs w:val="30"/>
        </w:rPr>
      </w:pPr>
      <w:r>
        <w:rPr>
          <w:rFonts w:ascii="仿宋_GB2312" w:eastAsia="仿宋_GB2312" w:hAnsi="Calibri"/>
          <w:sz w:val="30"/>
          <w:szCs w:val="30"/>
        </w:rPr>
        <w:br w:type="page"/>
      </w:r>
    </w:p>
    <w:p w:rsidR="00092652" w:rsidRDefault="00C4392E">
      <w:pPr>
        <w:tabs>
          <w:tab w:val="left" w:pos="416"/>
          <w:tab w:val="left" w:pos="1086"/>
          <w:tab w:val="center" w:pos="4156"/>
        </w:tabs>
        <w:spacing w:line="500" w:lineRule="exact"/>
        <w:ind w:firstLineChars="200" w:firstLine="640"/>
      </w:pPr>
      <w:r>
        <w:rPr>
          <w:rFonts w:ascii="黑体" w:eastAsia="黑体"/>
          <w:noProof/>
          <w:sz w:val="32"/>
          <w:szCs w:val="32"/>
        </w:rPr>
        <w:lastRenderedPageBreak/>
        <mc:AlternateContent>
          <mc:Choice Requires="wps">
            <w:drawing>
              <wp:anchor distT="0" distB="0" distL="114300" distR="114300" simplePos="0" relativeHeight="251678720" behindDoc="0" locked="0" layoutInCell="1" allowOverlap="1" wp14:anchorId="2EBA3FF6" wp14:editId="3A3487B3">
                <wp:simplePos x="0" y="0"/>
                <wp:positionH relativeFrom="column">
                  <wp:posOffset>-15875</wp:posOffset>
                </wp:positionH>
                <wp:positionV relativeFrom="paragraph">
                  <wp:posOffset>0</wp:posOffset>
                </wp:positionV>
                <wp:extent cx="1426210" cy="594360"/>
                <wp:effectExtent l="0" t="0" r="3175" b="0"/>
                <wp:wrapSquare wrapText="bothSides"/>
                <wp:docPr id="6" name="文本框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621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15BAA" w:rsidRDefault="00115BAA">
                            <w:pPr>
                              <w:spacing w:line="400" w:lineRule="exact"/>
                              <w:jc w:val="center"/>
                              <w:rPr>
                                <w:rFonts w:ascii="宋体"/>
                                <w:color w:val="000000"/>
                                <w:szCs w:val="21"/>
                              </w:rPr>
                            </w:pPr>
                            <w:r>
                              <w:rPr>
                                <w:rFonts w:ascii="宋体" w:hint="eastAsia"/>
                                <w:color w:val="000000"/>
                                <w:szCs w:val="21"/>
                              </w:rPr>
                              <w:t>2020年年度股东大会</w:t>
                            </w:r>
                          </w:p>
                          <w:p w:rsidR="00115BAA" w:rsidRDefault="00115BAA">
                            <w:pPr>
                              <w:spacing w:line="400" w:lineRule="exact"/>
                              <w:jc w:val="center"/>
                              <w:rPr>
                                <w:rFonts w:ascii="宋体"/>
                                <w:color w:val="000000"/>
                                <w:szCs w:val="21"/>
                              </w:rPr>
                            </w:pPr>
                            <w:r>
                              <w:rPr>
                                <w:rFonts w:ascii="宋体" w:hint="eastAsia"/>
                                <w:color w:val="000000"/>
                                <w:szCs w:val="21"/>
                              </w:rPr>
                              <w:t>文件十八　审议议案</w:t>
                            </w:r>
                          </w:p>
                          <w:p w:rsidR="00115BAA" w:rsidRDefault="00115BAA">
                            <w:pPr>
                              <w:rPr>
                                <w:szCs w:val="21"/>
                              </w:rPr>
                            </w:pPr>
                          </w:p>
                        </w:txbxContent>
                      </wps:txbx>
                      <wps:bodyPr wrap="none"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_x0000_s1044" type="#_x0000_t202" style="position:absolute;left:0;text-align:left;margin-left:-1.25pt;margin-top:0;width:112.3pt;height:46.8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">
                <v:path arrowok="t"/>
                <v:textbox>
                  <w:txbxContent>
                    <w:p w:rsidR="00115BAA" w:rsidRDefault="00115BAA">
                      <w:pPr>
                        <w:spacing w:line="400" w:lineRule="exact"/>
                        <w:jc w:val="center"/>
                        <w:rPr>
                          <w:rFonts w:ascii="宋体"/>
                          <w:color w:val="000000"/>
                          <w:szCs w:val="21"/>
                        </w:rPr>
                      </w:pPr>
                      <w:r>
                        <w:rPr>
                          <w:rFonts w:ascii="宋体" w:hint="eastAsia"/>
                          <w:color w:val="000000"/>
                          <w:szCs w:val="21"/>
                        </w:rPr>
                        <w:t>2020年年度股东大会</w:t>
                      </w:r>
                    </w:p>
                    <w:p w:rsidR="00115BAA" w:rsidRDefault="00115BAA">
                      <w:pPr>
                        <w:spacing w:line="400" w:lineRule="exact"/>
                        <w:jc w:val="center"/>
                        <w:rPr>
                          <w:rFonts w:ascii="宋体"/>
                          <w:color w:val="000000"/>
                          <w:szCs w:val="21"/>
                        </w:rPr>
                      </w:pPr>
                      <w:r>
                        <w:rPr>
                          <w:rFonts w:ascii="宋体" w:hint="eastAsia"/>
                          <w:color w:val="000000"/>
                          <w:szCs w:val="21"/>
                        </w:rPr>
                        <w:t>文件十八　审议议案</w:t>
                      </w:r>
                    </w:p>
                    <w:p w:rsidR="00115BAA" w:rsidRDefault="00115BAA">
                      <w:pPr>
                        <w:rPr>
                          <w:szCs w:val="21"/>
                        </w:rPr>
                      </w:pPr>
                    </w:p>
                  </w:txbxContent>
                </v:textbox>
                <w10:wrap type="square"/>
              </v:shape>
            </w:pict>
          </mc:Fallback>
        </mc:AlternateContent>
      </w:r>
    </w:p>
    <w:p w:rsidR="00092652" w:rsidRDefault="00092652">
      <w:pPr>
        <w:widowControl/>
        <w:spacing w:line="560" w:lineRule="exact"/>
        <w:jc w:val="center"/>
        <w:rPr>
          <w:rFonts w:ascii="黑体" w:eastAsia="黑体"/>
          <w:sz w:val="32"/>
          <w:szCs w:val="32"/>
        </w:rPr>
      </w:pPr>
    </w:p>
    <w:p w:rsidR="00092652" w:rsidRDefault="0039522B">
      <w:pPr>
        <w:widowControl/>
        <w:spacing w:line="520" w:lineRule="exact"/>
        <w:jc w:val="center"/>
        <w:rPr>
          <w:rFonts w:ascii="黑体" w:eastAsia="黑体"/>
          <w:sz w:val="32"/>
          <w:szCs w:val="32"/>
        </w:rPr>
      </w:pPr>
      <w:r>
        <w:rPr>
          <w:rFonts w:ascii="黑体" w:eastAsia="黑体" w:hint="eastAsia"/>
          <w:sz w:val="32"/>
          <w:szCs w:val="32"/>
        </w:rPr>
        <w:t>兴业银行股份有限公司</w:t>
      </w:r>
    </w:p>
    <w:p w:rsidR="00092652" w:rsidRDefault="0039522B">
      <w:pPr>
        <w:pStyle w:val="1"/>
        <w:tabs>
          <w:tab w:val="clear" w:pos="432"/>
        </w:tabs>
        <w:spacing w:before="0" w:after="0" w:line="520" w:lineRule="exact"/>
        <w:ind w:left="567" w:rightChars="290" w:right="609" w:firstLine="0"/>
        <w:rPr>
          <w:szCs w:val="32"/>
        </w:rPr>
      </w:pPr>
      <w:bookmarkStart w:id="31" w:name="_Toc72437665"/>
      <w:r>
        <w:rPr>
          <w:rFonts w:cs="黑体" w:hint="eastAsia"/>
          <w:szCs w:val="32"/>
        </w:rPr>
        <w:t>关于公开发行A股可转换公司债券摊薄即期回报及填补措施的议案</w:t>
      </w:r>
      <w:bookmarkEnd w:id="31"/>
    </w:p>
    <w:p w:rsidR="00092652" w:rsidRDefault="0039522B">
      <w:pPr>
        <w:overflowPunct w:val="0"/>
        <w:snapToGrid w:val="0"/>
        <w:spacing w:line="500" w:lineRule="exact"/>
        <w:jc w:val="center"/>
        <w:rPr>
          <w:rFonts w:asciiTheme="minorHAnsi" w:eastAsia="仿宋_GB2312" w:hAnsiTheme="minorHAnsi"/>
          <w:sz w:val="30"/>
          <w:szCs w:val="30"/>
        </w:rPr>
      </w:pPr>
      <w:r>
        <w:rPr>
          <w:rFonts w:asciiTheme="minorHAnsi" w:eastAsia="仿宋_GB2312" w:hAnsiTheme="minorHAnsi" w:hint="eastAsia"/>
          <w:sz w:val="30"/>
          <w:szCs w:val="30"/>
        </w:rPr>
        <w:t>报告人：赖富荣</w:t>
      </w:r>
    </w:p>
    <w:p w:rsidR="00092652" w:rsidRDefault="00092652">
      <w:pPr>
        <w:widowControl/>
        <w:jc w:val="left"/>
      </w:pPr>
    </w:p>
    <w:p w:rsidR="00092652" w:rsidRDefault="0039522B">
      <w:pPr>
        <w:overflowPunct w:val="0"/>
        <w:snapToGrid w:val="0"/>
        <w:spacing w:line="520" w:lineRule="exact"/>
        <w:rPr>
          <w:rFonts w:ascii="仿宋_GB2312" w:eastAsia="仿宋_GB2312" w:hAnsi="Calibri"/>
          <w:sz w:val="30"/>
          <w:szCs w:val="30"/>
        </w:rPr>
      </w:pPr>
      <w:r>
        <w:rPr>
          <w:rFonts w:ascii="仿宋_GB2312" w:eastAsia="仿宋_GB2312" w:hAnsi="Calibri" w:hint="eastAsia"/>
          <w:sz w:val="30"/>
          <w:szCs w:val="30"/>
        </w:rPr>
        <w:t>各位股东：</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根据《国务院办公厅关于进一步加强资本市场中小投资者合法权益保护工作的意见》（国办发[2013]110号）以及中国证券监督管理委员会《关于首发及再融资、重大资产重组摊薄即期回报有关事项的指导意见》（证监会公告[2015]31号），公司就本次公开发行A股可转换公司债券对摊薄即期回报的影响进行了分析，并编制了《兴业银行股份有限公司关于公开发行A股可转换公司债券摊薄即期回报及填补措施》。</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专此报告，请予审议。</w:t>
      </w:r>
    </w:p>
    <w:p w:rsidR="00092652" w:rsidRDefault="00092652">
      <w:pPr>
        <w:spacing w:line="520" w:lineRule="exact"/>
        <w:ind w:firstLineChars="200" w:firstLine="600"/>
        <w:rPr>
          <w:rFonts w:ascii="仿宋_GB2312" w:eastAsia="仿宋_GB2312"/>
          <w:sz w:val="30"/>
          <w:szCs w:val="30"/>
        </w:rPr>
      </w:pP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附件：兴业银行股份有限公司关于公开发行A股可转换公司债券摊薄即期回报及填补措施</w:t>
      </w:r>
    </w:p>
    <w:p w:rsidR="00092652" w:rsidRDefault="00092652">
      <w:pPr>
        <w:spacing w:line="500" w:lineRule="exact"/>
        <w:ind w:firstLineChars="200" w:firstLine="560"/>
        <w:rPr>
          <w:rFonts w:eastAsia="仿宋_GB2312"/>
          <w:sz w:val="28"/>
          <w:szCs w:val="28"/>
        </w:rPr>
      </w:pPr>
    </w:p>
    <w:p w:rsidR="00092652" w:rsidRDefault="00092652">
      <w:pPr>
        <w:spacing w:line="500" w:lineRule="exact"/>
        <w:ind w:firstLineChars="200" w:firstLine="560"/>
        <w:rPr>
          <w:rFonts w:eastAsia="仿宋_GB2312"/>
          <w:sz w:val="28"/>
          <w:szCs w:val="28"/>
        </w:rPr>
        <w:sectPr w:rsidR="00092652">
          <w:headerReference w:type="default" r:id="rId17"/>
          <w:footerReference w:type="default" r:id="rId18"/>
          <w:pgSz w:w="11906" w:h="16838"/>
          <w:pgMar w:top="1440" w:right="1800" w:bottom="1440" w:left="1800" w:header="851" w:footer="992" w:gutter="0"/>
          <w:cols w:space="425"/>
          <w:docGrid w:type="lines" w:linePitch="312"/>
        </w:sectPr>
      </w:pPr>
    </w:p>
    <w:p w:rsidR="00092652" w:rsidRDefault="0039522B">
      <w:pPr>
        <w:spacing w:line="360" w:lineRule="auto"/>
        <w:rPr>
          <w:rFonts w:eastAsia="仿宋_GB2312"/>
          <w:sz w:val="24"/>
          <w:szCs w:val="28"/>
        </w:rPr>
      </w:pPr>
      <w:r>
        <w:rPr>
          <w:rFonts w:ascii="仿宋_GB2312" w:eastAsia="仿宋_GB2312" w:hint="eastAsia"/>
          <w:sz w:val="30"/>
          <w:szCs w:val="30"/>
        </w:rPr>
        <w:lastRenderedPageBreak/>
        <w:t>附件</w:t>
      </w:r>
    </w:p>
    <w:p w:rsidR="00092652" w:rsidRDefault="0039522B">
      <w:pPr>
        <w:spacing w:before="50" w:after="50" w:line="520" w:lineRule="exact"/>
        <w:jc w:val="center"/>
        <w:rPr>
          <w:rFonts w:ascii="宋体" w:hAnsi="宋体"/>
          <w:b/>
          <w:bCs/>
          <w:sz w:val="30"/>
          <w:szCs w:val="30"/>
        </w:rPr>
      </w:pPr>
      <w:r>
        <w:rPr>
          <w:rFonts w:ascii="宋体" w:hAnsi="宋体"/>
          <w:b/>
          <w:bCs/>
          <w:sz w:val="30"/>
          <w:szCs w:val="30"/>
        </w:rPr>
        <w:t>兴业银行股份有限公司</w:t>
      </w:r>
    </w:p>
    <w:p w:rsidR="00092652" w:rsidRDefault="0039522B">
      <w:pPr>
        <w:spacing w:before="50" w:after="50" w:line="520" w:lineRule="exact"/>
        <w:jc w:val="center"/>
        <w:rPr>
          <w:rFonts w:ascii="宋体" w:hAnsi="宋体"/>
          <w:b/>
          <w:bCs/>
          <w:sz w:val="30"/>
          <w:szCs w:val="30"/>
        </w:rPr>
      </w:pPr>
      <w:r>
        <w:rPr>
          <w:rFonts w:ascii="宋体" w:hAnsi="宋体"/>
          <w:b/>
          <w:bCs/>
          <w:sz w:val="30"/>
          <w:szCs w:val="30"/>
        </w:rPr>
        <w:t>关于</w:t>
      </w:r>
      <w:r>
        <w:rPr>
          <w:rFonts w:ascii="宋体" w:hAnsi="宋体" w:hint="eastAsia"/>
          <w:b/>
          <w:bCs/>
          <w:sz w:val="30"/>
          <w:szCs w:val="30"/>
        </w:rPr>
        <w:t>公开发行A股可转换公司债券摊薄即期回报及填补措施</w:t>
      </w:r>
    </w:p>
    <w:p w:rsidR="00092652" w:rsidRDefault="00092652">
      <w:pPr>
        <w:spacing w:before="50" w:after="50" w:line="360" w:lineRule="auto"/>
        <w:rPr>
          <w:rFonts w:ascii="宋体" w:hAnsi="宋体"/>
          <w:b/>
          <w:sz w:val="28"/>
          <w:szCs w:val="30"/>
        </w:rPr>
      </w:pPr>
    </w:p>
    <w:p w:rsidR="00092652" w:rsidRDefault="0039522B">
      <w:pPr>
        <w:snapToGrid w:val="0"/>
        <w:spacing w:before="50" w:after="50" w:line="520" w:lineRule="exact"/>
        <w:ind w:firstLineChars="200" w:firstLine="560"/>
        <w:rPr>
          <w:rFonts w:ascii="宋体" w:hAnsi="宋体"/>
          <w:bCs/>
          <w:sz w:val="28"/>
          <w:szCs w:val="28"/>
        </w:rPr>
      </w:pPr>
      <w:r>
        <w:rPr>
          <w:rFonts w:ascii="宋体" w:hAnsi="宋体" w:hint="eastAsia"/>
          <w:bCs/>
          <w:sz w:val="28"/>
          <w:szCs w:val="28"/>
        </w:rPr>
        <w:t>兴业银行</w:t>
      </w:r>
      <w:r>
        <w:rPr>
          <w:rFonts w:ascii="宋体" w:hAnsi="宋体"/>
          <w:bCs/>
          <w:sz w:val="28"/>
          <w:szCs w:val="28"/>
        </w:rPr>
        <w:t>股份有限公司（以下简称“公司”）拟公开发行</w:t>
      </w:r>
      <w:r>
        <w:rPr>
          <w:rFonts w:ascii="宋体" w:hAnsi="宋体" w:hint="eastAsia"/>
          <w:bCs/>
          <w:sz w:val="28"/>
          <w:szCs w:val="28"/>
        </w:rPr>
        <w:t>不超过</w:t>
      </w:r>
      <w:r w:rsidR="00402663">
        <w:rPr>
          <w:rFonts w:ascii="宋体" w:hAnsi="宋体" w:hint="eastAsia"/>
          <w:bCs/>
          <w:sz w:val="28"/>
          <w:szCs w:val="28"/>
        </w:rPr>
        <w:t>人民币</w:t>
      </w:r>
      <w:r>
        <w:rPr>
          <w:rFonts w:ascii="宋体" w:hAnsi="宋体" w:hint="eastAsia"/>
          <w:bCs/>
          <w:sz w:val="28"/>
          <w:szCs w:val="28"/>
        </w:rPr>
        <w:t>500亿元的A股可转换公司债券</w:t>
      </w:r>
      <w:r>
        <w:rPr>
          <w:rFonts w:ascii="宋体" w:hAnsi="宋体"/>
          <w:bCs/>
          <w:sz w:val="28"/>
          <w:szCs w:val="28"/>
        </w:rPr>
        <w:t>（以下简称</w:t>
      </w:r>
      <w:r>
        <w:rPr>
          <w:rFonts w:ascii="宋体" w:hAnsi="宋体" w:hint="eastAsia"/>
          <w:bCs/>
          <w:sz w:val="28"/>
          <w:szCs w:val="28"/>
        </w:rPr>
        <w:t>“本次发行”</w:t>
      </w:r>
      <w:r>
        <w:rPr>
          <w:rFonts w:ascii="宋体" w:hAnsi="宋体"/>
          <w:bCs/>
          <w:sz w:val="28"/>
          <w:szCs w:val="28"/>
        </w:rPr>
        <w:t>）。根据《国务院办公厅关于进一步加强资本市场中小投资者合法权益保护工作的意见》（国办发</w:t>
      </w:r>
      <w:r>
        <w:rPr>
          <w:rFonts w:ascii="宋体" w:hAnsi="宋体" w:hint="eastAsia"/>
          <w:bCs/>
          <w:sz w:val="28"/>
          <w:szCs w:val="28"/>
        </w:rPr>
        <w:t>[</w:t>
      </w:r>
      <w:r>
        <w:rPr>
          <w:rFonts w:ascii="宋体" w:hAnsi="宋体"/>
          <w:bCs/>
          <w:sz w:val="28"/>
          <w:szCs w:val="28"/>
        </w:rPr>
        <w:t>2013</w:t>
      </w:r>
      <w:r>
        <w:rPr>
          <w:rFonts w:ascii="宋体" w:hAnsi="宋体" w:hint="eastAsia"/>
          <w:bCs/>
          <w:sz w:val="28"/>
          <w:szCs w:val="28"/>
        </w:rPr>
        <w:t>]</w:t>
      </w:r>
      <w:r>
        <w:rPr>
          <w:rFonts w:ascii="宋体" w:hAnsi="宋体"/>
          <w:bCs/>
          <w:sz w:val="28"/>
          <w:szCs w:val="28"/>
        </w:rPr>
        <w:t>110号）以及《关于首发及再融资、重大资产重组摊薄即期回报有关事项的指导意见》（证监会公告[2015]31号）的要求，公司就本次</w:t>
      </w:r>
      <w:r>
        <w:rPr>
          <w:rFonts w:ascii="宋体" w:hAnsi="宋体" w:hint="eastAsia"/>
          <w:bCs/>
          <w:sz w:val="28"/>
          <w:szCs w:val="28"/>
        </w:rPr>
        <w:t>发行</w:t>
      </w:r>
      <w:r>
        <w:rPr>
          <w:rFonts w:ascii="宋体" w:hAnsi="宋体"/>
          <w:bCs/>
          <w:sz w:val="28"/>
          <w:szCs w:val="28"/>
        </w:rPr>
        <w:t>对即期回报构成的影响进行了分析，并结合实际情况提出了填补回报的相关措施。具体情况如下：</w:t>
      </w:r>
    </w:p>
    <w:p w:rsidR="00092652" w:rsidRDefault="0039522B">
      <w:pPr>
        <w:snapToGrid w:val="0"/>
        <w:spacing w:before="50" w:after="50" w:line="520" w:lineRule="exact"/>
        <w:ind w:firstLineChars="200" w:firstLine="562"/>
        <w:rPr>
          <w:rFonts w:ascii="宋体" w:hAnsi="宋体"/>
          <w:b/>
          <w:bCs/>
          <w:sz w:val="28"/>
          <w:szCs w:val="28"/>
        </w:rPr>
      </w:pPr>
      <w:r>
        <w:rPr>
          <w:rFonts w:ascii="宋体" w:hAnsi="宋体"/>
          <w:b/>
          <w:bCs/>
          <w:sz w:val="28"/>
          <w:szCs w:val="28"/>
        </w:rPr>
        <w:t>一、本次发行</w:t>
      </w:r>
      <w:r>
        <w:rPr>
          <w:rFonts w:ascii="宋体" w:hAnsi="宋体" w:hint="eastAsia"/>
          <w:b/>
          <w:bCs/>
          <w:sz w:val="28"/>
          <w:szCs w:val="28"/>
        </w:rPr>
        <w:t>完成后，公司即期每股收益的变化趋势</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hint="eastAsia"/>
          <w:bCs/>
          <w:sz w:val="28"/>
          <w:szCs w:val="28"/>
        </w:rPr>
        <w:t>本次发行可转债募集资金，扣除发行费用后将全部用于支持公司未来业务发展，在可转债持有人转股后按照相关监管要求用于补充公司核心一级资本。</w:t>
      </w:r>
    </w:p>
    <w:p w:rsidR="00092652" w:rsidRDefault="0039522B">
      <w:pPr>
        <w:snapToGrid w:val="0"/>
        <w:spacing w:before="50" w:after="50" w:line="520" w:lineRule="exact"/>
        <w:ind w:firstLineChars="200" w:firstLine="562"/>
        <w:rPr>
          <w:rFonts w:ascii="宋体" w:hAnsi="宋体"/>
          <w:b/>
          <w:bCs/>
          <w:sz w:val="28"/>
          <w:szCs w:val="28"/>
        </w:rPr>
      </w:pPr>
      <w:r>
        <w:rPr>
          <w:rFonts w:ascii="宋体" w:hAnsi="宋体"/>
          <w:b/>
          <w:bCs/>
          <w:sz w:val="28"/>
          <w:szCs w:val="28"/>
        </w:rPr>
        <w:t>（一）主要假设</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hint="eastAsia"/>
          <w:bCs/>
          <w:sz w:val="28"/>
          <w:szCs w:val="28"/>
        </w:rPr>
        <w:t>1、</w:t>
      </w:r>
      <w:r>
        <w:rPr>
          <w:rFonts w:ascii="宋体" w:hAnsi="宋体"/>
          <w:bCs/>
          <w:sz w:val="28"/>
          <w:szCs w:val="28"/>
        </w:rPr>
        <w:t>假设2021年度宏观经济环境、行业发展趋势及公司经营情况未发生重大不利变化。</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bCs/>
          <w:sz w:val="28"/>
          <w:szCs w:val="28"/>
        </w:rPr>
        <w:t>2</w:t>
      </w:r>
      <w:r>
        <w:rPr>
          <w:rFonts w:ascii="宋体" w:hAnsi="宋体" w:hint="eastAsia"/>
          <w:bCs/>
          <w:sz w:val="28"/>
          <w:szCs w:val="28"/>
        </w:rPr>
        <w:t>、公司20</w:t>
      </w:r>
      <w:r>
        <w:rPr>
          <w:rFonts w:ascii="宋体" w:hAnsi="宋体"/>
          <w:bCs/>
          <w:sz w:val="28"/>
          <w:szCs w:val="28"/>
        </w:rPr>
        <w:t>20</w:t>
      </w:r>
      <w:r>
        <w:rPr>
          <w:rFonts w:ascii="宋体" w:hAnsi="宋体" w:hint="eastAsia"/>
          <w:bCs/>
          <w:sz w:val="28"/>
          <w:szCs w:val="28"/>
        </w:rPr>
        <w:t>年度归属于母公司股东的扣除非经常性损益的净利润为6</w:t>
      </w:r>
      <w:r>
        <w:rPr>
          <w:rFonts w:ascii="宋体" w:hAnsi="宋体"/>
          <w:bCs/>
          <w:sz w:val="28"/>
          <w:szCs w:val="28"/>
        </w:rPr>
        <w:t>62</w:t>
      </w:r>
      <w:r>
        <w:rPr>
          <w:rFonts w:ascii="宋体" w:hAnsi="宋体" w:hint="eastAsia"/>
          <w:bCs/>
          <w:sz w:val="28"/>
          <w:szCs w:val="28"/>
        </w:rPr>
        <w:t>.</w:t>
      </w:r>
      <w:r>
        <w:rPr>
          <w:rFonts w:ascii="宋体" w:hAnsi="宋体"/>
          <w:bCs/>
          <w:sz w:val="28"/>
          <w:szCs w:val="28"/>
        </w:rPr>
        <w:t>18亿元</w:t>
      </w:r>
      <w:r>
        <w:rPr>
          <w:rFonts w:ascii="宋体" w:hAnsi="宋体" w:hint="eastAsia"/>
          <w:bCs/>
          <w:sz w:val="28"/>
          <w:szCs w:val="28"/>
        </w:rPr>
        <w:t>，</w:t>
      </w:r>
      <w:r>
        <w:rPr>
          <w:rFonts w:ascii="宋体" w:hAnsi="宋体"/>
          <w:bCs/>
          <w:sz w:val="28"/>
          <w:szCs w:val="28"/>
        </w:rPr>
        <w:t>公司2021年</w:t>
      </w:r>
      <w:r>
        <w:rPr>
          <w:rFonts w:ascii="宋体" w:hAnsi="宋体" w:hint="eastAsia"/>
          <w:bCs/>
          <w:sz w:val="28"/>
          <w:szCs w:val="28"/>
        </w:rPr>
        <w:t>度</w:t>
      </w:r>
      <w:r>
        <w:rPr>
          <w:rFonts w:ascii="宋体" w:hAnsi="宋体"/>
          <w:bCs/>
          <w:sz w:val="28"/>
          <w:szCs w:val="28"/>
        </w:rPr>
        <w:t>归属于母公司股东的扣除非经常性损益的净利润较2020年</w:t>
      </w:r>
      <w:r>
        <w:rPr>
          <w:rFonts w:ascii="宋体" w:hAnsi="宋体" w:hint="eastAsia"/>
          <w:bCs/>
          <w:sz w:val="28"/>
          <w:szCs w:val="28"/>
        </w:rPr>
        <w:t>度</w:t>
      </w:r>
      <w:r>
        <w:rPr>
          <w:rFonts w:ascii="宋体" w:hAnsi="宋体"/>
          <w:bCs/>
          <w:sz w:val="28"/>
          <w:szCs w:val="28"/>
        </w:rPr>
        <w:t>增长分三种情况预测：（1）无增长；（2）增长率为3%；（3）增长率为6%。该假设分析并不构成对公司的盈利预测，投资者不应据此进行投资决策，投资者据此进行投资决策造成损失的，公司不承担赔偿责任。</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bCs/>
          <w:sz w:val="28"/>
          <w:szCs w:val="28"/>
        </w:rPr>
        <w:t>3</w:t>
      </w:r>
      <w:r>
        <w:rPr>
          <w:rFonts w:ascii="宋体" w:hAnsi="宋体" w:hint="eastAsia"/>
          <w:bCs/>
          <w:sz w:val="28"/>
          <w:szCs w:val="28"/>
        </w:rPr>
        <w:t>、假设公司于2</w:t>
      </w:r>
      <w:r>
        <w:rPr>
          <w:rFonts w:ascii="宋体" w:hAnsi="宋体"/>
          <w:bCs/>
          <w:sz w:val="28"/>
          <w:szCs w:val="28"/>
        </w:rPr>
        <w:t>021</w:t>
      </w:r>
      <w:r>
        <w:rPr>
          <w:rFonts w:ascii="宋体" w:hAnsi="宋体" w:hint="eastAsia"/>
          <w:bCs/>
          <w:sz w:val="28"/>
          <w:szCs w:val="28"/>
        </w:rPr>
        <w:t>年1</w:t>
      </w:r>
      <w:r>
        <w:rPr>
          <w:rFonts w:ascii="宋体" w:hAnsi="宋体"/>
          <w:bCs/>
          <w:sz w:val="28"/>
          <w:szCs w:val="28"/>
        </w:rPr>
        <w:t>0</w:t>
      </w:r>
      <w:r>
        <w:rPr>
          <w:rFonts w:ascii="宋体" w:hAnsi="宋体" w:hint="eastAsia"/>
          <w:bCs/>
          <w:sz w:val="28"/>
          <w:szCs w:val="28"/>
        </w:rPr>
        <w:t>月底完成本次发行，并且本次发行募</w:t>
      </w:r>
      <w:r>
        <w:rPr>
          <w:rFonts w:ascii="宋体" w:hAnsi="宋体" w:hint="eastAsia"/>
          <w:bCs/>
          <w:sz w:val="28"/>
          <w:szCs w:val="28"/>
        </w:rPr>
        <w:lastRenderedPageBreak/>
        <w:t>集资金到位。该时间仅用于计算本次可转债发行摊薄即期回报对主要财务数据及财务指标的影响，最终以监管机构核准本次发行后的实际完成时间为准。</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bCs/>
          <w:sz w:val="28"/>
          <w:szCs w:val="28"/>
        </w:rPr>
        <w:t>4</w:t>
      </w:r>
      <w:r>
        <w:rPr>
          <w:rFonts w:ascii="宋体" w:hAnsi="宋体" w:hint="eastAsia"/>
          <w:bCs/>
          <w:sz w:val="28"/>
          <w:szCs w:val="28"/>
        </w:rPr>
        <w:t>、假设本次发行募集</w:t>
      </w:r>
      <w:r>
        <w:rPr>
          <w:rFonts w:ascii="宋体" w:hAnsi="宋体"/>
          <w:bCs/>
          <w:sz w:val="28"/>
          <w:szCs w:val="28"/>
        </w:rPr>
        <w:t>金额</w:t>
      </w:r>
      <w:r>
        <w:rPr>
          <w:rFonts w:ascii="宋体" w:hAnsi="宋体" w:hint="eastAsia"/>
          <w:bCs/>
          <w:sz w:val="28"/>
          <w:szCs w:val="28"/>
        </w:rPr>
        <w:t>总额为500亿</w:t>
      </w:r>
      <w:r>
        <w:rPr>
          <w:rFonts w:ascii="宋体" w:hAnsi="宋体"/>
          <w:bCs/>
          <w:sz w:val="28"/>
          <w:szCs w:val="28"/>
        </w:rPr>
        <w:t>元，</w:t>
      </w:r>
      <w:r>
        <w:rPr>
          <w:rFonts w:ascii="宋体" w:hAnsi="宋体" w:hint="eastAsia"/>
          <w:bCs/>
          <w:sz w:val="28"/>
          <w:szCs w:val="28"/>
        </w:rPr>
        <w:t>且不考虑发行费用。本次可转债发行实际到账的募集资金规模根据监管机构核准、发行认购情况以及发行费用等情况最终确定。</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bCs/>
          <w:sz w:val="28"/>
          <w:szCs w:val="28"/>
        </w:rPr>
        <w:t>5</w:t>
      </w:r>
      <w:r>
        <w:rPr>
          <w:rFonts w:ascii="宋体" w:hAnsi="宋体" w:hint="eastAsia"/>
          <w:bCs/>
          <w:sz w:val="28"/>
          <w:szCs w:val="28"/>
        </w:rPr>
        <w:t>、假设本次可转债的转股价格为2</w:t>
      </w:r>
      <w:r>
        <w:rPr>
          <w:rFonts w:ascii="宋体" w:hAnsi="宋体"/>
          <w:bCs/>
          <w:sz w:val="28"/>
          <w:szCs w:val="28"/>
        </w:rPr>
        <w:t>5.50</w:t>
      </w:r>
      <w:r>
        <w:rPr>
          <w:rFonts w:ascii="宋体" w:hAnsi="宋体" w:hint="eastAsia"/>
          <w:bCs/>
          <w:sz w:val="28"/>
          <w:szCs w:val="28"/>
        </w:rPr>
        <w:t>元/股，即公司第九届董事会第</w:t>
      </w:r>
      <w:r w:rsidR="00402663">
        <w:rPr>
          <w:rFonts w:ascii="宋体" w:hAnsi="宋体" w:hint="eastAsia"/>
          <w:bCs/>
          <w:sz w:val="28"/>
          <w:szCs w:val="28"/>
        </w:rPr>
        <w:t>二十九</w:t>
      </w:r>
      <w:r>
        <w:rPr>
          <w:rFonts w:ascii="宋体" w:hAnsi="宋体" w:hint="eastAsia"/>
          <w:bCs/>
          <w:sz w:val="28"/>
          <w:szCs w:val="28"/>
        </w:rPr>
        <w:t>次会议召开日（202</w:t>
      </w:r>
      <w:r>
        <w:rPr>
          <w:rFonts w:ascii="宋体" w:hAnsi="宋体"/>
          <w:bCs/>
          <w:sz w:val="28"/>
          <w:szCs w:val="28"/>
        </w:rPr>
        <w:t>1</w:t>
      </w:r>
      <w:r>
        <w:rPr>
          <w:rFonts w:ascii="宋体" w:hAnsi="宋体" w:hint="eastAsia"/>
          <w:bCs/>
          <w:sz w:val="28"/>
          <w:szCs w:val="28"/>
        </w:rPr>
        <w:t>年</w:t>
      </w:r>
      <w:r w:rsidR="00402663">
        <w:rPr>
          <w:rFonts w:ascii="宋体" w:hAnsi="宋体" w:hint="eastAsia"/>
          <w:bCs/>
          <w:sz w:val="28"/>
          <w:szCs w:val="28"/>
        </w:rPr>
        <w:t>5</w:t>
      </w:r>
      <w:r>
        <w:rPr>
          <w:rFonts w:ascii="宋体" w:hAnsi="宋体" w:hint="eastAsia"/>
          <w:bCs/>
          <w:sz w:val="28"/>
          <w:szCs w:val="28"/>
        </w:rPr>
        <w:t>月</w:t>
      </w:r>
      <w:r w:rsidR="00402663">
        <w:rPr>
          <w:rFonts w:ascii="宋体" w:hAnsi="宋体" w:hint="eastAsia"/>
          <w:bCs/>
          <w:sz w:val="28"/>
          <w:szCs w:val="28"/>
        </w:rPr>
        <w:t>21</w:t>
      </w:r>
      <w:r>
        <w:rPr>
          <w:rFonts w:ascii="宋体" w:hAnsi="宋体" w:hint="eastAsia"/>
          <w:bCs/>
          <w:sz w:val="28"/>
          <w:szCs w:val="28"/>
        </w:rPr>
        <w:t>日）的前三十个交易日、前二十个交易日、前一个交易日公司A股股票交易均价，以及最近一期末经审计的每股净资产和股票面值的孰高值。该转股价格仅用于计算本次可转债发行摊薄即期回报对主要财务数据及财务指标的影响，最终的初始转股价格由公司董事会（或由董事会转授权的人士）根据股东大会授权，在发行前根据市场状况确定，转股价格后续可能进行调整或向下修正。</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bCs/>
          <w:sz w:val="28"/>
          <w:szCs w:val="28"/>
        </w:rPr>
        <w:t>6</w:t>
      </w:r>
      <w:r>
        <w:rPr>
          <w:rFonts w:ascii="宋体" w:hAnsi="宋体" w:hint="eastAsia"/>
          <w:bCs/>
          <w:sz w:val="28"/>
          <w:szCs w:val="28"/>
        </w:rPr>
        <w:t>、假设本次可转债第一年至第六年的票面利率分别为0</w:t>
      </w:r>
      <w:r>
        <w:rPr>
          <w:rFonts w:ascii="宋体" w:hAnsi="宋体"/>
          <w:bCs/>
          <w:sz w:val="28"/>
          <w:szCs w:val="28"/>
        </w:rPr>
        <w:t>.2</w:t>
      </w:r>
      <w:r>
        <w:rPr>
          <w:rFonts w:ascii="宋体" w:hAnsi="宋体" w:hint="eastAsia"/>
          <w:bCs/>
          <w:sz w:val="28"/>
          <w:szCs w:val="28"/>
        </w:rPr>
        <w:t>%、0</w:t>
      </w:r>
      <w:r>
        <w:rPr>
          <w:rFonts w:ascii="宋体" w:hAnsi="宋体"/>
          <w:bCs/>
          <w:sz w:val="28"/>
          <w:szCs w:val="28"/>
        </w:rPr>
        <w:t>.5</w:t>
      </w:r>
      <w:r>
        <w:rPr>
          <w:rFonts w:ascii="宋体" w:hAnsi="宋体" w:hint="eastAsia"/>
          <w:bCs/>
          <w:sz w:val="28"/>
          <w:szCs w:val="28"/>
        </w:rPr>
        <w:t>%、1</w:t>
      </w:r>
      <w:r>
        <w:rPr>
          <w:rFonts w:ascii="宋体" w:hAnsi="宋体"/>
          <w:bCs/>
          <w:sz w:val="28"/>
          <w:szCs w:val="28"/>
        </w:rPr>
        <w:t>.0</w:t>
      </w:r>
      <w:r>
        <w:rPr>
          <w:rFonts w:ascii="宋体" w:hAnsi="宋体" w:hint="eastAsia"/>
          <w:bCs/>
          <w:sz w:val="28"/>
          <w:szCs w:val="28"/>
        </w:rPr>
        <w:t>%、1</w:t>
      </w:r>
      <w:r>
        <w:rPr>
          <w:rFonts w:ascii="宋体" w:hAnsi="宋体"/>
          <w:bCs/>
          <w:sz w:val="28"/>
          <w:szCs w:val="28"/>
        </w:rPr>
        <w:t>.5</w:t>
      </w:r>
      <w:r>
        <w:rPr>
          <w:rFonts w:ascii="宋体" w:hAnsi="宋体" w:hint="eastAsia"/>
          <w:bCs/>
          <w:sz w:val="28"/>
          <w:szCs w:val="28"/>
        </w:rPr>
        <w:t>%、1</w:t>
      </w:r>
      <w:r>
        <w:rPr>
          <w:rFonts w:ascii="宋体" w:hAnsi="宋体"/>
          <w:bCs/>
          <w:sz w:val="28"/>
          <w:szCs w:val="28"/>
        </w:rPr>
        <w:t>.8</w:t>
      </w:r>
      <w:r>
        <w:rPr>
          <w:rFonts w:ascii="宋体" w:hAnsi="宋体" w:hint="eastAsia"/>
          <w:bCs/>
          <w:sz w:val="28"/>
          <w:szCs w:val="28"/>
        </w:rPr>
        <w:t>%及2</w:t>
      </w:r>
      <w:r>
        <w:rPr>
          <w:rFonts w:ascii="宋体" w:hAnsi="宋体"/>
          <w:bCs/>
          <w:sz w:val="28"/>
          <w:szCs w:val="28"/>
        </w:rPr>
        <w:t>.0</w:t>
      </w:r>
      <w:r>
        <w:rPr>
          <w:rFonts w:ascii="宋体" w:hAnsi="宋体" w:hint="eastAsia"/>
          <w:bCs/>
          <w:sz w:val="28"/>
          <w:szCs w:val="28"/>
        </w:rPr>
        <w:t>%，到期赎回未转股可转债的价格为本次可转债发行面值的1</w:t>
      </w:r>
      <w:r>
        <w:rPr>
          <w:rFonts w:ascii="宋体" w:hAnsi="宋体"/>
          <w:bCs/>
          <w:sz w:val="28"/>
          <w:szCs w:val="28"/>
        </w:rPr>
        <w:t>05</w:t>
      </w:r>
      <w:r>
        <w:rPr>
          <w:rFonts w:ascii="宋体" w:hAnsi="宋体" w:hint="eastAsia"/>
          <w:bCs/>
          <w:sz w:val="28"/>
          <w:szCs w:val="28"/>
        </w:rPr>
        <w:t>%（含最后一年利息）。该票面利率仅为模拟测算利率，不构成对实际票面利率的数值预测。假设不具备转换选择权的类似债券的市场利率为3</w:t>
      </w:r>
      <w:r>
        <w:rPr>
          <w:rFonts w:ascii="宋体" w:hAnsi="宋体"/>
          <w:bCs/>
          <w:sz w:val="28"/>
          <w:szCs w:val="28"/>
        </w:rPr>
        <w:t>.81</w:t>
      </w:r>
      <w:r>
        <w:rPr>
          <w:rFonts w:ascii="宋体" w:hAnsi="宋体" w:hint="eastAsia"/>
          <w:bCs/>
          <w:sz w:val="28"/>
          <w:szCs w:val="28"/>
        </w:rPr>
        <w:t>%，用以测算本次可转债发行完成当年产生的利息费用。</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bCs/>
          <w:sz w:val="28"/>
          <w:szCs w:val="28"/>
        </w:rPr>
        <w:t>7</w:t>
      </w:r>
      <w:r>
        <w:rPr>
          <w:rFonts w:ascii="宋体" w:hAnsi="宋体" w:hint="eastAsia"/>
          <w:bCs/>
          <w:sz w:val="28"/>
          <w:szCs w:val="28"/>
        </w:rPr>
        <w:t>、公司发行三期优先股共计5.60亿股（兴业优1、兴业优2和兴业优3），每股面值100元，采用每会计年度付息一次的付息方式，以现金形式支付，</w:t>
      </w:r>
      <w:r>
        <w:rPr>
          <w:rFonts w:ascii="宋体" w:hAnsi="宋体"/>
          <w:bCs/>
          <w:sz w:val="28"/>
          <w:szCs w:val="28"/>
        </w:rPr>
        <w:t>2021</w:t>
      </w:r>
      <w:r>
        <w:rPr>
          <w:rFonts w:ascii="宋体" w:hAnsi="宋体" w:hint="eastAsia"/>
          <w:bCs/>
          <w:sz w:val="28"/>
          <w:szCs w:val="28"/>
        </w:rPr>
        <w:t>年应支付的前一会计年度的优先股股息共计2</w:t>
      </w:r>
      <w:r>
        <w:rPr>
          <w:rFonts w:ascii="宋体" w:hAnsi="宋体"/>
          <w:bCs/>
          <w:sz w:val="28"/>
          <w:szCs w:val="28"/>
        </w:rPr>
        <w:t>8</w:t>
      </w:r>
      <w:r>
        <w:rPr>
          <w:rFonts w:ascii="宋体" w:hAnsi="宋体" w:hint="eastAsia"/>
          <w:bCs/>
          <w:sz w:val="28"/>
          <w:szCs w:val="28"/>
        </w:rPr>
        <w:t>.</w:t>
      </w:r>
      <w:r>
        <w:rPr>
          <w:rFonts w:ascii="宋体" w:hAnsi="宋体"/>
          <w:bCs/>
          <w:sz w:val="28"/>
          <w:szCs w:val="28"/>
        </w:rPr>
        <w:t>41</w:t>
      </w:r>
      <w:r>
        <w:rPr>
          <w:rFonts w:ascii="宋体" w:hAnsi="宋体" w:hint="eastAsia"/>
          <w:bCs/>
          <w:sz w:val="28"/>
          <w:szCs w:val="28"/>
        </w:rPr>
        <w:t>亿元。公司于2020年1</w:t>
      </w:r>
      <w:r>
        <w:rPr>
          <w:rFonts w:ascii="宋体" w:hAnsi="宋体"/>
          <w:bCs/>
          <w:sz w:val="28"/>
          <w:szCs w:val="28"/>
        </w:rPr>
        <w:t>0</w:t>
      </w:r>
      <w:r>
        <w:rPr>
          <w:rFonts w:ascii="宋体" w:hAnsi="宋体" w:hint="eastAsia"/>
          <w:bCs/>
          <w:sz w:val="28"/>
          <w:szCs w:val="28"/>
        </w:rPr>
        <w:t>月1</w:t>
      </w:r>
      <w:r>
        <w:rPr>
          <w:rFonts w:ascii="宋体" w:hAnsi="宋体"/>
          <w:bCs/>
          <w:sz w:val="28"/>
          <w:szCs w:val="28"/>
        </w:rPr>
        <w:t>5</w:t>
      </w:r>
      <w:r>
        <w:rPr>
          <w:rFonts w:ascii="宋体" w:hAnsi="宋体" w:hint="eastAsia"/>
          <w:bCs/>
          <w:sz w:val="28"/>
          <w:szCs w:val="28"/>
        </w:rPr>
        <w:t>日完成发行2020年无固定期限资本债券</w:t>
      </w:r>
      <w:r>
        <w:rPr>
          <w:rFonts w:ascii="宋体" w:hAnsi="宋体"/>
          <w:bCs/>
          <w:sz w:val="28"/>
          <w:szCs w:val="28"/>
        </w:rPr>
        <w:t>300</w:t>
      </w:r>
      <w:r>
        <w:rPr>
          <w:rFonts w:ascii="宋体" w:hAnsi="宋体" w:hint="eastAsia"/>
          <w:bCs/>
          <w:sz w:val="28"/>
          <w:szCs w:val="28"/>
        </w:rPr>
        <w:t>亿元，票面利率为4.</w:t>
      </w:r>
      <w:r>
        <w:rPr>
          <w:rFonts w:ascii="宋体" w:hAnsi="宋体"/>
          <w:bCs/>
          <w:sz w:val="28"/>
          <w:szCs w:val="28"/>
        </w:rPr>
        <w:t>73</w:t>
      </w:r>
      <w:r>
        <w:rPr>
          <w:rFonts w:ascii="宋体" w:hAnsi="宋体" w:hint="eastAsia"/>
          <w:bCs/>
          <w:sz w:val="28"/>
          <w:szCs w:val="28"/>
        </w:rPr>
        <w:t>%，2021年应支付的前一计息年度的无固定期限资本债券利息共计14.19亿元。假设</w:t>
      </w:r>
      <w:r>
        <w:rPr>
          <w:rFonts w:ascii="宋体" w:hAnsi="宋体"/>
          <w:bCs/>
          <w:sz w:val="28"/>
          <w:szCs w:val="28"/>
        </w:rPr>
        <w:t>2021</w:t>
      </w:r>
      <w:r>
        <w:rPr>
          <w:rFonts w:ascii="宋体" w:hAnsi="宋体" w:hint="eastAsia"/>
          <w:bCs/>
          <w:sz w:val="28"/>
          <w:szCs w:val="28"/>
        </w:rPr>
        <w:t>年将完成</w:t>
      </w:r>
      <w:r>
        <w:rPr>
          <w:rFonts w:ascii="宋体" w:hAnsi="宋体" w:hint="eastAsia"/>
          <w:bCs/>
          <w:sz w:val="28"/>
          <w:szCs w:val="28"/>
        </w:rPr>
        <w:lastRenderedPageBreak/>
        <w:t>优先股及无固定期限资本债券一个计息年度的全额派息。</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bCs/>
          <w:sz w:val="28"/>
          <w:szCs w:val="28"/>
        </w:rPr>
        <w:t>8</w:t>
      </w:r>
      <w:r>
        <w:rPr>
          <w:rFonts w:ascii="宋体" w:hAnsi="宋体" w:hint="eastAsia"/>
          <w:bCs/>
          <w:sz w:val="28"/>
          <w:szCs w:val="28"/>
        </w:rPr>
        <w:t>、假设不考虑本次发行募集资金到账后的相关收益及对公司经营状况、财务状况等的影响。</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bCs/>
          <w:sz w:val="28"/>
          <w:szCs w:val="28"/>
        </w:rPr>
        <w:t>9</w:t>
      </w:r>
      <w:r>
        <w:rPr>
          <w:rFonts w:ascii="宋体" w:hAnsi="宋体" w:hint="eastAsia"/>
          <w:bCs/>
          <w:sz w:val="28"/>
          <w:szCs w:val="28"/>
        </w:rPr>
        <w:t>、在预测公司普通股总股本时，以本次发行前普通股总股本207.74亿股为基础，不考虑其他因素导致股本发生的变化。</w:t>
      </w:r>
    </w:p>
    <w:p w:rsidR="00092652" w:rsidRDefault="0039522B">
      <w:pPr>
        <w:snapToGrid w:val="0"/>
        <w:spacing w:before="50" w:after="50" w:line="520" w:lineRule="exact"/>
        <w:ind w:firstLineChars="200" w:firstLine="562"/>
        <w:rPr>
          <w:rFonts w:ascii="宋体" w:hAnsi="宋体"/>
          <w:b/>
          <w:bCs/>
          <w:sz w:val="28"/>
          <w:szCs w:val="28"/>
        </w:rPr>
      </w:pPr>
      <w:r>
        <w:rPr>
          <w:rFonts w:ascii="宋体" w:hAnsi="宋体"/>
          <w:b/>
          <w:bCs/>
          <w:sz w:val="28"/>
          <w:szCs w:val="28"/>
        </w:rPr>
        <w:t>（二）</w:t>
      </w:r>
      <w:r>
        <w:rPr>
          <w:rFonts w:ascii="宋体" w:hAnsi="宋体" w:hint="eastAsia"/>
          <w:b/>
          <w:bCs/>
          <w:sz w:val="28"/>
          <w:szCs w:val="28"/>
        </w:rPr>
        <w:t>本次发行对公司即期每股收益的影响分析</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bCs/>
          <w:sz w:val="28"/>
          <w:szCs w:val="28"/>
        </w:rPr>
        <w:t>基于上述假设，</w:t>
      </w:r>
      <w:r>
        <w:rPr>
          <w:rFonts w:ascii="宋体" w:hAnsi="宋体" w:hint="eastAsia"/>
          <w:bCs/>
          <w:sz w:val="28"/>
          <w:szCs w:val="28"/>
        </w:rPr>
        <w:t>本次发行完成后，对</w:t>
      </w:r>
      <w:r>
        <w:rPr>
          <w:rFonts w:ascii="宋体" w:hAnsi="宋体"/>
          <w:bCs/>
          <w:sz w:val="28"/>
          <w:szCs w:val="28"/>
        </w:rPr>
        <w:t>公司</w:t>
      </w:r>
      <w:r>
        <w:rPr>
          <w:rFonts w:ascii="宋体" w:hAnsi="宋体" w:hint="eastAsia"/>
          <w:bCs/>
          <w:sz w:val="28"/>
          <w:szCs w:val="28"/>
        </w:rPr>
        <w:t>20</w:t>
      </w:r>
      <w:r>
        <w:rPr>
          <w:rFonts w:ascii="宋体" w:hAnsi="宋体"/>
          <w:bCs/>
          <w:sz w:val="28"/>
          <w:szCs w:val="28"/>
        </w:rPr>
        <w:t>21</w:t>
      </w:r>
      <w:r>
        <w:rPr>
          <w:rFonts w:ascii="宋体" w:hAnsi="宋体" w:hint="eastAsia"/>
          <w:bCs/>
          <w:sz w:val="28"/>
          <w:szCs w:val="28"/>
        </w:rPr>
        <w:t>年度每股收益</w:t>
      </w:r>
      <w:r>
        <w:rPr>
          <w:rFonts w:ascii="宋体" w:hAnsi="宋体"/>
          <w:bCs/>
          <w:sz w:val="28"/>
          <w:szCs w:val="28"/>
        </w:rPr>
        <w:t>的影响</w:t>
      </w:r>
      <w:r>
        <w:rPr>
          <w:rFonts w:ascii="宋体" w:hAnsi="宋体" w:hint="eastAsia"/>
          <w:bCs/>
          <w:sz w:val="28"/>
          <w:szCs w:val="28"/>
        </w:rPr>
        <w:t>对比如下</w:t>
      </w:r>
      <w:r>
        <w:rPr>
          <w:rFonts w:ascii="宋体" w:hAnsi="宋体"/>
          <w:b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2147"/>
        <w:gridCol w:w="1424"/>
        <w:gridCol w:w="1424"/>
      </w:tblGrid>
      <w:tr w:rsidR="00092652">
        <w:trPr>
          <w:trHeight w:val="615"/>
          <w:tblHeader/>
        </w:trPr>
        <w:tc>
          <w:tcPr>
            <w:tcW w:w="2071" w:type="pct"/>
            <w:vMerge w:val="restart"/>
            <w:shd w:val="clear" w:color="auto" w:fill="auto"/>
            <w:vAlign w:val="center"/>
          </w:tcPr>
          <w:p w:rsidR="00092652" w:rsidRDefault="0039522B">
            <w:pPr>
              <w:snapToGrid w:val="0"/>
              <w:spacing w:before="50" w:after="50" w:line="360" w:lineRule="auto"/>
              <w:jc w:val="center"/>
              <w:rPr>
                <w:rFonts w:ascii="宋体" w:hAnsi="宋体"/>
                <w:b/>
                <w:sz w:val="24"/>
                <w:szCs w:val="24"/>
              </w:rPr>
            </w:pPr>
            <w:r>
              <w:rPr>
                <w:rFonts w:ascii="宋体" w:hAnsi="宋体"/>
                <w:b/>
                <w:sz w:val="24"/>
                <w:szCs w:val="24"/>
              </w:rPr>
              <w:t>项目</w:t>
            </w:r>
          </w:p>
        </w:tc>
        <w:tc>
          <w:tcPr>
            <w:tcW w:w="1259" w:type="pct"/>
            <w:vMerge w:val="restart"/>
            <w:shd w:val="clear" w:color="auto" w:fill="auto"/>
            <w:vAlign w:val="center"/>
          </w:tcPr>
          <w:p w:rsidR="00092652" w:rsidRDefault="0039522B">
            <w:pPr>
              <w:spacing w:before="50" w:after="50"/>
              <w:ind w:right="110"/>
              <w:jc w:val="center"/>
              <w:rPr>
                <w:rFonts w:ascii="宋体" w:hAnsi="宋体"/>
                <w:b/>
                <w:sz w:val="24"/>
                <w:szCs w:val="24"/>
              </w:rPr>
            </w:pPr>
            <w:r>
              <w:rPr>
                <w:rFonts w:ascii="宋体" w:hAnsi="宋体"/>
                <w:b/>
                <w:sz w:val="24"/>
                <w:szCs w:val="24"/>
              </w:rPr>
              <w:t>2020年度/</w:t>
            </w:r>
          </w:p>
          <w:p w:rsidR="00092652" w:rsidRDefault="0039522B">
            <w:pPr>
              <w:spacing w:before="50" w:after="50"/>
              <w:ind w:left="12"/>
              <w:jc w:val="center"/>
              <w:rPr>
                <w:rFonts w:ascii="宋体" w:hAnsi="宋体"/>
                <w:b/>
                <w:sz w:val="24"/>
                <w:szCs w:val="24"/>
              </w:rPr>
            </w:pPr>
            <w:r>
              <w:rPr>
                <w:rFonts w:ascii="宋体" w:hAnsi="宋体"/>
                <w:b/>
                <w:sz w:val="24"/>
                <w:szCs w:val="24"/>
              </w:rPr>
              <w:t>2020年12月31日</w:t>
            </w:r>
          </w:p>
        </w:tc>
        <w:tc>
          <w:tcPr>
            <w:tcW w:w="1671" w:type="pct"/>
            <w:gridSpan w:val="2"/>
            <w:shd w:val="clear" w:color="auto" w:fill="auto"/>
            <w:vAlign w:val="center"/>
          </w:tcPr>
          <w:p w:rsidR="00092652" w:rsidRDefault="0039522B">
            <w:pPr>
              <w:spacing w:before="50" w:after="50"/>
              <w:ind w:right="110"/>
              <w:jc w:val="center"/>
              <w:rPr>
                <w:rFonts w:ascii="宋体" w:hAnsi="宋体"/>
                <w:b/>
                <w:sz w:val="24"/>
                <w:szCs w:val="24"/>
              </w:rPr>
            </w:pPr>
            <w:r>
              <w:rPr>
                <w:rFonts w:ascii="宋体" w:hAnsi="宋体"/>
                <w:b/>
                <w:sz w:val="24"/>
                <w:szCs w:val="24"/>
              </w:rPr>
              <w:t>2021年度/</w:t>
            </w:r>
          </w:p>
          <w:p w:rsidR="00092652" w:rsidRDefault="0039522B">
            <w:pPr>
              <w:spacing w:before="50" w:after="50"/>
              <w:ind w:right="110"/>
              <w:jc w:val="center"/>
              <w:rPr>
                <w:rFonts w:ascii="宋体" w:hAnsi="宋体"/>
                <w:b/>
                <w:bCs/>
                <w:sz w:val="24"/>
                <w:szCs w:val="24"/>
              </w:rPr>
            </w:pPr>
            <w:r>
              <w:rPr>
                <w:rFonts w:ascii="宋体" w:hAnsi="宋体"/>
                <w:b/>
                <w:sz w:val="24"/>
                <w:szCs w:val="24"/>
              </w:rPr>
              <w:t>2021年12月31日</w:t>
            </w:r>
          </w:p>
        </w:tc>
      </w:tr>
      <w:tr w:rsidR="00092652">
        <w:trPr>
          <w:trHeight w:val="615"/>
          <w:tblHeader/>
        </w:trPr>
        <w:tc>
          <w:tcPr>
            <w:tcW w:w="2071" w:type="pct"/>
            <w:vMerge/>
            <w:shd w:val="clear" w:color="auto" w:fill="auto"/>
            <w:vAlign w:val="center"/>
          </w:tcPr>
          <w:p w:rsidR="00092652" w:rsidRDefault="00092652">
            <w:pPr>
              <w:snapToGrid w:val="0"/>
              <w:spacing w:before="50" w:after="50"/>
              <w:jc w:val="center"/>
              <w:rPr>
                <w:rFonts w:ascii="宋体" w:hAnsi="宋体"/>
                <w:sz w:val="24"/>
                <w:szCs w:val="24"/>
              </w:rPr>
            </w:pPr>
          </w:p>
        </w:tc>
        <w:tc>
          <w:tcPr>
            <w:tcW w:w="1259" w:type="pct"/>
            <w:vMerge/>
            <w:shd w:val="clear" w:color="auto" w:fill="auto"/>
            <w:vAlign w:val="center"/>
          </w:tcPr>
          <w:p w:rsidR="00092652" w:rsidRDefault="00092652">
            <w:pPr>
              <w:spacing w:before="50" w:after="50"/>
              <w:ind w:right="110"/>
              <w:jc w:val="center"/>
              <w:rPr>
                <w:rFonts w:ascii="宋体" w:hAnsi="宋体"/>
                <w:sz w:val="24"/>
                <w:szCs w:val="24"/>
              </w:rPr>
            </w:pPr>
          </w:p>
        </w:tc>
        <w:tc>
          <w:tcPr>
            <w:tcW w:w="835" w:type="pct"/>
            <w:shd w:val="clear" w:color="auto" w:fill="auto"/>
            <w:vAlign w:val="center"/>
          </w:tcPr>
          <w:p w:rsidR="00092652" w:rsidRDefault="0039522B">
            <w:pPr>
              <w:spacing w:before="50" w:after="50"/>
              <w:ind w:right="110"/>
              <w:jc w:val="center"/>
              <w:rPr>
                <w:rFonts w:ascii="宋体" w:hAnsi="宋体"/>
                <w:b/>
                <w:sz w:val="24"/>
                <w:szCs w:val="24"/>
              </w:rPr>
            </w:pPr>
            <w:r>
              <w:rPr>
                <w:rFonts w:ascii="宋体" w:hAnsi="宋体" w:hint="eastAsia"/>
                <w:b/>
                <w:sz w:val="24"/>
                <w:szCs w:val="24"/>
              </w:rPr>
              <w:t>发行前</w:t>
            </w:r>
          </w:p>
        </w:tc>
        <w:tc>
          <w:tcPr>
            <w:tcW w:w="835" w:type="pct"/>
            <w:shd w:val="clear" w:color="auto" w:fill="auto"/>
            <w:vAlign w:val="center"/>
          </w:tcPr>
          <w:p w:rsidR="00092652" w:rsidRDefault="0039522B">
            <w:pPr>
              <w:spacing w:before="50" w:after="50"/>
              <w:ind w:right="110"/>
              <w:jc w:val="center"/>
              <w:rPr>
                <w:rFonts w:ascii="宋体" w:hAnsi="宋体"/>
                <w:b/>
                <w:sz w:val="24"/>
                <w:szCs w:val="24"/>
              </w:rPr>
            </w:pPr>
            <w:r>
              <w:rPr>
                <w:rFonts w:ascii="宋体" w:hAnsi="宋体" w:hint="eastAsia"/>
                <w:b/>
                <w:sz w:val="24"/>
                <w:szCs w:val="24"/>
              </w:rPr>
              <w:t>发行后</w:t>
            </w:r>
          </w:p>
        </w:tc>
      </w:tr>
      <w:tr w:rsidR="00092652">
        <w:tc>
          <w:tcPr>
            <w:tcW w:w="2071" w:type="pct"/>
            <w:shd w:val="clear" w:color="auto" w:fill="auto"/>
            <w:vAlign w:val="center"/>
          </w:tcPr>
          <w:p w:rsidR="00092652" w:rsidRDefault="0039522B">
            <w:pPr>
              <w:spacing w:before="50" w:after="50"/>
              <w:rPr>
                <w:rFonts w:ascii="宋体" w:hAnsi="宋体"/>
                <w:sz w:val="24"/>
                <w:szCs w:val="24"/>
              </w:rPr>
            </w:pPr>
            <w:r>
              <w:rPr>
                <w:rFonts w:ascii="宋体" w:hAnsi="宋体"/>
                <w:sz w:val="24"/>
                <w:szCs w:val="24"/>
              </w:rPr>
              <w:t>普通股总股本（亿股）</w:t>
            </w:r>
          </w:p>
        </w:tc>
        <w:tc>
          <w:tcPr>
            <w:tcW w:w="1259" w:type="pct"/>
            <w:shd w:val="clear" w:color="auto" w:fill="auto"/>
            <w:vAlign w:val="bottom"/>
          </w:tcPr>
          <w:p w:rsidR="00092652" w:rsidRDefault="0039522B">
            <w:pPr>
              <w:spacing w:before="50" w:after="50"/>
              <w:jc w:val="right"/>
              <w:rPr>
                <w:rFonts w:ascii="宋体" w:hAnsi="宋体"/>
                <w:sz w:val="24"/>
                <w:szCs w:val="24"/>
              </w:rPr>
            </w:pPr>
            <w:r>
              <w:rPr>
                <w:rFonts w:ascii="宋体" w:hAnsi="宋体"/>
                <w:sz w:val="24"/>
                <w:szCs w:val="24"/>
              </w:rPr>
              <w:t>207</w:t>
            </w:r>
            <w:r>
              <w:rPr>
                <w:rFonts w:ascii="宋体" w:hAnsi="宋体" w:hint="eastAsia"/>
                <w:sz w:val="24"/>
                <w:szCs w:val="24"/>
              </w:rPr>
              <w:t>.</w:t>
            </w:r>
            <w:r>
              <w:rPr>
                <w:rFonts w:ascii="宋体" w:hAnsi="宋体"/>
                <w:sz w:val="24"/>
                <w:szCs w:val="24"/>
              </w:rPr>
              <w:t>74</w:t>
            </w:r>
          </w:p>
        </w:tc>
        <w:tc>
          <w:tcPr>
            <w:tcW w:w="835" w:type="pct"/>
            <w:shd w:val="clear" w:color="auto" w:fill="auto"/>
            <w:vAlign w:val="bottom"/>
          </w:tcPr>
          <w:p w:rsidR="00092652" w:rsidRDefault="0039522B">
            <w:pPr>
              <w:spacing w:before="50" w:after="50"/>
              <w:jc w:val="right"/>
              <w:rPr>
                <w:rFonts w:ascii="宋体" w:hAnsi="宋体"/>
                <w:sz w:val="24"/>
                <w:szCs w:val="24"/>
              </w:rPr>
            </w:pPr>
            <w:r>
              <w:rPr>
                <w:rFonts w:ascii="宋体" w:hAnsi="宋体"/>
                <w:sz w:val="24"/>
                <w:szCs w:val="24"/>
              </w:rPr>
              <w:t>207</w:t>
            </w:r>
            <w:r>
              <w:rPr>
                <w:rFonts w:ascii="宋体" w:hAnsi="宋体" w:hint="eastAsia"/>
                <w:sz w:val="24"/>
                <w:szCs w:val="24"/>
              </w:rPr>
              <w:t>.</w:t>
            </w:r>
            <w:r>
              <w:rPr>
                <w:rFonts w:ascii="宋体" w:hAnsi="宋体"/>
                <w:sz w:val="24"/>
                <w:szCs w:val="24"/>
              </w:rPr>
              <w:t>74</w:t>
            </w:r>
          </w:p>
        </w:tc>
        <w:tc>
          <w:tcPr>
            <w:tcW w:w="835" w:type="pct"/>
            <w:shd w:val="clear" w:color="auto" w:fill="auto"/>
            <w:vAlign w:val="bottom"/>
          </w:tcPr>
          <w:p w:rsidR="00092652" w:rsidRDefault="0039522B">
            <w:pPr>
              <w:spacing w:before="50" w:after="50"/>
              <w:jc w:val="right"/>
              <w:rPr>
                <w:rFonts w:ascii="宋体" w:hAnsi="宋体"/>
                <w:sz w:val="24"/>
                <w:szCs w:val="24"/>
              </w:rPr>
            </w:pPr>
            <w:r>
              <w:rPr>
                <w:rFonts w:ascii="宋体" w:hAnsi="宋体"/>
                <w:sz w:val="24"/>
                <w:szCs w:val="24"/>
              </w:rPr>
              <w:t>207.74</w:t>
            </w:r>
          </w:p>
        </w:tc>
      </w:tr>
      <w:tr w:rsidR="00092652">
        <w:tc>
          <w:tcPr>
            <w:tcW w:w="2071" w:type="pct"/>
            <w:shd w:val="clear" w:color="auto" w:fill="auto"/>
            <w:vAlign w:val="center"/>
          </w:tcPr>
          <w:p w:rsidR="00092652" w:rsidRDefault="0039522B">
            <w:pPr>
              <w:spacing w:before="50" w:after="50"/>
              <w:rPr>
                <w:rFonts w:ascii="宋体" w:hAnsi="宋体"/>
                <w:sz w:val="24"/>
                <w:szCs w:val="24"/>
              </w:rPr>
            </w:pPr>
            <w:r>
              <w:rPr>
                <w:rFonts w:ascii="宋体" w:hAnsi="宋体"/>
                <w:sz w:val="24"/>
                <w:szCs w:val="24"/>
              </w:rPr>
              <w:t>加权平均普通股总股本（亿股）</w:t>
            </w:r>
          </w:p>
        </w:tc>
        <w:tc>
          <w:tcPr>
            <w:tcW w:w="1259" w:type="pct"/>
            <w:shd w:val="clear" w:color="auto" w:fill="auto"/>
            <w:vAlign w:val="bottom"/>
          </w:tcPr>
          <w:p w:rsidR="00092652" w:rsidRDefault="0039522B">
            <w:pPr>
              <w:spacing w:before="50" w:after="50"/>
              <w:jc w:val="right"/>
              <w:rPr>
                <w:rFonts w:ascii="宋体" w:hAnsi="宋体"/>
                <w:sz w:val="24"/>
                <w:szCs w:val="24"/>
              </w:rPr>
            </w:pPr>
            <w:r>
              <w:rPr>
                <w:rFonts w:ascii="宋体" w:hAnsi="宋体"/>
                <w:sz w:val="24"/>
                <w:szCs w:val="24"/>
              </w:rPr>
              <w:t>207</w:t>
            </w:r>
            <w:r>
              <w:rPr>
                <w:rFonts w:ascii="宋体" w:hAnsi="宋体" w:hint="eastAsia"/>
                <w:sz w:val="24"/>
                <w:szCs w:val="24"/>
              </w:rPr>
              <w:t>.</w:t>
            </w:r>
            <w:r>
              <w:rPr>
                <w:rFonts w:ascii="宋体" w:hAnsi="宋体"/>
                <w:sz w:val="24"/>
                <w:szCs w:val="24"/>
              </w:rPr>
              <w:t>74</w:t>
            </w:r>
          </w:p>
        </w:tc>
        <w:tc>
          <w:tcPr>
            <w:tcW w:w="835" w:type="pct"/>
            <w:shd w:val="clear" w:color="auto" w:fill="auto"/>
            <w:vAlign w:val="bottom"/>
          </w:tcPr>
          <w:p w:rsidR="00092652" w:rsidRDefault="0039522B">
            <w:pPr>
              <w:spacing w:before="50" w:after="50"/>
              <w:jc w:val="right"/>
              <w:rPr>
                <w:rFonts w:ascii="宋体" w:hAnsi="宋体"/>
                <w:sz w:val="24"/>
                <w:szCs w:val="24"/>
              </w:rPr>
            </w:pPr>
            <w:r>
              <w:rPr>
                <w:rFonts w:ascii="宋体" w:hAnsi="宋体"/>
                <w:sz w:val="24"/>
                <w:szCs w:val="24"/>
              </w:rPr>
              <w:t>207</w:t>
            </w:r>
            <w:r>
              <w:rPr>
                <w:rFonts w:ascii="宋体" w:hAnsi="宋体" w:hint="eastAsia"/>
                <w:sz w:val="24"/>
                <w:szCs w:val="24"/>
              </w:rPr>
              <w:t>.</w:t>
            </w:r>
            <w:r>
              <w:rPr>
                <w:rFonts w:ascii="宋体" w:hAnsi="宋体"/>
                <w:sz w:val="24"/>
                <w:szCs w:val="24"/>
              </w:rPr>
              <w:t>74</w:t>
            </w:r>
          </w:p>
        </w:tc>
        <w:tc>
          <w:tcPr>
            <w:tcW w:w="835" w:type="pct"/>
            <w:shd w:val="clear" w:color="auto" w:fill="auto"/>
            <w:vAlign w:val="bottom"/>
          </w:tcPr>
          <w:p w:rsidR="00092652" w:rsidRDefault="0039522B">
            <w:pPr>
              <w:spacing w:before="50" w:after="50"/>
              <w:jc w:val="right"/>
              <w:rPr>
                <w:rFonts w:ascii="宋体" w:hAnsi="宋体"/>
                <w:sz w:val="24"/>
                <w:szCs w:val="24"/>
              </w:rPr>
            </w:pPr>
            <w:r>
              <w:rPr>
                <w:rFonts w:ascii="宋体" w:hAnsi="宋体"/>
                <w:sz w:val="24"/>
                <w:szCs w:val="24"/>
              </w:rPr>
              <w:t>207.74</w:t>
            </w:r>
          </w:p>
        </w:tc>
      </w:tr>
      <w:tr w:rsidR="00092652">
        <w:tc>
          <w:tcPr>
            <w:tcW w:w="5000" w:type="pct"/>
            <w:gridSpan w:val="4"/>
            <w:shd w:val="clear" w:color="auto" w:fill="auto"/>
            <w:vAlign w:val="bottom"/>
          </w:tcPr>
          <w:p w:rsidR="00092652" w:rsidRDefault="0039522B">
            <w:pPr>
              <w:spacing w:before="50" w:after="50"/>
              <w:rPr>
                <w:rFonts w:ascii="宋体" w:hAnsi="宋体"/>
                <w:b/>
                <w:sz w:val="24"/>
                <w:szCs w:val="24"/>
              </w:rPr>
            </w:pPr>
            <w:r>
              <w:rPr>
                <w:rFonts w:ascii="宋体" w:hAnsi="宋体"/>
                <w:b/>
                <w:sz w:val="24"/>
                <w:szCs w:val="24"/>
              </w:rPr>
              <w:t>假设一：2021年归属于母公司股东的扣除非经常性损益的净利润较2020年无增长</w:t>
            </w:r>
          </w:p>
        </w:tc>
      </w:tr>
      <w:tr w:rsidR="00092652">
        <w:tc>
          <w:tcPr>
            <w:tcW w:w="2071" w:type="pct"/>
            <w:shd w:val="clear" w:color="auto" w:fill="auto"/>
            <w:vAlign w:val="bottom"/>
          </w:tcPr>
          <w:p w:rsidR="00092652" w:rsidRDefault="0039522B">
            <w:pPr>
              <w:spacing w:before="50" w:after="50"/>
              <w:rPr>
                <w:rFonts w:ascii="宋体" w:hAnsi="宋体"/>
                <w:sz w:val="24"/>
                <w:szCs w:val="24"/>
              </w:rPr>
            </w:pPr>
            <w:r>
              <w:rPr>
                <w:rFonts w:ascii="宋体" w:hAnsi="宋体"/>
                <w:sz w:val="24"/>
                <w:szCs w:val="24"/>
              </w:rPr>
              <w:t>归属于母公司股东的扣除非经常性损益的净利润</w:t>
            </w:r>
            <w:r>
              <w:rPr>
                <w:rFonts w:ascii="宋体" w:hAnsi="宋体" w:hint="eastAsia"/>
                <w:sz w:val="24"/>
                <w:szCs w:val="24"/>
              </w:rPr>
              <w:t>（</w:t>
            </w:r>
            <w:r>
              <w:rPr>
                <w:rFonts w:ascii="宋体" w:hAnsi="宋体"/>
                <w:sz w:val="24"/>
                <w:szCs w:val="24"/>
              </w:rPr>
              <w:t>亿元</w:t>
            </w:r>
            <w:r>
              <w:rPr>
                <w:rFonts w:ascii="宋体" w:hAnsi="宋体" w:hint="eastAsia"/>
                <w:sz w:val="24"/>
                <w:szCs w:val="24"/>
              </w:rPr>
              <w:t>）</w:t>
            </w:r>
          </w:p>
        </w:tc>
        <w:tc>
          <w:tcPr>
            <w:tcW w:w="1259" w:type="pct"/>
            <w:shd w:val="clear" w:color="auto" w:fill="auto"/>
            <w:vAlign w:val="center"/>
          </w:tcPr>
          <w:p w:rsidR="00092652" w:rsidRDefault="0039522B">
            <w:pPr>
              <w:spacing w:before="50" w:after="50"/>
              <w:jc w:val="right"/>
              <w:rPr>
                <w:rFonts w:ascii="宋体" w:hAnsi="宋体"/>
                <w:sz w:val="24"/>
                <w:szCs w:val="24"/>
              </w:rPr>
            </w:pPr>
            <w:r>
              <w:rPr>
                <w:rFonts w:ascii="宋体" w:hAnsi="宋体" w:hint="eastAsia"/>
                <w:sz w:val="24"/>
                <w:szCs w:val="24"/>
              </w:rPr>
              <w:t>662.</w:t>
            </w:r>
            <w:r>
              <w:rPr>
                <w:rFonts w:ascii="宋体" w:hAnsi="宋体"/>
                <w:sz w:val="24"/>
                <w:szCs w:val="24"/>
              </w:rPr>
              <w:t>18</w:t>
            </w:r>
          </w:p>
        </w:tc>
        <w:tc>
          <w:tcPr>
            <w:tcW w:w="835" w:type="pct"/>
            <w:shd w:val="clear" w:color="auto" w:fill="auto"/>
            <w:vAlign w:val="center"/>
          </w:tcPr>
          <w:p w:rsidR="00092652" w:rsidRDefault="0039522B">
            <w:pPr>
              <w:spacing w:before="50" w:after="50"/>
              <w:jc w:val="right"/>
              <w:rPr>
                <w:rFonts w:ascii="宋体" w:hAnsi="宋体"/>
                <w:sz w:val="24"/>
                <w:szCs w:val="24"/>
              </w:rPr>
            </w:pPr>
            <w:r>
              <w:rPr>
                <w:rFonts w:ascii="宋体" w:hAnsi="宋体" w:hint="eastAsia"/>
                <w:color w:val="000000"/>
                <w:sz w:val="24"/>
                <w:szCs w:val="24"/>
              </w:rPr>
              <w:t>662.18</w:t>
            </w:r>
          </w:p>
        </w:tc>
        <w:tc>
          <w:tcPr>
            <w:tcW w:w="835" w:type="pct"/>
            <w:shd w:val="clear" w:color="auto" w:fill="auto"/>
            <w:vAlign w:val="center"/>
          </w:tcPr>
          <w:p w:rsidR="00092652" w:rsidRDefault="0039522B">
            <w:pPr>
              <w:spacing w:before="50" w:after="50"/>
              <w:jc w:val="right"/>
              <w:rPr>
                <w:rFonts w:ascii="宋体" w:hAnsi="宋体"/>
                <w:sz w:val="24"/>
                <w:szCs w:val="24"/>
              </w:rPr>
            </w:pPr>
            <w:r>
              <w:rPr>
                <w:rFonts w:ascii="宋体" w:hAnsi="宋体" w:hint="eastAsia"/>
                <w:color w:val="000000"/>
                <w:sz w:val="24"/>
                <w:szCs w:val="24"/>
              </w:rPr>
              <w:t>660.08</w:t>
            </w:r>
          </w:p>
        </w:tc>
      </w:tr>
      <w:tr w:rsidR="00092652">
        <w:tc>
          <w:tcPr>
            <w:tcW w:w="2071" w:type="pct"/>
            <w:shd w:val="clear" w:color="auto" w:fill="auto"/>
            <w:vAlign w:val="bottom"/>
          </w:tcPr>
          <w:p w:rsidR="00092652" w:rsidRDefault="0039522B">
            <w:pPr>
              <w:spacing w:before="50" w:after="50"/>
              <w:rPr>
                <w:rFonts w:ascii="宋体" w:hAnsi="宋体"/>
                <w:sz w:val="24"/>
                <w:szCs w:val="24"/>
              </w:rPr>
            </w:pPr>
            <w:r>
              <w:rPr>
                <w:rFonts w:ascii="宋体" w:hAnsi="宋体"/>
                <w:sz w:val="24"/>
                <w:szCs w:val="24"/>
              </w:rPr>
              <w:t>归属于母公司普通股股东的扣除非经常性损益的净利润（亿元）</w:t>
            </w:r>
          </w:p>
        </w:tc>
        <w:tc>
          <w:tcPr>
            <w:tcW w:w="1259" w:type="pct"/>
            <w:shd w:val="clear" w:color="auto" w:fill="auto"/>
            <w:vAlign w:val="center"/>
          </w:tcPr>
          <w:p w:rsidR="00092652" w:rsidRDefault="0039522B">
            <w:pPr>
              <w:spacing w:before="50" w:after="50"/>
              <w:jc w:val="right"/>
              <w:rPr>
                <w:rFonts w:ascii="宋体" w:hAnsi="宋体"/>
                <w:sz w:val="24"/>
                <w:szCs w:val="24"/>
              </w:rPr>
            </w:pPr>
            <w:r>
              <w:rPr>
                <w:rFonts w:ascii="宋体" w:hAnsi="宋体" w:hint="eastAsia"/>
                <w:sz w:val="24"/>
                <w:szCs w:val="24"/>
              </w:rPr>
              <w:t>636.</w:t>
            </w:r>
            <w:r>
              <w:rPr>
                <w:rFonts w:ascii="宋体" w:hAnsi="宋体"/>
                <w:sz w:val="24"/>
                <w:szCs w:val="24"/>
              </w:rPr>
              <w:t>69</w:t>
            </w:r>
          </w:p>
        </w:tc>
        <w:tc>
          <w:tcPr>
            <w:tcW w:w="835" w:type="pct"/>
            <w:shd w:val="clear" w:color="auto" w:fill="auto"/>
            <w:vAlign w:val="center"/>
          </w:tcPr>
          <w:p w:rsidR="00092652" w:rsidRDefault="0039522B">
            <w:pPr>
              <w:spacing w:before="50" w:after="50"/>
              <w:jc w:val="right"/>
              <w:rPr>
                <w:rFonts w:ascii="宋体" w:hAnsi="宋体"/>
                <w:sz w:val="24"/>
                <w:szCs w:val="24"/>
              </w:rPr>
            </w:pPr>
            <w:r>
              <w:rPr>
                <w:rFonts w:ascii="宋体" w:hAnsi="宋体" w:hint="eastAsia"/>
                <w:color w:val="000000"/>
                <w:sz w:val="24"/>
                <w:szCs w:val="24"/>
              </w:rPr>
              <w:t>619.58</w:t>
            </w:r>
          </w:p>
        </w:tc>
        <w:tc>
          <w:tcPr>
            <w:tcW w:w="835" w:type="pct"/>
            <w:shd w:val="clear" w:color="auto" w:fill="auto"/>
            <w:vAlign w:val="center"/>
          </w:tcPr>
          <w:p w:rsidR="00092652" w:rsidRDefault="0039522B">
            <w:pPr>
              <w:spacing w:before="50" w:after="50"/>
              <w:jc w:val="right"/>
              <w:rPr>
                <w:rFonts w:ascii="宋体" w:hAnsi="宋体"/>
                <w:sz w:val="24"/>
                <w:szCs w:val="24"/>
              </w:rPr>
            </w:pPr>
            <w:r>
              <w:rPr>
                <w:rFonts w:ascii="宋体" w:hAnsi="宋体" w:hint="eastAsia"/>
                <w:color w:val="000000"/>
                <w:sz w:val="24"/>
                <w:szCs w:val="24"/>
              </w:rPr>
              <w:t>617.48</w:t>
            </w:r>
          </w:p>
        </w:tc>
      </w:tr>
      <w:tr w:rsidR="00092652">
        <w:tc>
          <w:tcPr>
            <w:tcW w:w="2071" w:type="pct"/>
            <w:shd w:val="clear" w:color="auto" w:fill="auto"/>
            <w:vAlign w:val="bottom"/>
          </w:tcPr>
          <w:p w:rsidR="00092652" w:rsidRDefault="0039522B">
            <w:pPr>
              <w:spacing w:before="50" w:after="50"/>
              <w:rPr>
                <w:rFonts w:ascii="宋体" w:hAnsi="宋体"/>
                <w:sz w:val="24"/>
                <w:szCs w:val="24"/>
              </w:rPr>
            </w:pPr>
            <w:r>
              <w:rPr>
                <w:rFonts w:ascii="宋体" w:hAnsi="宋体"/>
                <w:sz w:val="24"/>
                <w:szCs w:val="24"/>
              </w:rPr>
              <w:t>扣除非经常性损益后归属于母公司普通股股东的基本每股收益（元/股）</w:t>
            </w:r>
          </w:p>
        </w:tc>
        <w:tc>
          <w:tcPr>
            <w:tcW w:w="1259" w:type="pct"/>
            <w:shd w:val="clear" w:color="auto" w:fill="auto"/>
            <w:vAlign w:val="center"/>
          </w:tcPr>
          <w:p w:rsidR="00092652" w:rsidRDefault="0039522B" w:rsidP="003863DD">
            <w:pPr>
              <w:spacing w:before="50" w:after="50"/>
              <w:jc w:val="right"/>
              <w:rPr>
                <w:rFonts w:ascii="宋体" w:hAnsi="宋体"/>
                <w:sz w:val="24"/>
                <w:szCs w:val="24"/>
              </w:rPr>
            </w:pPr>
            <w:r>
              <w:rPr>
                <w:rFonts w:ascii="宋体" w:hAnsi="宋体" w:hint="eastAsia"/>
                <w:sz w:val="24"/>
                <w:szCs w:val="24"/>
              </w:rPr>
              <w:t>3.</w:t>
            </w:r>
            <w:r w:rsidR="003863DD">
              <w:rPr>
                <w:rFonts w:ascii="宋体" w:hAnsi="宋体" w:hint="eastAsia"/>
                <w:sz w:val="24"/>
                <w:szCs w:val="24"/>
              </w:rPr>
              <w:t>06</w:t>
            </w:r>
          </w:p>
        </w:tc>
        <w:tc>
          <w:tcPr>
            <w:tcW w:w="835" w:type="pct"/>
            <w:shd w:val="clear" w:color="auto" w:fill="auto"/>
            <w:vAlign w:val="center"/>
          </w:tcPr>
          <w:p w:rsidR="00092652" w:rsidRDefault="0039522B">
            <w:pPr>
              <w:spacing w:before="50" w:after="50"/>
              <w:jc w:val="right"/>
              <w:rPr>
                <w:rFonts w:ascii="宋体" w:hAnsi="宋体"/>
                <w:sz w:val="24"/>
                <w:szCs w:val="24"/>
              </w:rPr>
            </w:pPr>
            <w:r>
              <w:rPr>
                <w:rFonts w:ascii="宋体" w:hAnsi="宋体" w:hint="eastAsia"/>
                <w:sz w:val="24"/>
                <w:szCs w:val="24"/>
              </w:rPr>
              <w:t>2.98</w:t>
            </w:r>
          </w:p>
        </w:tc>
        <w:tc>
          <w:tcPr>
            <w:tcW w:w="835" w:type="pct"/>
            <w:shd w:val="clear" w:color="auto" w:fill="auto"/>
            <w:vAlign w:val="center"/>
          </w:tcPr>
          <w:p w:rsidR="00092652" w:rsidRDefault="0039522B">
            <w:pPr>
              <w:spacing w:before="50" w:after="50"/>
              <w:jc w:val="right"/>
              <w:rPr>
                <w:rFonts w:ascii="宋体" w:hAnsi="宋体"/>
                <w:sz w:val="24"/>
                <w:szCs w:val="24"/>
              </w:rPr>
            </w:pPr>
            <w:r>
              <w:rPr>
                <w:rFonts w:ascii="宋体" w:hAnsi="宋体" w:hint="eastAsia"/>
                <w:sz w:val="24"/>
                <w:szCs w:val="24"/>
              </w:rPr>
              <w:t>2.97</w:t>
            </w:r>
          </w:p>
        </w:tc>
      </w:tr>
      <w:tr w:rsidR="00092652">
        <w:tc>
          <w:tcPr>
            <w:tcW w:w="2071" w:type="pct"/>
            <w:shd w:val="clear" w:color="auto" w:fill="auto"/>
            <w:vAlign w:val="bottom"/>
          </w:tcPr>
          <w:p w:rsidR="00092652" w:rsidRDefault="0039522B">
            <w:pPr>
              <w:spacing w:before="50" w:after="50"/>
              <w:rPr>
                <w:rFonts w:ascii="宋体" w:hAnsi="宋体"/>
                <w:sz w:val="24"/>
                <w:szCs w:val="24"/>
              </w:rPr>
            </w:pPr>
            <w:r>
              <w:rPr>
                <w:rFonts w:ascii="宋体" w:hAnsi="宋体"/>
                <w:sz w:val="24"/>
                <w:szCs w:val="24"/>
              </w:rPr>
              <w:t>扣除非经常性损益后归属于母公司普通股股东的稀释每股收益（元/股）</w:t>
            </w:r>
          </w:p>
        </w:tc>
        <w:tc>
          <w:tcPr>
            <w:tcW w:w="1259" w:type="pct"/>
            <w:shd w:val="clear" w:color="auto" w:fill="auto"/>
            <w:vAlign w:val="center"/>
          </w:tcPr>
          <w:p w:rsidR="00092652" w:rsidRDefault="0039522B" w:rsidP="003863DD">
            <w:pPr>
              <w:spacing w:before="50" w:after="50"/>
              <w:jc w:val="right"/>
              <w:rPr>
                <w:rFonts w:ascii="宋体" w:hAnsi="宋体"/>
                <w:sz w:val="24"/>
                <w:szCs w:val="24"/>
              </w:rPr>
            </w:pPr>
            <w:r>
              <w:rPr>
                <w:rFonts w:ascii="宋体" w:hAnsi="宋体" w:hint="eastAsia"/>
                <w:sz w:val="24"/>
                <w:szCs w:val="24"/>
              </w:rPr>
              <w:t>3.</w:t>
            </w:r>
            <w:r w:rsidR="003863DD">
              <w:rPr>
                <w:rFonts w:ascii="宋体" w:hAnsi="宋体" w:hint="eastAsia"/>
                <w:sz w:val="24"/>
                <w:szCs w:val="24"/>
              </w:rPr>
              <w:t>06</w:t>
            </w:r>
          </w:p>
        </w:tc>
        <w:tc>
          <w:tcPr>
            <w:tcW w:w="835" w:type="pct"/>
            <w:shd w:val="clear" w:color="auto" w:fill="auto"/>
            <w:vAlign w:val="center"/>
          </w:tcPr>
          <w:p w:rsidR="00092652" w:rsidRDefault="0039522B">
            <w:pPr>
              <w:spacing w:before="50" w:after="50"/>
              <w:jc w:val="right"/>
              <w:rPr>
                <w:rFonts w:ascii="宋体" w:hAnsi="宋体"/>
                <w:sz w:val="24"/>
                <w:szCs w:val="24"/>
              </w:rPr>
            </w:pPr>
            <w:r>
              <w:rPr>
                <w:rFonts w:ascii="宋体" w:hAnsi="宋体" w:hint="eastAsia"/>
                <w:sz w:val="24"/>
                <w:szCs w:val="24"/>
              </w:rPr>
              <w:t>2.98</w:t>
            </w:r>
          </w:p>
        </w:tc>
        <w:tc>
          <w:tcPr>
            <w:tcW w:w="835" w:type="pct"/>
            <w:shd w:val="clear" w:color="auto" w:fill="auto"/>
            <w:vAlign w:val="center"/>
          </w:tcPr>
          <w:p w:rsidR="00092652" w:rsidRDefault="0039522B">
            <w:pPr>
              <w:spacing w:before="50" w:after="50"/>
              <w:jc w:val="right"/>
              <w:rPr>
                <w:rFonts w:ascii="宋体" w:hAnsi="宋体"/>
                <w:sz w:val="24"/>
                <w:szCs w:val="24"/>
              </w:rPr>
            </w:pPr>
            <w:r>
              <w:rPr>
                <w:rFonts w:ascii="宋体" w:hAnsi="宋体" w:hint="eastAsia"/>
                <w:sz w:val="24"/>
                <w:szCs w:val="24"/>
              </w:rPr>
              <w:t>2.94</w:t>
            </w:r>
          </w:p>
        </w:tc>
      </w:tr>
      <w:tr w:rsidR="00092652">
        <w:tc>
          <w:tcPr>
            <w:tcW w:w="5000" w:type="pct"/>
            <w:gridSpan w:val="4"/>
            <w:shd w:val="clear" w:color="auto" w:fill="auto"/>
            <w:vAlign w:val="bottom"/>
          </w:tcPr>
          <w:p w:rsidR="00092652" w:rsidRDefault="0039522B">
            <w:pPr>
              <w:spacing w:before="50" w:after="50"/>
              <w:rPr>
                <w:rFonts w:ascii="宋体" w:hAnsi="宋体"/>
                <w:b/>
                <w:sz w:val="24"/>
                <w:szCs w:val="24"/>
              </w:rPr>
            </w:pPr>
            <w:r>
              <w:rPr>
                <w:rFonts w:ascii="宋体" w:hAnsi="宋体"/>
                <w:b/>
                <w:sz w:val="24"/>
                <w:szCs w:val="24"/>
              </w:rPr>
              <w:t>假设二：2021年归属于母公司股东的扣除非经常损益的净利润较2020年增长3%</w:t>
            </w:r>
          </w:p>
        </w:tc>
      </w:tr>
      <w:tr w:rsidR="00092652">
        <w:tc>
          <w:tcPr>
            <w:tcW w:w="2071" w:type="pct"/>
            <w:shd w:val="clear" w:color="auto" w:fill="auto"/>
            <w:vAlign w:val="bottom"/>
          </w:tcPr>
          <w:p w:rsidR="00092652" w:rsidRDefault="0039522B">
            <w:pPr>
              <w:spacing w:before="50" w:after="50"/>
              <w:rPr>
                <w:rFonts w:ascii="宋体" w:hAnsi="宋体"/>
                <w:sz w:val="24"/>
                <w:szCs w:val="24"/>
              </w:rPr>
            </w:pPr>
            <w:r>
              <w:rPr>
                <w:rFonts w:ascii="宋体" w:hAnsi="宋体"/>
                <w:sz w:val="24"/>
                <w:szCs w:val="24"/>
              </w:rPr>
              <w:t>归属于母公司股东的扣除非经常性损益的净利润</w:t>
            </w:r>
            <w:r>
              <w:rPr>
                <w:rFonts w:ascii="宋体" w:hAnsi="宋体" w:hint="eastAsia"/>
                <w:sz w:val="24"/>
                <w:szCs w:val="24"/>
              </w:rPr>
              <w:t>（</w:t>
            </w:r>
            <w:r>
              <w:rPr>
                <w:rFonts w:ascii="宋体" w:hAnsi="宋体"/>
                <w:sz w:val="24"/>
                <w:szCs w:val="24"/>
              </w:rPr>
              <w:t>亿元</w:t>
            </w:r>
            <w:r>
              <w:rPr>
                <w:rFonts w:ascii="宋体" w:hAnsi="宋体" w:hint="eastAsia"/>
                <w:sz w:val="24"/>
                <w:szCs w:val="24"/>
              </w:rPr>
              <w:t>）</w:t>
            </w:r>
          </w:p>
        </w:tc>
        <w:tc>
          <w:tcPr>
            <w:tcW w:w="1259" w:type="pct"/>
            <w:shd w:val="clear" w:color="auto" w:fill="auto"/>
            <w:vAlign w:val="center"/>
          </w:tcPr>
          <w:p w:rsidR="00092652" w:rsidRDefault="0039522B">
            <w:pPr>
              <w:spacing w:before="50" w:after="50"/>
              <w:jc w:val="right"/>
              <w:rPr>
                <w:rFonts w:ascii="宋体" w:hAnsi="宋体"/>
                <w:sz w:val="24"/>
                <w:szCs w:val="24"/>
              </w:rPr>
            </w:pPr>
            <w:r>
              <w:rPr>
                <w:rFonts w:ascii="宋体" w:hAnsi="宋体" w:hint="eastAsia"/>
                <w:sz w:val="24"/>
                <w:szCs w:val="24"/>
              </w:rPr>
              <w:t>662.</w:t>
            </w:r>
            <w:r>
              <w:rPr>
                <w:rFonts w:ascii="宋体" w:hAnsi="宋体"/>
                <w:sz w:val="24"/>
                <w:szCs w:val="24"/>
              </w:rPr>
              <w:t>18</w:t>
            </w:r>
          </w:p>
        </w:tc>
        <w:tc>
          <w:tcPr>
            <w:tcW w:w="835" w:type="pct"/>
            <w:shd w:val="clear" w:color="auto" w:fill="auto"/>
            <w:vAlign w:val="center"/>
          </w:tcPr>
          <w:p w:rsidR="00092652" w:rsidRDefault="0039522B">
            <w:pPr>
              <w:spacing w:before="50" w:after="50"/>
              <w:jc w:val="right"/>
              <w:rPr>
                <w:rFonts w:ascii="宋体" w:hAnsi="宋体"/>
                <w:sz w:val="24"/>
                <w:szCs w:val="24"/>
              </w:rPr>
            </w:pPr>
            <w:r>
              <w:rPr>
                <w:rFonts w:ascii="宋体" w:hAnsi="宋体" w:hint="eastAsia"/>
                <w:color w:val="000000"/>
                <w:sz w:val="24"/>
                <w:szCs w:val="24"/>
              </w:rPr>
              <w:t>682.05</w:t>
            </w:r>
          </w:p>
        </w:tc>
        <w:tc>
          <w:tcPr>
            <w:tcW w:w="835" w:type="pct"/>
            <w:shd w:val="clear" w:color="auto" w:fill="auto"/>
            <w:vAlign w:val="center"/>
          </w:tcPr>
          <w:p w:rsidR="00092652" w:rsidRDefault="0039522B" w:rsidP="00402663">
            <w:pPr>
              <w:spacing w:before="50" w:after="50"/>
              <w:jc w:val="right"/>
              <w:rPr>
                <w:rFonts w:ascii="宋体" w:hAnsi="宋体"/>
                <w:sz w:val="24"/>
                <w:szCs w:val="24"/>
              </w:rPr>
            </w:pPr>
            <w:r>
              <w:rPr>
                <w:rFonts w:ascii="宋体" w:hAnsi="宋体" w:hint="eastAsia"/>
                <w:color w:val="000000"/>
                <w:sz w:val="24"/>
                <w:szCs w:val="24"/>
              </w:rPr>
              <w:t>679.</w:t>
            </w:r>
            <w:r w:rsidR="00402663">
              <w:rPr>
                <w:rFonts w:ascii="宋体" w:hAnsi="宋体" w:hint="eastAsia"/>
                <w:color w:val="000000"/>
                <w:sz w:val="24"/>
                <w:szCs w:val="24"/>
              </w:rPr>
              <w:t>95</w:t>
            </w:r>
          </w:p>
        </w:tc>
      </w:tr>
      <w:tr w:rsidR="00092652">
        <w:tc>
          <w:tcPr>
            <w:tcW w:w="2071" w:type="pct"/>
            <w:shd w:val="clear" w:color="auto" w:fill="auto"/>
            <w:vAlign w:val="bottom"/>
          </w:tcPr>
          <w:p w:rsidR="00092652" w:rsidRDefault="0039522B">
            <w:pPr>
              <w:spacing w:before="50" w:after="50"/>
              <w:rPr>
                <w:rFonts w:ascii="宋体" w:hAnsi="宋体"/>
                <w:sz w:val="24"/>
                <w:szCs w:val="24"/>
              </w:rPr>
            </w:pPr>
            <w:r>
              <w:rPr>
                <w:rFonts w:ascii="宋体" w:hAnsi="宋体"/>
                <w:sz w:val="24"/>
                <w:szCs w:val="24"/>
              </w:rPr>
              <w:t>归属于母公司普通股股东的扣除非经常性损益的净利润（亿元）</w:t>
            </w:r>
          </w:p>
        </w:tc>
        <w:tc>
          <w:tcPr>
            <w:tcW w:w="1259" w:type="pct"/>
            <w:shd w:val="clear" w:color="auto" w:fill="auto"/>
            <w:vAlign w:val="center"/>
          </w:tcPr>
          <w:p w:rsidR="00092652" w:rsidRDefault="0039522B">
            <w:pPr>
              <w:spacing w:before="50" w:after="50"/>
              <w:jc w:val="right"/>
              <w:rPr>
                <w:rFonts w:ascii="宋体" w:hAnsi="宋体"/>
                <w:sz w:val="24"/>
                <w:szCs w:val="24"/>
              </w:rPr>
            </w:pPr>
            <w:r>
              <w:rPr>
                <w:rFonts w:ascii="宋体" w:hAnsi="宋体" w:hint="eastAsia"/>
                <w:sz w:val="24"/>
                <w:szCs w:val="24"/>
              </w:rPr>
              <w:t>636.</w:t>
            </w:r>
            <w:r>
              <w:rPr>
                <w:rFonts w:ascii="宋体" w:hAnsi="宋体"/>
                <w:sz w:val="24"/>
                <w:szCs w:val="24"/>
              </w:rPr>
              <w:t>69</w:t>
            </w:r>
          </w:p>
        </w:tc>
        <w:tc>
          <w:tcPr>
            <w:tcW w:w="835" w:type="pct"/>
            <w:shd w:val="clear" w:color="auto" w:fill="auto"/>
            <w:vAlign w:val="center"/>
          </w:tcPr>
          <w:p w:rsidR="00092652" w:rsidRDefault="0039522B">
            <w:pPr>
              <w:spacing w:before="50" w:after="50"/>
              <w:jc w:val="right"/>
              <w:rPr>
                <w:rFonts w:ascii="宋体" w:hAnsi="宋体"/>
                <w:sz w:val="24"/>
                <w:szCs w:val="24"/>
              </w:rPr>
            </w:pPr>
            <w:r>
              <w:rPr>
                <w:rFonts w:ascii="宋体" w:hAnsi="宋体" w:hint="eastAsia"/>
                <w:color w:val="000000"/>
                <w:sz w:val="24"/>
                <w:szCs w:val="24"/>
              </w:rPr>
              <w:t>639.44</w:t>
            </w:r>
          </w:p>
        </w:tc>
        <w:tc>
          <w:tcPr>
            <w:tcW w:w="835" w:type="pct"/>
            <w:shd w:val="clear" w:color="auto" w:fill="auto"/>
            <w:vAlign w:val="center"/>
          </w:tcPr>
          <w:p w:rsidR="00092652" w:rsidRDefault="0039522B">
            <w:pPr>
              <w:spacing w:before="50" w:after="50"/>
              <w:jc w:val="right"/>
              <w:rPr>
                <w:rFonts w:ascii="宋体" w:hAnsi="宋体"/>
                <w:sz w:val="24"/>
                <w:szCs w:val="24"/>
              </w:rPr>
            </w:pPr>
            <w:r>
              <w:rPr>
                <w:rFonts w:ascii="宋体" w:hAnsi="宋体" w:hint="eastAsia"/>
                <w:color w:val="000000"/>
                <w:sz w:val="24"/>
                <w:szCs w:val="24"/>
              </w:rPr>
              <w:t>637.34</w:t>
            </w:r>
          </w:p>
        </w:tc>
      </w:tr>
      <w:tr w:rsidR="00092652">
        <w:tc>
          <w:tcPr>
            <w:tcW w:w="2071" w:type="pct"/>
            <w:shd w:val="clear" w:color="auto" w:fill="auto"/>
            <w:vAlign w:val="bottom"/>
          </w:tcPr>
          <w:p w:rsidR="00092652" w:rsidRDefault="0039522B">
            <w:pPr>
              <w:spacing w:before="50" w:after="50"/>
              <w:rPr>
                <w:rFonts w:ascii="宋体" w:hAnsi="宋体"/>
                <w:sz w:val="24"/>
                <w:szCs w:val="24"/>
              </w:rPr>
            </w:pPr>
            <w:r>
              <w:rPr>
                <w:rFonts w:ascii="宋体" w:hAnsi="宋体"/>
                <w:sz w:val="24"/>
                <w:szCs w:val="24"/>
              </w:rPr>
              <w:lastRenderedPageBreak/>
              <w:t>扣除非经常性损益后归属于母公司普通股股东的基本每股收益（元/股）</w:t>
            </w:r>
          </w:p>
        </w:tc>
        <w:tc>
          <w:tcPr>
            <w:tcW w:w="1259" w:type="pct"/>
            <w:shd w:val="clear" w:color="auto" w:fill="auto"/>
            <w:vAlign w:val="center"/>
          </w:tcPr>
          <w:p w:rsidR="00092652" w:rsidRDefault="0039522B" w:rsidP="003863DD">
            <w:pPr>
              <w:spacing w:before="50" w:after="50"/>
              <w:jc w:val="right"/>
              <w:rPr>
                <w:rFonts w:ascii="宋体" w:hAnsi="宋体"/>
                <w:sz w:val="24"/>
                <w:szCs w:val="24"/>
              </w:rPr>
            </w:pPr>
            <w:r>
              <w:rPr>
                <w:rFonts w:ascii="宋体" w:hAnsi="宋体" w:hint="eastAsia"/>
                <w:sz w:val="24"/>
                <w:szCs w:val="24"/>
              </w:rPr>
              <w:t>3.</w:t>
            </w:r>
            <w:r w:rsidR="003863DD">
              <w:rPr>
                <w:rFonts w:ascii="宋体" w:hAnsi="宋体" w:hint="eastAsia"/>
                <w:sz w:val="24"/>
                <w:szCs w:val="24"/>
              </w:rPr>
              <w:t>06</w:t>
            </w:r>
          </w:p>
        </w:tc>
        <w:tc>
          <w:tcPr>
            <w:tcW w:w="835" w:type="pct"/>
            <w:shd w:val="clear" w:color="auto" w:fill="auto"/>
            <w:vAlign w:val="center"/>
          </w:tcPr>
          <w:p w:rsidR="00092652" w:rsidRDefault="0039522B">
            <w:pPr>
              <w:spacing w:before="50" w:after="50"/>
              <w:jc w:val="right"/>
              <w:rPr>
                <w:rFonts w:ascii="宋体" w:hAnsi="宋体"/>
                <w:sz w:val="24"/>
                <w:szCs w:val="24"/>
              </w:rPr>
            </w:pPr>
            <w:r>
              <w:rPr>
                <w:rFonts w:ascii="宋体" w:hAnsi="宋体" w:hint="eastAsia"/>
                <w:sz w:val="24"/>
                <w:szCs w:val="24"/>
              </w:rPr>
              <w:t>3.08</w:t>
            </w:r>
          </w:p>
        </w:tc>
        <w:tc>
          <w:tcPr>
            <w:tcW w:w="835" w:type="pct"/>
            <w:shd w:val="clear" w:color="auto" w:fill="auto"/>
            <w:vAlign w:val="center"/>
          </w:tcPr>
          <w:p w:rsidR="00092652" w:rsidRDefault="0039522B">
            <w:pPr>
              <w:spacing w:before="50" w:after="50"/>
              <w:jc w:val="right"/>
              <w:rPr>
                <w:rFonts w:ascii="宋体" w:hAnsi="宋体"/>
                <w:sz w:val="24"/>
                <w:szCs w:val="24"/>
              </w:rPr>
            </w:pPr>
            <w:r>
              <w:rPr>
                <w:rFonts w:ascii="宋体" w:hAnsi="宋体" w:hint="eastAsia"/>
                <w:sz w:val="24"/>
                <w:szCs w:val="24"/>
              </w:rPr>
              <w:t>3.07</w:t>
            </w:r>
          </w:p>
        </w:tc>
      </w:tr>
      <w:tr w:rsidR="00092652">
        <w:tc>
          <w:tcPr>
            <w:tcW w:w="2071" w:type="pct"/>
            <w:shd w:val="clear" w:color="auto" w:fill="auto"/>
            <w:vAlign w:val="bottom"/>
          </w:tcPr>
          <w:p w:rsidR="00092652" w:rsidRDefault="0039522B">
            <w:pPr>
              <w:spacing w:before="50" w:after="50"/>
              <w:rPr>
                <w:rFonts w:ascii="宋体" w:hAnsi="宋体"/>
                <w:sz w:val="24"/>
                <w:szCs w:val="24"/>
              </w:rPr>
            </w:pPr>
            <w:r>
              <w:rPr>
                <w:rFonts w:ascii="宋体" w:hAnsi="宋体"/>
                <w:sz w:val="24"/>
                <w:szCs w:val="24"/>
              </w:rPr>
              <w:t>扣除非经常性损益后归属于母公司普通股股东的稀释每股收益（元/股）</w:t>
            </w:r>
          </w:p>
        </w:tc>
        <w:tc>
          <w:tcPr>
            <w:tcW w:w="1259" w:type="pct"/>
            <w:shd w:val="clear" w:color="auto" w:fill="auto"/>
            <w:vAlign w:val="center"/>
          </w:tcPr>
          <w:p w:rsidR="00092652" w:rsidRDefault="0039522B" w:rsidP="003863DD">
            <w:pPr>
              <w:spacing w:before="50" w:after="50"/>
              <w:jc w:val="right"/>
              <w:rPr>
                <w:rFonts w:ascii="宋体" w:hAnsi="宋体"/>
                <w:sz w:val="24"/>
                <w:szCs w:val="24"/>
              </w:rPr>
            </w:pPr>
            <w:r>
              <w:rPr>
                <w:rFonts w:ascii="宋体" w:hAnsi="宋体" w:hint="eastAsia"/>
                <w:sz w:val="24"/>
                <w:szCs w:val="24"/>
              </w:rPr>
              <w:t>3.</w:t>
            </w:r>
            <w:r w:rsidR="003863DD">
              <w:rPr>
                <w:rFonts w:ascii="宋体" w:hAnsi="宋体" w:hint="eastAsia"/>
                <w:sz w:val="24"/>
                <w:szCs w:val="24"/>
              </w:rPr>
              <w:t>06</w:t>
            </w:r>
          </w:p>
        </w:tc>
        <w:tc>
          <w:tcPr>
            <w:tcW w:w="835" w:type="pct"/>
            <w:shd w:val="clear" w:color="auto" w:fill="auto"/>
            <w:vAlign w:val="center"/>
          </w:tcPr>
          <w:p w:rsidR="00092652" w:rsidRDefault="0039522B">
            <w:pPr>
              <w:spacing w:before="50" w:after="50"/>
              <w:jc w:val="right"/>
              <w:rPr>
                <w:rFonts w:ascii="宋体" w:hAnsi="宋体"/>
                <w:sz w:val="24"/>
                <w:szCs w:val="24"/>
              </w:rPr>
            </w:pPr>
            <w:r>
              <w:rPr>
                <w:rFonts w:ascii="宋体" w:hAnsi="宋体" w:hint="eastAsia"/>
                <w:sz w:val="24"/>
                <w:szCs w:val="24"/>
              </w:rPr>
              <w:t>3.08</w:t>
            </w:r>
          </w:p>
        </w:tc>
        <w:tc>
          <w:tcPr>
            <w:tcW w:w="835" w:type="pct"/>
            <w:shd w:val="clear" w:color="auto" w:fill="auto"/>
            <w:vAlign w:val="center"/>
          </w:tcPr>
          <w:p w:rsidR="00092652" w:rsidRDefault="0039522B">
            <w:pPr>
              <w:spacing w:before="50" w:after="50"/>
              <w:jc w:val="right"/>
              <w:rPr>
                <w:rFonts w:ascii="宋体" w:hAnsi="宋体"/>
                <w:sz w:val="24"/>
                <w:szCs w:val="24"/>
              </w:rPr>
            </w:pPr>
            <w:r>
              <w:rPr>
                <w:rFonts w:ascii="宋体" w:hAnsi="宋体" w:hint="eastAsia"/>
                <w:sz w:val="24"/>
                <w:szCs w:val="24"/>
              </w:rPr>
              <w:t>3.03</w:t>
            </w:r>
          </w:p>
        </w:tc>
      </w:tr>
      <w:tr w:rsidR="00092652">
        <w:tc>
          <w:tcPr>
            <w:tcW w:w="5000" w:type="pct"/>
            <w:gridSpan w:val="4"/>
            <w:shd w:val="clear" w:color="auto" w:fill="auto"/>
            <w:vAlign w:val="bottom"/>
          </w:tcPr>
          <w:p w:rsidR="00092652" w:rsidRDefault="0039522B">
            <w:pPr>
              <w:spacing w:before="50" w:after="50"/>
              <w:rPr>
                <w:rFonts w:ascii="宋体" w:hAnsi="宋体"/>
                <w:b/>
                <w:sz w:val="24"/>
                <w:szCs w:val="24"/>
              </w:rPr>
            </w:pPr>
            <w:r>
              <w:rPr>
                <w:rFonts w:ascii="宋体" w:hAnsi="宋体"/>
                <w:b/>
                <w:sz w:val="24"/>
                <w:szCs w:val="24"/>
              </w:rPr>
              <w:t>假设三：2021年归属于母公司股东的扣除非经常损益的净利润较2020年增长6%</w:t>
            </w:r>
          </w:p>
        </w:tc>
      </w:tr>
      <w:tr w:rsidR="00092652">
        <w:tc>
          <w:tcPr>
            <w:tcW w:w="2071" w:type="pct"/>
            <w:shd w:val="clear" w:color="auto" w:fill="auto"/>
            <w:vAlign w:val="bottom"/>
          </w:tcPr>
          <w:p w:rsidR="00092652" w:rsidRDefault="0039522B">
            <w:pPr>
              <w:spacing w:before="50" w:after="50"/>
              <w:rPr>
                <w:rFonts w:ascii="宋体" w:hAnsi="宋体"/>
                <w:sz w:val="24"/>
                <w:szCs w:val="24"/>
              </w:rPr>
            </w:pPr>
            <w:r>
              <w:rPr>
                <w:rFonts w:ascii="宋体" w:hAnsi="宋体"/>
                <w:sz w:val="24"/>
                <w:szCs w:val="24"/>
              </w:rPr>
              <w:t>归属于母公司股东的扣除非经常性损益的净利润</w:t>
            </w:r>
            <w:r>
              <w:rPr>
                <w:rFonts w:ascii="宋体" w:hAnsi="宋体" w:hint="eastAsia"/>
                <w:sz w:val="24"/>
                <w:szCs w:val="24"/>
              </w:rPr>
              <w:t>（</w:t>
            </w:r>
            <w:r>
              <w:rPr>
                <w:rFonts w:ascii="宋体" w:hAnsi="宋体"/>
                <w:sz w:val="24"/>
                <w:szCs w:val="24"/>
              </w:rPr>
              <w:t>亿元</w:t>
            </w:r>
            <w:r>
              <w:rPr>
                <w:rFonts w:ascii="宋体" w:hAnsi="宋体" w:hint="eastAsia"/>
                <w:sz w:val="24"/>
                <w:szCs w:val="24"/>
              </w:rPr>
              <w:t>）</w:t>
            </w:r>
          </w:p>
        </w:tc>
        <w:tc>
          <w:tcPr>
            <w:tcW w:w="1259" w:type="pct"/>
            <w:shd w:val="clear" w:color="auto" w:fill="auto"/>
            <w:vAlign w:val="center"/>
          </w:tcPr>
          <w:p w:rsidR="00092652" w:rsidRDefault="0039522B">
            <w:pPr>
              <w:spacing w:before="50" w:after="50"/>
              <w:jc w:val="right"/>
              <w:rPr>
                <w:rFonts w:ascii="宋体" w:hAnsi="宋体"/>
                <w:sz w:val="24"/>
                <w:szCs w:val="24"/>
              </w:rPr>
            </w:pPr>
            <w:r>
              <w:rPr>
                <w:rFonts w:ascii="宋体" w:hAnsi="宋体" w:hint="eastAsia"/>
                <w:sz w:val="24"/>
                <w:szCs w:val="24"/>
              </w:rPr>
              <w:t>662.</w:t>
            </w:r>
            <w:r>
              <w:rPr>
                <w:rFonts w:ascii="宋体" w:hAnsi="宋体"/>
                <w:sz w:val="24"/>
                <w:szCs w:val="24"/>
              </w:rPr>
              <w:t>18</w:t>
            </w:r>
          </w:p>
        </w:tc>
        <w:tc>
          <w:tcPr>
            <w:tcW w:w="835" w:type="pct"/>
            <w:shd w:val="clear" w:color="auto" w:fill="auto"/>
            <w:vAlign w:val="center"/>
          </w:tcPr>
          <w:p w:rsidR="00092652" w:rsidRDefault="0039522B">
            <w:pPr>
              <w:spacing w:before="50" w:after="50"/>
              <w:jc w:val="right"/>
              <w:rPr>
                <w:rFonts w:ascii="宋体" w:hAnsi="宋体"/>
                <w:sz w:val="24"/>
                <w:szCs w:val="24"/>
              </w:rPr>
            </w:pPr>
            <w:r>
              <w:rPr>
                <w:rFonts w:ascii="宋体" w:hAnsi="宋体" w:hint="eastAsia"/>
                <w:color w:val="000000"/>
                <w:sz w:val="24"/>
                <w:szCs w:val="24"/>
              </w:rPr>
              <w:t>701.91</w:t>
            </w:r>
          </w:p>
        </w:tc>
        <w:tc>
          <w:tcPr>
            <w:tcW w:w="835" w:type="pct"/>
            <w:shd w:val="clear" w:color="auto" w:fill="auto"/>
            <w:vAlign w:val="center"/>
          </w:tcPr>
          <w:p w:rsidR="00092652" w:rsidRDefault="0039522B">
            <w:pPr>
              <w:spacing w:before="50" w:after="50"/>
              <w:jc w:val="right"/>
              <w:rPr>
                <w:rFonts w:ascii="宋体" w:hAnsi="宋体"/>
                <w:sz w:val="24"/>
                <w:szCs w:val="24"/>
              </w:rPr>
            </w:pPr>
            <w:r>
              <w:rPr>
                <w:rFonts w:ascii="宋体" w:hAnsi="宋体" w:hint="eastAsia"/>
                <w:color w:val="000000"/>
                <w:sz w:val="24"/>
                <w:szCs w:val="24"/>
              </w:rPr>
              <w:t>699.81</w:t>
            </w:r>
          </w:p>
        </w:tc>
      </w:tr>
      <w:tr w:rsidR="00092652">
        <w:tc>
          <w:tcPr>
            <w:tcW w:w="2071" w:type="pct"/>
            <w:shd w:val="clear" w:color="auto" w:fill="auto"/>
            <w:vAlign w:val="bottom"/>
          </w:tcPr>
          <w:p w:rsidR="00092652" w:rsidRDefault="0039522B">
            <w:pPr>
              <w:spacing w:before="50" w:after="50"/>
              <w:rPr>
                <w:rFonts w:ascii="宋体" w:hAnsi="宋体"/>
                <w:sz w:val="24"/>
                <w:szCs w:val="24"/>
              </w:rPr>
            </w:pPr>
            <w:r>
              <w:rPr>
                <w:rFonts w:ascii="宋体" w:hAnsi="宋体"/>
                <w:sz w:val="24"/>
                <w:szCs w:val="24"/>
              </w:rPr>
              <w:t>归属于母公司普通股股东的扣除非经常性损益的净利润（亿元）</w:t>
            </w:r>
          </w:p>
        </w:tc>
        <w:tc>
          <w:tcPr>
            <w:tcW w:w="1259" w:type="pct"/>
            <w:shd w:val="clear" w:color="auto" w:fill="auto"/>
            <w:vAlign w:val="center"/>
          </w:tcPr>
          <w:p w:rsidR="00092652" w:rsidRDefault="0039522B">
            <w:pPr>
              <w:spacing w:before="50" w:after="50"/>
              <w:jc w:val="right"/>
              <w:rPr>
                <w:rFonts w:ascii="宋体" w:hAnsi="宋体"/>
                <w:sz w:val="24"/>
                <w:szCs w:val="24"/>
              </w:rPr>
            </w:pPr>
            <w:r>
              <w:rPr>
                <w:rFonts w:ascii="宋体" w:hAnsi="宋体" w:hint="eastAsia"/>
                <w:sz w:val="24"/>
                <w:szCs w:val="24"/>
              </w:rPr>
              <w:t>636.</w:t>
            </w:r>
            <w:r>
              <w:rPr>
                <w:rFonts w:ascii="宋体" w:hAnsi="宋体"/>
                <w:sz w:val="24"/>
                <w:szCs w:val="24"/>
              </w:rPr>
              <w:t>69</w:t>
            </w:r>
          </w:p>
        </w:tc>
        <w:tc>
          <w:tcPr>
            <w:tcW w:w="835" w:type="pct"/>
            <w:shd w:val="clear" w:color="auto" w:fill="auto"/>
            <w:vAlign w:val="center"/>
          </w:tcPr>
          <w:p w:rsidR="00092652" w:rsidRDefault="0039522B">
            <w:pPr>
              <w:spacing w:before="50" w:after="50"/>
              <w:jc w:val="right"/>
              <w:rPr>
                <w:rFonts w:ascii="宋体" w:hAnsi="宋体"/>
                <w:sz w:val="24"/>
                <w:szCs w:val="24"/>
              </w:rPr>
            </w:pPr>
            <w:r>
              <w:rPr>
                <w:rFonts w:ascii="宋体" w:hAnsi="宋体" w:hint="eastAsia"/>
                <w:color w:val="000000"/>
                <w:sz w:val="24"/>
                <w:szCs w:val="24"/>
              </w:rPr>
              <w:t>659.31</w:t>
            </w:r>
          </w:p>
        </w:tc>
        <w:tc>
          <w:tcPr>
            <w:tcW w:w="835" w:type="pct"/>
            <w:shd w:val="clear" w:color="auto" w:fill="auto"/>
            <w:vAlign w:val="center"/>
          </w:tcPr>
          <w:p w:rsidR="00092652" w:rsidRDefault="0039522B">
            <w:pPr>
              <w:spacing w:before="50" w:after="50"/>
              <w:jc w:val="right"/>
              <w:rPr>
                <w:rFonts w:ascii="宋体" w:hAnsi="宋体"/>
                <w:sz w:val="24"/>
                <w:szCs w:val="24"/>
              </w:rPr>
            </w:pPr>
            <w:r>
              <w:rPr>
                <w:rFonts w:ascii="宋体" w:hAnsi="宋体" w:hint="eastAsia"/>
                <w:color w:val="000000"/>
                <w:sz w:val="24"/>
                <w:szCs w:val="24"/>
              </w:rPr>
              <w:t>657.21</w:t>
            </w:r>
          </w:p>
        </w:tc>
      </w:tr>
      <w:tr w:rsidR="00092652">
        <w:tc>
          <w:tcPr>
            <w:tcW w:w="2071" w:type="pct"/>
            <w:shd w:val="clear" w:color="auto" w:fill="auto"/>
            <w:vAlign w:val="bottom"/>
          </w:tcPr>
          <w:p w:rsidR="00092652" w:rsidRDefault="0039522B">
            <w:pPr>
              <w:spacing w:before="50" w:after="50"/>
              <w:rPr>
                <w:rFonts w:ascii="宋体" w:hAnsi="宋体"/>
                <w:sz w:val="24"/>
                <w:szCs w:val="24"/>
              </w:rPr>
            </w:pPr>
            <w:r>
              <w:rPr>
                <w:rFonts w:ascii="宋体" w:hAnsi="宋体"/>
                <w:sz w:val="24"/>
                <w:szCs w:val="24"/>
              </w:rPr>
              <w:t>扣除非经常性损益后归属于母公司普通股股东的基本每股收益（元/股）</w:t>
            </w:r>
          </w:p>
        </w:tc>
        <w:tc>
          <w:tcPr>
            <w:tcW w:w="1259" w:type="pct"/>
            <w:shd w:val="clear" w:color="auto" w:fill="auto"/>
            <w:vAlign w:val="center"/>
          </w:tcPr>
          <w:p w:rsidR="00092652" w:rsidRDefault="0039522B" w:rsidP="003863DD">
            <w:pPr>
              <w:spacing w:before="50" w:after="50"/>
              <w:jc w:val="right"/>
              <w:rPr>
                <w:rFonts w:ascii="宋体" w:hAnsi="宋体"/>
                <w:sz w:val="24"/>
                <w:szCs w:val="24"/>
              </w:rPr>
            </w:pPr>
            <w:r>
              <w:rPr>
                <w:rFonts w:ascii="宋体" w:hAnsi="宋体" w:hint="eastAsia"/>
                <w:sz w:val="24"/>
                <w:szCs w:val="24"/>
              </w:rPr>
              <w:t>3.</w:t>
            </w:r>
            <w:r w:rsidR="003863DD">
              <w:rPr>
                <w:rFonts w:ascii="宋体" w:hAnsi="宋体" w:hint="eastAsia"/>
                <w:sz w:val="24"/>
                <w:szCs w:val="24"/>
              </w:rPr>
              <w:t>06</w:t>
            </w:r>
          </w:p>
        </w:tc>
        <w:tc>
          <w:tcPr>
            <w:tcW w:w="835" w:type="pct"/>
            <w:shd w:val="clear" w:color="auto" w:fill="auto"/>
            <w:vAlign w:val="center"/>
          </w:tcPr>
          <w:p w:rsidR="00092652" w:rsidRDefault="0039522B">
            <w:pPr>
              <w:spacing w:before="50" w:after="50"/>
              <w:jc w:val="right"/>
              <w:rPr>
                <w:rFonts w:ascii="宋体" w:hAnsi="宋体"/>
                <w:sz w:val="24"/>
                <w:szCs w:val="24"/>
              </w:rPr>
            </w:pPr>
            <w:r>
              <w:rPr>
                <w:rFonts w:ascii="宋体" w:hAnsi="宋体" w:hint="eastAsia"/>
                <w:sz w:val="24"/>
                <w:szCs w:val="24"/>
              </w:rPr>
              <w:t>3.17</w:t>
            </w:r>
          </w:p>
        </w:tc>
        <w:tc>
          <w:tcPr>
            <w:tcW w:w="835" w:type="pct"/>
            <w:shd w:val="clear" w:color="auto" w:fill="auto"/>
            <w:vAlign w:val="center"/>
          </w:tcPr>
          <w:p w:rsidR="00092652" w:rsidRDefault="0039522B">
            <w:pPr>
              <w:spacing w:before="50" w:after="50"/>
              <w:jc w:val="right"/>
              <w:rPr>
                <w:rFonts w:ascii="宋体" w:hAnsi="宋体"/>
                <w:sz w:val="24"/>
                <w:szCs w:val="24"/>
              </w:rPr>
            </w:pPr>
            <w:r>
              <w:rPr>
                <w:rFonts w:ascii="宋体" w:hAnsi="宋体" w:hint="eastAsia"/>
                <w:sz w:val="24"/>
                <w:szCs w:val="24"/>
              </w:rPr>
              <w:t>3.16</w:t>
            </w:r>
          </w:p>
        </w:tc>
      </w:tr>
      <w:tr w:rsidR="00092652">
        <w:tc>
          <w:tcPr>
            <w:tcW w:w="2071" w:type="pct"/>
            <w:shd w:val="clear" w:color="auto" w:fill="auto"/>
            <w:vAlign w:val="bottom"/>
          </w:tcPr>
          <w:p w:rsidR="00092652" w:rsidRDefault="0039522B">
            <w:pPr>
              <w:spacing w:before="50" w:after="50"/>
              <w:rPr>
                <w:rFonts w:ascii="宋体" w:hAnsi="宋体"/>
                <w:sz w:val="24"/>
                <w:szCs w:val="24"/>
              </w:rPr>
            </w:pPr>
            <w:r>
              <w:rPr>
                <w:rFonts w:ascii="宋体" w:hAnsi="宋体"/>
                <w:sz w:val="24"/>
                <w:szCs w:val="24"/>
              </w:rPr>
              <w:t>扣除非经常性损益后归属于母公司普通股股东的稀释每股收益（元/股）</w:t>
            </w:r>
          </w:p>
        </w:tc>
        <w:tc>
          <w:tcPr>
            <w:tcW w:w="1259" w:type="pct"/>
            <w:shd w:val="clear" w:color="auto" w:fill="auto"/>
            <w:vAlign w:val="center"/>
          </w:tcPr>
          <w:p w:rsidR="00092652" w:rsidRDefault="0039522B" w:rsidP="003863DD">
            <w:pPr>
              <w:spacing w:before="50" w:after="50"/>
              <w:jc w:val="right"/>
              <w:rPr>
                <w:rFonts w:ascii="宋体" w:hAnsi="宋体"/>
                <w:sz w:val="24"/>
                <w:szCs w:val="24"/>
              </w:rPr>
            </w:pPr>
            <w:r>
              <w:rPr>
                <w:rFonts w:ascii="宋体" w:hAnsi="宋体" w:hint="eastAsia"/>
                <w:sz w:val="24"/>
                <w:szCs w:val="24"/>
              </w:rPr>
              <w:t>3.</w:t>
            </w:r>
            <w:r w:rsidR="003863DD">
              <w:rPr>
                <w:rFonts w:ascii="宋体" w:hAnsi="宋体" w:hint="eastAsia"/>
                <w:sz w:val="24"/>
                <w:szCs w:val="24"/>
              </w:rPr>
              <w:t>06</w:t>
            </w:r>
          </w:p>
        </w:tc>
        <w:tc>
          <w:tcPr>
            <w:tcW w:w="835" w:type="pct"/>
            <w:shd w:val="clear" w:color="auto" w:fill="auto"/>
            <w:vAlign w:val="center"/>
          </w:tcPr>
          <w:p w:rsidR="00092652" w:rsidRDefault="0039522B">
            <w:pPr>
              <w:spacing w:before="50" w:after="50"/>
              <w:jc w:val="right"/>
              <w:rPr>
                <w:rFonts w:ascii="宋体" w:hAnsi="宋体"/>
                <w:sz w:val="24"/>
                <w:szCs w:val="24"/>
              </w:rPr>
            </w:pPr>
            <w:r>
              <w:rPr>
                <w:rFonts w:ascii="宋体" w:hAnsi="宋体" w:hint="eastAsia"/>
                <w:sz w:val="24"/>
                <w:szCs w:val="24"/>
              </w:rPr>
              <w:t>3.17</w:t>
            </w:r>
          </w:p>
        </w:tc>
        <w:tc>
          <w:tcPr>
            <w:tcW w:w="835" w:type="pct"/>
            <w:shd w:val="clear" w:color="auto" w:fill="auto"/>
            <w:vAlign w:val="center"/>
          </w:tcPr>
          <w:p w:rsidR="00092652" w:rsidRDefault="0039522B">
            <w:pPr>
              <w:spacing w:before="50" w:after="50"/>
              <w:jc w:val="right"/>
              <w:rPr>
                <w:rFonts w:ascii="宋体" w:hAnsi="宋体"/>
                <w:sz w:val="24"/>
                <w:szCs w:val="24"/>
              </w:rPr>
            </w:pPr>
            <w:r>
              <w:rPr>
                <w:rFonts w:ascii="宋体" w:hAnsi="宋体" w:hint="eastAsia"/>
                <w:sz w:val="24"/>
                <w:szCs w:val="24"/>
              </w:rPr>
              <w:t>3.12</w:t>
            </w:r>
          </w:p>
        </w:tc>
      </w:tr>
    </w:tbl>
    <w:p w:rsidR="00092652" w:rsidRDefault="0039522B">
      <w:pPr>
        <w:spacing w:before="50" w:after="50" w:line="460" w:lineRule="exact"/>
        <w:rPr>
          <w:rFonts w:ascii="宋体" w:hAnsi="宋体"/>
          <w:sz w:val="24"/>
          <w:szCs w:val="24"/>
        </w:rPr>
      </w:pPr>
      <w:r>
        <w:rPr>
          <w:rFonts w:ascii="宋体" w:hAnsi="宋体"/>
          <w:sz w:val="24"/>
          <w:szCs w:val="24"/>
        </w:rPr>
        <w:t>注：</w:t>
      </w:r>
    </w:p>
    <w:p w:rsidR="00092652" w:rsidRDefault="0039522B">
      <w:pPr>
        <w:spacing w:before="50" w:after="50" w:line="460" w:lineRule="exact"/>
        <w:rPr>
          <w:rFonts w:ascii="宋体" w:hAnsi="宋体"/>
          <w:sz w:val="24"/>
          <w:szCs w:val="24"/>
        </w:rPr>
      </w:pPr>
      <w:r>
        <w:rPr>
          <w:rFonts w:ascii="宋体" w:hAnsi="宋体" w:hint="eastAsia"/>
          <w:sz w:val="24"/>
          <w:szCs w:val="24"/>
        </w:rPr>
        <w:t>1、</w:t>
      </w:r>
      <w:r>
        <w:rPr>
          <w:rFonts w:ascii="宋体" w:hAnsi="宋体"/>
          <w:sz w:val="24"/>
          <w:szCs w:val="24"/>
        </w:rPr>
        <w:t>归属于母公司普通股股东</w:t>
      </w:r>
      <w:r>
        <w:rPr>
          <w:rFonts w:ascii="宋体" w:hAnsi="宋体" w:hint="eastAsia"/>
          <w:sz w:val="24"/>
          <w:szCs w:val="24"/>
        </w:rPr>
        <w:t>的</w:t>
      </w:r>
      <w:r>
        <w:rPr>
          <w:rFonts w:ascii="宋体" w:hAnsi="宋体"/>
          <w:sz w:val="24"/>
          <w:szCs w:val="24"/>
        </w:rPr>
        <w:t>扣除非经常性损益的净利润=归属于母公司股东</w:t>
      </w:r>
      <w:r>
        <w:rPr>
          <w:rFonts w:ascii="宋体" w:hAnsi="宋体" w:hint="eastAsia"/>
          <w:sz w:val="24"/>
          <w:szCs w:val="24"/>
        </w:rPr>
        <w:t>的</w:t>
      </w:r>
      <w:r>
        <w:rPr>
          <w:rFonts w:ascii="宋体" w:hAnsi="宋体"/>
          <w:sz w:val="24"/>
          <w:szCs w:val="24"/>
        </w:rPr>
        <w:t>扣除非经常性损益的</w:t>
      </w:r>
      <w:r>
        <w:rPr>
          <w:rFonts w:ascii="宋体" w:hAnsi="宋体" w:hint="eastAsia"/>
          <w:sz w:val="24"/>
          <w:szCs w:val="24"/>
        </w:rPr>
        <w:t>净</w:t>
      </w:r>
      <w:r>
        <w:rPr>
          <w:rFonts w:ascii="宋体" w:hAnsi="宋体"/>
          <w:sz w:val="24"/>
          <w:szCs w:val="24"/>
        </w:rPr>
        <w:t>利润-优先股当期宣告发放的股息-</w:t>
      </w:r>
      <w:r>
        <w:rPr>
          <w:rFonts w:ascii="宋体" w:hAnsi="宋体" w:hint="eastAsia"/>
          <w:sz w:val="24"/>
          <w:szCs w:val="24"/>
        </w:rPr>
        <w:t>无固定期限资本债券</w:t>
      </w:r>
      <w:r>
        <w:rPr>
          <w:rFonts w:ascii="宋体" w:hAnsi="宋体"/>
          <w:sz w:val="24"/>
          <w:szCs w:val="24"/>
        </w:rPr>
        <w:t>当期</w:t>
      </w:r>
      <w:r>
        <w:rPr>
          <w:rFonts w:ascii="宋体" w:hAnsi="宋体" w:hint="eastAsia"/>
          <w:sz w:val="24"/>
          <w:szCs w:val="24"/>
        </w:rPr>
        <w:t>利息支出；</w:t>
      </w:r>
    </w:p>
    <w:p w:rsidR="00092652" w:rsidRDefault="0039522B">
      <w:pPr>
        <w:spacing w:before="50" w:after="50" w:line="460" w:lineRule="exact"/>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基本每股收益和稀释每股收益根据《公开发行证券的公司信息披露编报规则第9号——净资产收益率和每股收益的计算及披露》编制</w:t>
      </w:r>
      <w:r>
        <w:rPr>
          <w:rFonts w:ascii="宋体" w:hAnsi="宋体" w:hint="eastAsia"/>
          <w:sz w:val="24"/>
          <w:szCs w:val="24"/>
        </w:rPr>
        <w:t>。</w:t>
      </w:r>
    </w:p>
    <w:p w:rsidR="00092652" w:rsidRPr="00511B34" w:rsidRDefault="0039522B" w:rsidP="00511B34">
      <w:pPr>
        <w:snapToGrid w:val="0"/>
        <w:spacing w:before="50" w:after="50" w:line="520" w:lineRule="exact"/>
        <w:ind w:firstLineChars="200" w:firstLine="560"/>
        <w:rPr>
          <w:rFonts w:ascii="宋体" w:hAnsi="宋体"/>
          <w:bCs/>
          <w:sz w:val="28"/>
          <w:szCs w:val="28"/>
        </w:rPr>
      </w:pPr>
      <w:r w:rsidRPr="00511B34">
        <w:rPr>
          <w:rFonts w:ascii="宋体" w:hAnsi="宋体"/>
          <w:bCs/>
          <w:sz w:val="28"/>
          <w:szCs w:val="28"/>
        </w:rPr>
        <w:t>根据以上假设测算，</w:t>
      </w:r>
      <w:r w:rsidRPr="00511B34">
        <w:rPr>
          <w:rFonts w:ascii="宋体" w:hAnsi="宋体" w:hint="eastAsia"/>
          <w:bCs/>
          <w:sz w:val="28"/>
          <w:szCs w:val="28"/>
        </w:rPr>
        <w:t>在不考虑募集资金使用效益的前提下，</w:t>
      </w:r>
      <w:r w:rsidRPr="00511B34">
        <w:rPr>
          <w:rFonts w:ascii="宋体" w:hAnsi="宋体"/>
          <w:bCs/>
          <w:sz w:val="28"/>
          <w:szCs w:val="28"/>
        </w:rPr>
        <w:t>本次发行完成后</w:t>
      </w:r>
      <w:r w:rsidRPr="00511B34">
        <w:rPr>
          <w:rFonts w:ascii="宋体" w:hAnsi="宋体" w:hint="eastAsia"/>
          <w:bCs/>
          <w:sz w:val="28"/>
          <w:szCs w:val="28"/>
        </w:rPr>
        <w:t>，</w:t>
      </w:r>
      <w:r w:rsidRPr="00511B34">
        <w:rPr>
          <w:rFonts w:ascii="宋体" w:hAnsi="宋体"/>
          <w:bCs/>
          <w:sz w:val="28"/>
          <w:szCs w:val="28"/>
        </w:rPr>
        <w:t>公司2021</w:t>
      </w:r>
      <w:r w:rsidRPr="00511B34">
        <w:rPr>
          <w:rFonts w:ascii="宋体" w:hAnsi="宋体" w:hint="eastAsia"/>
          <w:bCs/>
          <w:sz w:val="28"/>
          <w:szCs w:val="28"/>
        </w:rPr>
        <w:t>年度扣除非经常性损益后归属于母公司普通股股东的基本每股收益及稀释每股收益将可能有所下降</w:t>
      </w:r>
      <w:r w:rsidRPr="00511B34">
        <w:rPr>
          <w:rFonts w:ascii="宋体" w:hAnsi="宋体"/>
          <w:bCs/>
          <w:sz w:val="28"/>
          <w:szCs w:val="28"/>
        </w:rPr>
        <w:t>。</w:t>
      </w:r>
    </w:p>
    <w:p w:rsidR="00092652" w:rsidRDefault="0039522B">
      <w:pPr>
        <w:snapToGrid w:val="0"/>
        <w:spacing w:before="50" w:after="50" w:line="520" w:lineRule="exact"/>
        <w:ind w:firstLineChars="200" w:firstLine="562"/>
        <w:rPr>
          <w:rFonts w:ascii="宋体" w:hAnsi="宋体"/>
          <w:b/>
          <w:bCs/>
          <w:sz w:val="28"/>
          <w:szCs w:val="28"/>
        </w:rPr>
      </w:pPr>
      <w:r>
        <w:rPr>
          <w:rFonts w:ascii="宋体" w:hAnsi="宋体"/>
          <w:b/>
          <w:bCs/>
          <w:sz w:val="28"/>
          <w:szCs w:val="28"/>
        </w:rPr>
        <w:t>二</w:t>
      </w:r>
      <w:r>
        <w:rPr>
          <w:rFonts w:ascii="宋体" w:hAnsi="宋体" w:hint="eastAsia"/>
          <w:b/>
          <w:bCs/>
          <w:sz w:val="28"/>
          <w:szCs w:val="28"/>
        </w:rPr>
        <w:t>、</w:t>
      </w:r>
      <w:r>
        <w:rPr>
          <w:rFonts w:ascii="宋体" w:hAnsi="宋体"/>
          <w:b/>
          <w:bCs/>
          <w:sz w:val="28"/>
          <w:szCs w:val="28"/>
        </w:rPr>
        <w:t>对于本次发行摊薄即期</w:t>
      </w:r>
      <w:r>
        <w:rPr>
          <w:rFonts w:ascii="宋体" w:hAnsi="宋体" w:hint="eastAsia"/>
          <w:b/>
          <w:bCs/>
          <w:sz w:val="28"/>
          <w:szCs w:val="28"/>
        </w:rPr>
        <w:t>回报</w:t>
      </w:r>
      <w:r>
        <w:rPr>
          <w:rFonts w:ascii="宋体" w:hAnsi="宋体"/>
          <w:b/>
          <w:bCs/>
          <w:sz w:val="28"/>
          <w:szCs w:val="28"/>
        </w:rPr>
        <w:t>的风险提示</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hint="eastAsia"/>
          <w:bCs/>
          <w:sz w:val="28"/>
          <w:szCs w:val="28"/>
        </w:rPr>
        <w:t>本次可转债发行完成后、全部转股前，公司所有发行在外的稀释</w:t>
      </w:r>
      <w:r>
        <w:rPr>
          <w:rFonts w:ascii="宋体" w:hAnsi="宋体" w:hint="eastAsia"/>
          <w:bCs/>
          <w:sz w:val="28"/>
          <w:szCs w:val="28"/>
        </w:rPr>
        <w:lastRenderedPageBreak/>
        <w:t>性潜在普通股股数相应增加，在不考虑募集资金财务回报的情况下，公司本次可转债发行完成当年的扣除非经常性损益后归属于母公司普通股股东的稀释每股收益可能出现下降。</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hint="eastAsia"/>
          <w:bCs/>
          <w:sz w:val="28"/>
          <w:szCs w:val="28"/>
        </w:rPr>
        <w:t>本次可转债发行完成后、全部转股前，公司需按照预先约定的票面利率对未转股的可转债支付利息，由于可转债票面利率相对较低，正常情况下公司对可转债募集资金运用带来的盈利增长会超过向可转债投资者支付的债券利息，不会造成公司总体收益的减少；极端情况下，如果公司对可转债募集资金运用带来的盈利增长无法覆盖向可转债投资者支付的债券利息，则公司的税后利润将面临下降的风险，进而将对公司普通股股东即期回报产生摊薄影响。</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hint="eastAsia"/>
          <w:bCs/>
          <w:sz w:val="28"/>
          <w:szCs w:val="28"/>
        </w:rPr>
        <w:t>投资者持有的可转债部分或全部转股后，公司股本总额将相应增加，对公司原有普通股股东持股比例、公司净资产收益率及每股收益产生一定的摊薄作用。</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hint="eastAsia"/>
          <w:bCs/>
          <w:sz w:val="28"/>
          <w:szCs w:val="28"/>
        </w:rPr>
        <w:t>另外，本次可转债设有转股价格向下修正条款，在该条款被触发时，公司可能申请向下修正转股价格，导致因本次可转债转股而新增的股本总额增加，从而扩大本次可转债转股对公司原普通股股东的潜在摊薄作用。</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hint="eastAsia"/>
          <w:bCs/>
          <w:sz w:val="28"/>
          <w:szCs w:val="28"/>
        </w:rPr>
        <w:t>特此提醒投资者关注本次可转债摊薄即期回报的风险，同时公司就摊薄即期回报制定的填补回报措施不等于对公司未来利润做出保证。公司将在定期报告中持续披露填补被摊薄即期回报措施的完成情况及相关承诺主体承诺事项的履行情况。</w:t>
      </w:r>
    </w:p>
    <w:p w:rsidR="00092652" w:rsidRDefault="0039522B">
      <w:pPr>
        <w:snapToGrid w:val="0"/>
        <w:spacing w:before="50" w:after="50" w:line="520" w:lineRule="exact"/>
        <w:ind w:firstLineChars="200" w:firstLine="562"/>
        <w:rPr>
          <w:rFonts w:ascii="宋体" w:hAnsi="宋体"/>
          <w:b/>
          <w:bCs/>
          <w:sz w:val="28"/>
          <w:szCs w:val="28"/>
        </w:rPr>
      </w:pPr>
      <w:r>
        <w:rPr>
          <w:rFonts w:ascii="宋体" w:hAnsi="宋体"/>
          <w:b/>
          <w:bCs/>
          <w:sz w:val="28"/>
          <w:szCs w:val="28"/>
        </w:rPr>
        <w:t>三、本次融资的必要性和合理性</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hint="eastAsia"/>
          <w:bCs/>
          <w:sz w:val="28"/>
          <w:szCs w:val="28"/>
        </w:rPr>
        <w:t>本次发行可转债有利于公司进一步夯实资本基础，增强风险抵御能力，</w:t>
      </w:r>
      <w:r w:rsidR="00402663">
        <w:rPr>
          <w:rFonts w:ascii="宋体" w:hAnsi="宋体" w:hint="eastAsia"/>
          <w:bCs/>
          <w:sz w:val="28"/>
          <w:szCs w:val="28"/>
        </w:rPr>
        <w:t>更好</w:t>
      </w:r>
      <w:r>
        <w:rPr>
          <w:rFonts w:ascii="宋体" w:hAnsi="宋体" w:hint="eastAsia"/>
          <w:bCs/>
          <w:sz w:val="28"/>
          <w:szCs w:val="28"/>
        </w:rPr>
        <w:t>应对外部经营环境及监管环境的变化，继续保持稳健运行，不断提升市场竞争力并实现既定的战略目标。</w:t>
      </w:r>
    </w:p>
    <w:p w:rsidR="00092652" w:rsidRDefault="0039522B">
      <w:pPr>
        <w:snapToGrid w:val="0"/>
        <w:spacing w:before="50" w:after="50" w:line="520" w:lineRule="exact"/>
        <w:ind w:firstLineChars="200" w:firstLine="562"/>
        <w:rPr>
          <w:rFonts w:ascii="宋体" w:hAnsi="宋体"/>
          <w:b/>
          <w:bCs/>
          <w:sz w:val="28"/>
          <w:szCs w:val="28"/>
        </w:rPr>
      </w:pPr>
      <w:r>
        <w:rPr>
          <w:rFonts w:ascii="宋体" w:hAnsi="宋体" w:hint="eastAsia"/>
          <w:b/>
          <w:bCs/>
          <w:sz w:val="28"/>
          <w:szCs w:val="28"/>
        </w:rPr>
        <w:t>（一）满足资本监管要求，进一步夯实资本基础</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hint="eastAsia"/>
          <w:bCs/>
          <w:sz w:val="28"/>
          <w:szCs w:val="28"/>
        </w:rPr>
        <w:lastRenderedPageBreak/>
        <w:t>根据《巴塞尔协议Ⅲ》确定的资本监管精神，原中国银行业监督管理委员会制定并发布了《商业银行资本管理办法（试行）》，并于2013年起实施，全面提升了商业银行资本的监管要求。中国人民银行于2016年起实施宏观审慎评估体系（MPA），引导银行业金融机构加强自我约束和自律管理，其中宏观审慎资本充足率是决定评估结果的最核心指标之一。2</w:t>
      </w:r>
      <w:r>
        <w:rPr>
          <w:rFonts w:ascii="宋体" w:hAnsi="宋体"/>
          <w:bCs/>
          <w:sz w:val="28"/>
          <w:szCs w:val="28"/>
        </w:rPr>
        <w:t>020</w:t>
      </w:r>
      <w:r>
        <w:rPr>
          <w:rFonts w:ascii="宋体" w:hAnsi="宋体" w:hint="eastAsia"/>
          <w:bCs/>
          <w:sz w:val="28"/>
          <w:szCs w:val="28"/>
        </w:rPr>
        <w:t>年9月，中国人民银行、</w:t>
      </w:r>
      <w:r>
        <w:rPr>
          <w:rFonts w:ascii="宋体" w:hAnsi="宋体" w:hint="eastAsia"/>
          <w:sz w:val="28"/>
          <w:szCs w:val="28"/>
        </w:rPr>
        <w:t>中国银行保险监督管理委员会（以下简称“</w:t>
      </w:r>
      <w:r>
        <w:rPr>
          <w:rFonts w:ascii="宋体" w:hAnsi="宋体" w:hint="eastAsia"/>
          <w:bCs/>
          <w:sz w:val="28"/>
          <w:szCs w:val="28"/>
        </w:rPr>
        <w:t>中国银保监会”）发布《关于建立逆周期资本缓冲机制的通知》，明确了我国逆周期资本缓冲的计提方式、覆盖范围及评估机制，逆周期资本缓冲要求为0%-2.5%，用核心一级资本进行满足。现阶段逆周期缓冲资本暂定为0%，后续将定期评估和调整逆周期资本缓冲要求，对于商业银行资本充足水平提出了更高要求。2020年12月，中国人民银行和中国银保监会联合发布《系统重要性银行评估办法》，该办法从2021年1月1日起实施，将对入选国内系统重要性银行的金融机构从附加资本、杠杆率、大额风险暴露、公司治理、恢复处置计划、信息披露和数据报送等方面提出监管要求，其中附加资本预计在1%以内，用核心一级资本进行满足。</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hint="eastAsia"/>
          <w:bCs/>
          <w:sz w:val="28"/>
          <w:szCs w:val="28"/>
        </w:rPr>
        <w:t>截至2020年</w:t>
      </w:r>
      <w:r>
        <w:rPr>
          <w:rFonts w:ascii="宋体" w:hAnsi="宋体"/>
          <w:bCs/>
          <w:sz w:val="28"/>
          <w:szCs w:val="28"/>
        </w:rPr>
        <w:t>12</w:t>
      </w:r>
      <w:r>
        <w:rPr>
          <w:rFonts w:ascii="宋体" w:hAnsi="宋体" w:hint="eastAsia"/>
          <w:bCs/>
          <w:sz w:val="28"/>
          <w:szCs w:val="28"/>
        </w:rPr>
        <w:t>月3</w:t>
      </w:r>
      <w:r>
        <w:rPr>
          <w:rFonts w:ascii="宋体" w:hAnsi="宋体"/>
          <w:bCs/>
          <w:sz w:val="28"/>
          <w:szCs w:val="28"/>
        </w:rPr>
        <w:t>1</w:t>
      </w:r>
      <w:r>
        <w:rPr>
          <w:rFonts w:ascii="宋体" w:hAnsi="宋体" w:hint="eastAsia"/>
          <w:bCs/>
          <w:sz w:val="28"/>
          <w:szCs w:val="28"/>
        </w:rPr>
        <w:t>日，公司合并报表口径下的核心一级资本充足率、一级资本充足率和资本充足率分别为</w:t>
      </w:r>
      <w:r>
        <w:rPr>
          <w:rFonts w:ascii="宋体" w:hAnsi="宋体"/>
          <w:bCs/>
          <w:sz w:val="28"/>
          <w:szCs w:val="28"/>
        </w:rPr>
        <w:t>9</w:t>
      </w:r>
      <w:r>
        <w:rPr>
          <w:rFonts w:ascii="宋体" w:hAnsi="宋体" w:hint="eastAsia"/>
          <w:bCs/>
          <w:sz w:val="28"/>
          <w:szCs w:val="28"/>
        </w:rPr>
        <w:t>.</w:t>
      </w:r>
      <w:r>
        <w:rPr>
          <w:rFonts w:ascii="宋体" w:hAnsi="宋体"/>
          <w:bCs/>
          <w:sz w:val="28"/>
          <w:szCs w:val="28"/>
        </w:rPr>
        <w:t>33</w:t>
      </w:r>
      <w:r>
        <w:rPr>
          <w:rFonts w:ascii="宋体" w:hAnsi="宋体" w:hint="eastAsia"/>
          <w:bCs/>
          <w:sz w:val="28"/>
          <w:szCs w:val="28"/>
        </w:rPr>
        <w:t>%、</w:t>
      </w:r>
      <w:r>
        <w:rPr>
          <w:rFonts w:ascii="宋体" w:hAnsi="宋体"/>
          <w:bCs/>
          <w:sz w:val="28"/>
          <w:szCs w:val="28"/>
        </w:rPr>
        <w:t>10</w:t>
      </w:r>
      <w:r>
        <w:rPr>
          <w:rFonts w:ascii="宋体" w:hAnsi="宋体" w:hint="eastAsia"/>
          <w:bCs/>
          <w:sz w:val="28"/>
          <w:szCs w:val="28"/>
        </w:rPr>
        <w:t>.</w:t>
      </w:r>
      <w:r>
        <w:rPr>
          <w:rFonts w:ascii="宋体" w:hAnsi="宋体"/>
          <w:bCs/>
          <w:sz w:val="28"/>
          <w:szCs w:val="28"/>
        </w:rPr>
        <w:t>85</w:t>
      </w:r>
      <w:r>
        <w:rPr>
          <w:rFonts w:ascii="宋体" w:hAnsi="宋体" w:hint="eastAsia"/>
          <w:bCs/>
          <w:sz w:val="28"/>
          <w:szCs w:val="28"/>
        </w:rPr>
        <w:t>%和</w:t>
      </w:r>
      <w:r>
        <w:rPr>
          <w:rFonts w:ascii="宋体" w:hAnsi="宋体"/>
          <w:bCs/>
          <w:sz w:val="28"/>
          <w:szCs w:val="28"/>
        </w:rPr>
        <w:t>13</w:t>
      </w:r>
      <w:r>
        <w:rPr>
          <w:rFonts w:ascii="宋体" w:hAnsi="宋体" w:hint="eastAsia"/>
          <w:bCs/>
          <w:sz w:val="28"/>
          <w:szCs w:val="28"/>
        </w:rPr>
        <w:t>.</w:t>
      </w:r>
      <w:r>
        <w:rPr>
          <w:rFonts w:ascii="宋体" w:hAnsi="宋体"/>
          <w:bCs/>
          <w:sz w:val="28"/>
          <w:szCs w:val="28"/>
        </w:rPr>
        <w:t>47</w:t>
      </w:r>
      <w:r>
        <w:rPr>
          <w:rFonts w:ascii="宋体" w:hAnsi="宋体" w:hint="eastAsia"/>
          <w:bCs/>
          <w:sz w:val="28"/>
          <w:szCs w:val="28"/>
        </w:rPr>
        <w:t>%，虽然仍能满足当前资本监管要求，但在监管力度不断加强的背景下，公司有必要进一步夯实资本基础，在满足未来发展需要的同时，预留缓冲空间，提升风险抵御能力，以灵活应对不断变化的外部经营环境及监管环境。</w:t>
      </w:r>
    </w:p>
    <w:p w:rsidR="00092652" w:rsidRDefault="0039522B">
      <w:pPr>
        <w:snapToGrid w:val="0"/>
        <w:spacing w:before="50" w:after="50" w:line="520" w:lineRule="exact"/>
        <w:ind w:firstLineChars="200" w:firstLine="562"/>
        <w:rPr>
          <w:rFonts w:ascii="宋体" w:hAnsi="宋体"/>
          <w:b/>
          <w:bCs/>
          <w:sz w:val="28"/>
          <w:szCs w:val="28"/>
        </w:rPr>
      </w:pPr>
      <w:r>
        <w:rPr>
          <w:rFonts w:ascii="宋体" w:hAnsi="宋体" w:hint="eastAsia"/>
          <w:b/>
          <w:bCs/>
          <w:sz w:val="28"/>
          <w:szCs w:val="28"/>
        </w:rPr>
        <w:t>（二）支持公司转型发展，更好服务实体经济</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hint="eastAsia"/>
          <w:bCs/>
          <w:sz w:val="28"/>
          <w:szCs w:val="28"/>
        </w:rPr>
        <w:t>近年来，公司持续深化改革，坚定推进经营转型，优化业务布局，强化风险管控，着力提升新时代数字化经营能力和管理能力，保障各项业务稳健、可持续发展。截至2020年</w:t>
      </w:r>
      <w:r>
        <w:rPr>
          <w:rFonts w:ascii="宋体" w:hAnsi="宋体"/>
          <w:bCs/>
          <w:sz w:val="28"/>
          <w:szCs w:val="28"/>
        </w:rPr>
        <w:t>12</w:t>
      </w:r>
      <w:r>
        <w:rPr>
          <w:rFonts w:ascii="宋体" w:hAnsi="宋体" w:hint="eastAsia"/>
          <w:bCs/>
          <w:sz w:val="28"/>
          <w:szCs w:val="28"/>
        </w:rPr>
        <w:t>月3</w:t>
      </w:r>
      <w:r>
        <w:rPr>
          <w:rFonts w:ascii="宋体" w:hAnsi="宋体"/>
          <w:bCs/>
          <w:sz w:val="28"/>
          <w:szCs w:val="28"/>
        </w:rPr>
        <w:t>1</w:t>
      </w:r>
      <w:r>
        <w:rPr>
          <w:rFonts w:ascii="宋体" w:hAnsi="宋体" w:hint="eastAsia"/>
          <w:bCs/>
          <w:sz w:val="28"/>
          <w:szCs w:val="28"/>
        </w:rPr>
        <w:t>日，公司总资产7</w:t>
      </w:r>
      <w:r>
        <w:rPr>
          <w:rFonts w:ascii="宋体" w:hAnsi="宋体"/>
          <w:bCs/>
          <w:sz w:val="28"/>
          <w:szCs w:val="28"/>
        </w:rPr>
        <w:t>.89</w:t>
      </w:r>
      <w:r>
        <w:rPr>
          <w:rFonts w:ascii="宋体" w:hAnsi="宋体" w:hint="eastAsia"/>
          <w:bCs/>
          <w:sz w:val="28"/>
          <w:szCs w:val="28"/>
        </w:rPr>
        <w:lastRenderedPageBreak/>
        <w:t>万亿元，较年初增长</w:t>
      </w:r>
      <w:r>
        <w:rPr>
          <w:rFonts w:ascii="宋体" w:hAnsi="宋体"/>
          <w:bCs/>
          <w:sz w:val="28"/>
          <w:szCs w:val="28"/>
        </w:rPr>
        <w:t>10</w:t>
      </w:r>
      <w:r>
        <w:rPr>
          <w:rFonts w:ascii="宋体" w:hAnsi="宋体" w:hint="eastAsia"/>
          <w:bCs/>
          <w:sz w:val="28"/>
          <w:szCs w:val="28"/>
        </w:rPr>
        <w:t>.</w:t>
      </w:r>
      <w:r>
        <w:rPr>
          <w:rFonts w:ascii="宋体" w:hAnsi="宋体"/>
          <w:bCs/>
          <w:sz w:val="28"/>
          <w:szCs w:val="28"/>
        </w:rPr>
        <w:t>47</w:t>
      </w:r>
      <w:r>
        <w:rPr>
          <w:rFonts w:ascii="宋体" w:hAnsi="宋体" w:hint="eastAsia"/>
          <w:bCs/>
          <w:sz w:val="28"/>
          <w:szCs w:val="28"/>
        </w:rPr>
        <w:t>%；2020年度，公司实现归属于母公司股东的净利润</w:t>
      </w:r>
      <w:r>
        <w:rPr>
          <w:rFonts w:ascii="宋体" w:hAnsi="宋体"/>
          <w:bCs/>
          <w:sz w:val="28"/>
          <w:szCs w:val="28"/>
        </w:rPr>
        <w:t>666</w:t>
      </w:r>
      <w:r>
        <w:rPr>
          <w:rFonts w:ascii="宋体" w:hAnsi="宋体" w:hint="eastAsia"/>
          <w:bCs/>
          <w:sz w:val="28"/>
          <w:szCs w:val="28"/>
        </w:rPr>
        <w:t>.</w:t>
      </w:r>
      <w:r>
        <w:rPr>
          <w:rFonts w:ascii="宋体" w:hAnsi="宋体"/>
          <w:bCs/>
          <w:sz w:val="28"/>
          <w:szCs w:val="28"/>
        </w:rPr>
        <w:t>26</w:t>
      </w:r>
      <w:r>
        <w:rPr>
          <w:rFonts w:ascii="宋体" w:hAnsi="宋体" w:hint="eastAsia"/>
          <w:bCs/>
          <w:sz w:val="28"/>
          <w:szCs w:val="28"/>
        </w:rPr>
        <w:t>亿元；截至2020年</w:t>
      </w:r>
      <w:r>
        <w:rPr>
          <w:rFonts w:ascii="宋体" w:hAnsi="宋体"/>
          <w:bCs/>
          <w:sz w:val="28"/>
          <w:szCs w:val="28"/>
        </w:rPr>
        <w:t>12</w:t>
      </w:r>
      <w:r>
        <w:rPr>
          <w:rFonts w:ascii="宋体" w:hAnsi="宋体" w:hint="eastAsia"/>
          <w:bCs/>
          <w:sz w:val="28"/>
          <w:szCs w:val="28"/>
        </w:rPr>
        <w:t>月3</w:t>
      </w:r>
      <w:r>
        <w:rPr>
          <w:rFonts w:ascii="宋体" w:hAnsi="宋体"/>
          <w:bCs/>
          <w:sz w:val="28"/>
          <w:szCs w:val="28"/>
        </w:rPr>
        <w:t>1</w:t>
      </w:r>
      <w:r>
        <w:rPr>
          <w:rFonts w:ascii="宋体" w:hAnsi="宋体" w:hint="eastAsia"/>
          <w:bCs/>
          <w:sz w:val="28"/>
          <w:szCs w:val="28"/>
        </w:rPr>
        <w:t>日，公司不良贷款率1</w:t>
      </w:r>
      <w:r>
        <w:rPr>
          <w:rFonts w:ascii="宋体" w:hAnsi="宋体"/>
          <w:bCs/>
          <w:sz w:val="28"/>
          <w:szCs w:val="28"/>
        </w:rPr>
        <w:t>.25</w:t>
      </w:r>
      <w:r>
        <w:rPr>
          <w:rFonts w:ascii="宋体" w:hAnsi="宋体" w:hint="eastAsia"/>
          <w:bCs/>
          <w:sz w:val="28"/>
          <w:szCs w:val="28"/>
        </w:rPr>
        <w:t>%，拨贷比</w:t>
      </w:r>
      <w:r>
        <w:rPr>
          <w:rFonts w:ascii="宋体" w:hAnsi="宋体"/>
          <w:bCs/>
          <w:sz w:val="28"/>
          <w:szCs w:val="28"/>
        </w:rPr>
        <w:t>2</w:t>
      </w:r>
      <w:r>
        <w:rPr>
          <w:rFonts w:ascii="宋体" w:hAnsi="宋体" w:hint="eastAsia"/>
          <w:bCs/>
          <w:sz w:val="28"/>
          <w:szCs w:val="28"/>
        </w:rPr>
        <w:t>.</w:t>
      </w:r>
      <w:r>
        <w:rPr>
          <w:rFonts w:ascii="宋体" w:hAnsi="宋体"/>
          <w:bCs/>
          <w:sz w:val="28"/>
          <w:szCs w:val="28"/>
        </w:rPr>
        <w:t>74</w:t>
      </w:r>
      <w:r>
        <w:rPr>
          <w:rFonts w:ascii="宋体" w:hAnsi="宋体" w:hint="eastAsia"/>
          <w:bCs/>
          <w:sz w:val="28"/>
          <w:szCs w:val="28"/>
        </w:rPr>
        <w:t>%，拨备覆盖率2</w:t>
      </w:r>
      <w:r>
        <w:rPr>
          <w:rFonts w:ascii="宋体" w:hAnsi="宋体"/>
          <w:bCs/>
          <w:sz w:val="28"/>
          <w:szCs w:val="28"/>
        </w:rPr>
        <w:t>18</w:t>
      </w:r>
      <w:r>
        <w:rPr>
          <w:rFonts w:ascii="宋体" w:hAnsi="宋体" w:hint="eastAsia"/>
          <w:bCs/>
          <w:sz w:val="28"/>
          <w:szCs w:val="28"/>
        </w:rPr>
        <w:t>.</w:t>
      </w:r>
      <w:r>
        <w:rPr>
          <w:rFonts w:ascii="宋体" w:hAnsi="宋体"/>
          <w:bCs/>
          <w:sz w:val="28"/>
          <w:szCs w:val="28"/>
        </w:rPr>
        <w:t>83</w:t>
      </w:r>
      <w:r>
        <w:rPr>
          <w:rFonts w:ascii="宋体" w:hAnsi="宋体" w:hint="eastAsia"/>
          <w:bCs/>
          <w:sz w:val="28"/>
          <w:szCs w:val="28"/>
        </w:rPr>
        <w:t>%。</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hint="eastAsia"/>
          <w:bCs/>
          <w:sz w:val="28"/>
          <w:szCs w:val="28"/>
        </w:rPr>
        <w:t>随着各项业务的稳健发展，公司风险资产保持合理增长，服务实体经济力度不断加大。截至2020年</w:t>
      </w:r>
      <w:r>
        <w:rPr>
          <w:rFonts w:ascii="宋体" w:hAnsi="宋体"/>
          <w:bCs/>
          <w:sz w:val="28"/>
          <w:szCs w:val="28"/>
        </w:rPr>
        <w:t>12</w:t>
      </w:r>
      <w:r>
        <w:rPr>
          <w:rFonts w:ascii="宋体" w:hAnsi="宋体" w:hint="eastAsia"/>
          <w:bCs/>
          <w:sz w:val="28"/>
          <w:szCs w:val="28"/>
        </w:rPr>
        <w:t>月3</w:t>
      </w:r>
      <w:r>
        <w:rPr>
          <w:rFonts w:ascii="宋体" w:hAnsi="宋体"/>
          <w:bCs/>
          <w:sz w:val="28"/>
          <w:szCs w:val="28"/>
        </w:rPr>
        <w:t>1</w:t>
      </w:r>
      <w:r>
        <w:rPr>
          <w:rFonts w:ascii="宋体" w:hAnsi="宋体" w:hint="eastAsia"/>
          <w:bCs/>
          <w:sz w:val="28"/>
          <w:szCs w:val="28"/>
        </w:rPr>
        <w:t>日，公司加权风险资产规模为5</w:t>
      </w:r>
      <w:r>
        <w:rPr>
          <w:rFonts w:ascii="宋体" w:hAnsi="宋体"/>
          <w:bCs/>
          <w:sz w:val="28"/>
          <w:szCs w:val="28"/>
        </w:rPr>
        <w:t>.66</w:t>
      </w:r>
      <w:r>
        <w:rPr>
          <w:rFonts w:ascii="宋体" w:hAnsi="宋体" w:hint="eastAsia"/>
          <w:bCs/>
          <w:sz w:val="28"/>
          <w:szCs w:val="28"/>
        </w:rPr>
        <w:t>万亿元，较年初增长1</w:t>
      </w:r>
      <w:r>
        <w:rPr>
          <w:rFonts w:ascii="宋体" w:hAnsi="宋体"/>
          <w:bCs/>
          <w:sz w:val="28"/>
          <w:szCs w:val="28"/>
        </w:rPr>
        <w:t>0.55%</w:t>
      </w:r>
      <w:r>
        <w:rPr>
          <w:rFonts w:ascii="宋体" w:hAnsi="宋体" w:hint="eastAsia"/>
          <w:bCs/>
          <w:sz w:val="28"/>
          <w:szCs w:val="28"/>
        </w:rPr>
        <w:t>；贷款总额3</w:t>
      </w:r>
      <w:r>
        <w:rPr>
          <w:rFonts w:ascii="宋体" w:hAnsi="宋体"/>
          <w:bCs/>
          <w:sz w:val="28"/>
          <w:szCs w:val="28"/>
        </w:rPr>
        <w:t>.97</w:t>
      </w:r>
      <w:r>
        <w:rPr>
          <w:rFonts w:ascii="宋体" w:hAnsi="宋体" w:hint="eastAsia"/>
          <w:bCs/>
          <w:sz w:val="28"/>
          <w:szCs w:val="28"/>
        </w:rPr>
        <w:t>万亿元，较年初增长</w:t>
      </w:r>
      <w:r>
        <w:rPr>
          <w:rFonts w:ascii="宋体" w:hAnsi="宋体"/>
          <w:bCs/>
          <w:sz w:val="28"/>
          <w:szCs w:val="28"/>
        </w:rPr>
        <w:t>15</w:t>
      </w:r>
      <w:r>
        <w:rPr>
          <w:rFonts w:ascii="宋体" w:hAnsi="宋体" w:hint="eastAsia"/>
          <w:bCs/>
          <w:sz w:val="28"/>
          <w:szCs w:val="28"/>
        </w:rPr>
        <w:t>.2</w:t>
      </w:r>
      <w:r>
        <w:rPr>
          <w:rFonts w:ascii="宋体" w:hAnsi="宋体"/>
          <w:bCs/>
          <w:sz w:val="28"/>
          <w:szCs w:val="28"/>
        </w:rPr>
        <w:t>3</w:t>
      </w:r>
      <w:r>
        <w:rPr>
          <w:rFonts w:ascii="宋体" w:hAnsi="宋体" w:hint="eastAsia"/>
          <w:bCs/>
          <w:sz w:val="28"/>
          <w:szCs w:val="28"/>
        </w:rPr>
        <w:t>%。根据对中国银行业发展趋势的总体判断并结合公司实际，预计公司在未来几年内的业务发展将保持较稳定的增长。同时，公司将坚持客户为本、商行为体、投行为用，积极打造新的增长点；坚持走多市场、综合化发展道路，构建优质、高效、专业的综合金融服务体系。因此，公司有必要在内部利润留存的基础上进行必要的外部融资，为公司未来发展提供坚实的资本基础，提升公司整体竞争力。</w:t>
      </w:r>
    </w:p>
    <w:p w:rsidR="00092652" w:rsidRDefault="0039522B">
      <w:pPr>
        <w:spacing w:before="50" w:after="50" w:line="520" w:lineRule="exact"/>
        <w:ind w:firstLineChars="200" w:firstLine="562"/>
        <w:rPr>
          <w:rFonts w:ascii="宋体" w:hAnsi="宋体"/>
          <w:b/>
          <w:bCs/>
          <w:sz w:val="28"/>
          <w:szCs w:val="28"/>
        </w:rPr>
      </w:pPr>
      <w:r>
        <w:rPr>
          <w:rFonts w:ascii="宋体" w:hAnsi="宋体"/>
          <w:b/>
          <w:bCs/>
          <w:sz w:val="28"/>
          <w:szCs w:val="28"/>
        </w:rPr>
        <w:t>四、本次募集资金投资项目与公司现有业务的关系，公司从事募投项目在人员、技术、市场等方面的储备情况</w:t>
      </w:r>
    </w:p>
    <w:p w:rsidR="00092652" w:rsidRDefault="0039522B">
      <w:pPr>
        <w:snapToGrid w:val="0"/>
        <w:spacing w:before="50" w:after="50" w:line="520" w:lineRule="exact"/>
        <w:ind w:firstLineChars="200" w:firstLine="562"/>
        <w:rPr>
          <w:rFonts w:ascii="宋体" w:hAnsi="宋体"/>
          <w:b/>
          <w:bCs/>
          <w:sz w:val="28"/>
          <w:szCs w:val="28"/>
        </w:rPr>
      </w:pPr>
      <w:r>
        <w:rPr>
          <w:rFonts w:ascii="宋体" w:hAnsi="宋体" w:hint="eastAsia"/>
          <w:b/>
          <w:bCs/>
          <w:sz w:val="28"/>
          <w:szCs w:val="28"/>
        </w:rPr>
        <w:t>（一）</w:t>
      </w:r>
      <w:r>
        <w:rPr>
          <w:rFonts w:ascii="宋体" w:hAnsi="宋体"/>
          <w:b/>
          <w:bCs/>
          <w:sz w:val="28"/>
          <w:szCs w:val="28"/>
        </w:rPr>
        <w:t>公司</w:t>
      </w:r>
      <w:r>
        <w:rPr>
          <w:rFonts w:ascii="宋体" w:hAnsi="宋体" w:hint="eastAsia"/>
          <w:b/>
          <w:bCs/>
          <w:sz w:val="28"/>
          <w:szCs w:val="28"/>
        </w:rPr>
        <w:t>本次发行募集资金与公司现有业务的关系</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bCs/>
          <w:sz w:val="28"/>
          <w:szCs w:val="28"/>
        </w:rPr>
        <w:t>公司</w:t>
      </w:r>
      <w:r>
        <w:rPr>
          <w:rFonts w:ascii="宋体" w:hAnsi="宋体" w:hint="eastAsia"/>
          <w:bCs/>
          <w:sz w:val="28"/>
          <w:szCs w:val="28"/>
        </w:rPr>
        <w:t>本次发行募集资金总额不超过</w:t>
      </w:r>
      <w:r w:rsidR="00402663">
        <w:rPr>
          <w:rFonts w:ascii="宋体" w:hAnsi="宋体" w:hint="eastAsia"/>
          <w:bCs/>
          <w:sz w:val="28"/>
          <w:szCs w:val="28"/>
        </w:rPr>
        <w:t>人民币</w:t>
      </w:r>
      <w:r>
        <w:rPr>
          <w:rFonts w:ascii="宋体" w:hAnsi="宋体" w:hint="eastAsia"/>
          <w:bCs/>
          <w:sz w:val="28"/>
          <w:szCs w:val="28"/>
        </w:rPr>
        <w:t>500亿元，扣除发行费用后将全部用于支持公司未来业务发展，在可转债持有人转股后按照相关监管要求用于补充公司核心一级资本，有助于公司提高资本充足率，增强风险抵御能力，支持</w:t>
      </w:r>
      <w:r>
        <w:rPr>
          <w:rFonts w:ascii="宋体" w:hAnsi="宋体"/>
          <w:bCs/>
          <w:sz w:val="28"/>
          <w:szCs w:val="28"/>
        </w:rPr>
        <w:t>公司各项业务</w:t>
      </w:r>
      <w:r>
        <w:rPr>
          <w:rFonts w:ascii="宋体" w:hAnsi="宋体" w:hint="eastAsia"/>
          <w:bCs/>
          <w:sz w:val="28"/>
          <w:szCs w:val="28"/>
        </w:rPr>
        <w:t>持续健康发展。</w:t>
      </w:r>
    </w:p>
    <w:p w:rsidR="00092652" w:rsidRDefault="0039522B">
      <w:pPr>
        <w:snapToGrid w:val="0"/>
        <w:spacing w:before="50" w:after="50" w:line="520" w:lineRule="exact"/>
        <w:ind w:firstLineChars="200" w:firstLine="562"/>
        <w:rPr>
          <w:rFonts w:ascii="宋体" w:hAnsi="宋体"/>
          <w:b/>
          <w:bCs/>
          <w:sz w:val="28"/>
          <w:szCs w:val="28"/>
        </w:rPr>
      </w:pPr>
      <w:r>
        <w:rPr>
          <w:rFonts w:ascii="宋体" w:hAnsi="宋体" w:hint="eastAsia"/>
          <w:b/>
          <w:bCs/>
          <w:sz w:val="28"/>
          <w:szCs w:val="28"/>
        </w:rPr>
        <w:t>（</w:t>
      </w:r>
      <w:r>
        <w:rPr>
          <w:rFonts w:ascii="宋体" w:hAnsi="宋体"/>
          <w:b/>
          <w:bCs/>
          <w:sz w:val="28"/>
          <w:szCs w:val="28"/>
        </w:rPr>
        <w:t>二</w:t>
      </w:r>
      <w:r>
        <w:rPr>
          <w:rFonts w:ascii="宋体" w:hAnsi="宋体" w:hint="eastAsia"/>
          <w:b/>
          <w:bCs/>
          <w:sz w:val="28"/>
          <w:szCs w:val="28"/>
        </w:rPr>
        <w:t>）</w:t>
      </w:r>
      <w:r>
        <w:rPr>
          <w:rFonts w:ascii="宋体" w:hAnsi="宋体"/>
          <w:b/>
          <w:bCs/>
          <w:sz w:val="28"/>
          <w:szCs w:val="28"/>
        </w:rPr>
        <w:t>公司</w:t>
      </w:r>
      <w:r>
        <w:rPr>
          <w:rFonts w:ascii="宋体" w:hAnsi="宋体" w:hint="eastAsia"/>
          <w:b/>
          <w:bCs/>
          <w:sz w:val="28"/>
          <w:szCs w:val="28"/>
        </w:rPr>
        <w:t>从事募投项目在人员、技术、市场等方面的储备情况</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bCs/>
          <w:sz w:val="28"/>
          <w:szCs w:val="28"/>
        </w:rPr>
        <w:t>人员方面，公司</w:t>
      </w:r>
      <w:r>
        <w:rPr>
          <w:rFonts w:ascii="宋体" w:hAnsi="宋体" w:hint="eastAsia"/>
          <w:bCs/>
          <w:sz w:val="28"/>
          <w:szCs w:val="28"/>
        </w:rPr>
        <w:t>坚持理性、创新、人本、共享的核心价值观，弘扬尽职履责的敬业文化、敢拼会赢的拼搏文化、务实担当的协作文化、协同奋进的家园文化，加强建设适应公司战略转型与业务发展的人才培养体系，增强员工队伍专业能力，提升员工队伍的凝聚力和向心力，有力地支撑企业的长远发展。</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bCs/>
          <w:sz w:val="28"/>
          <w:szCs w:val="28"/>
        </w:rPr>
        <w:lastRenderedPageBreak/>
        <w:t>技术方面，公司</w:t>
      </w:r>
      <w:r>
        <w:rPr>
          <w:rFonts w:ascii="宋体" w:hAnsi="宋体" w:hint="eastAsia"/>
          <w:bCs/>
          <w:sz w:val="28"/>
          <w:szCs w:val="28"/>
        </w:rPr>
        <w:t>以客户需求驱动变革创新，从顶层战略到生态结构、再到基础设施，推动银行经营理念与数字商业逻辑的有机融合。以“场景驱动、科技赋能、开放共赢”的平台运营模式，打造FGBC融合赋能新生态；运用数字化工具和手段整合渠道服务，优化业务流程；打造强有力的业务、数据和技术中台，提炼共享复用能力、增强数据应用能力、提升支持保障能力。</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bCs/>
          <w:sz w:val="28"/>
          <w:szCs w:val="28"/>
        </w:rPr>
        <w:t>市场方面，公司</w:t>
      </w:r>
      <w:r>
        <w:rPr>
          <w:rFonts w:ascii="宋体" w:hAnsi="宋体" w:hint="eastAsia"/>
          <w:bCs/>
          <w:sz w:val="28"/>
          <w:szCs w:val="28"/>
        </w:rPr>
        <w:t>以打造优秀的综合金融服务集团为目标，坚持走市场化、专业化、差异化发展道路。近年来，公司顺应金融市场化发展大趋势，围绕实体经济综合金融服务需求，坚定践行“1234”战略，深入调整业务布局，通过重点产品的强劲带动、重点区域的潜能发挥、重点行业的服务创新、重点客户的合作深化带动公司高质量、内涵式发展。</w:t>
      </w:r>
    </w:p>
    <w:p w:rsidR="00092652" w:rsidRDefault="0039522B">
      <w:pPr>
        <w:snapToGrid w:val="0"/>
        <w:spacing w:before="50" w:after="50" w:line="520" w:lineRule="exact"/>
        <w:ind w:firstLineChars="200" w:firstLine="562"/>
        <w:rPr>
          <w:rFonts w:ascii="宋体" w:hAnsi="宋体"/>
          <w:b/>
          <w:bCs/>
          <w:sz w:val="28"/>
          <w:szCs w:val="28"/>
        </w:rPr>
      </w:pPr>
      <w:r>
        <w:rPr>
          <w:rFonts w:ascii="宋体" w:hAnsi="宋体"/>
          <w:b/>
          <w:bCs/>
          <w:sz w:val="28"/>
          <w:szCs w:val="28"/>
        </w:rPr>
        <w:t>五</w:t>
      </w:r>
      <w:r>
        <w:rPr>
          <w:rFonts w:ascii="宋体" w:hAnsi="宋体" w:hint="eastAsia"/>
          <w:b/>
          <w:bCs/>
          <w:sz w:val="28"/>
          <w:szCs w:val="28"/>
        </w:rPr>
        <w:t>、</w:t>
      </w:r>
      <w:r>
        <w:rPr>
          <w:rFonts w:ascii="宋体" w:hAnsi="宋体"/>
          <w:b/>
          <w:bCs/>
          <w:sz w:val="28"/>
          <w:szCs w:val="28"/>
        </w:rPr>
        <w:t>公司关于填补回报的相关措施</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hint="eastAsia"/>
          <w:bCs/>
          <w:sz w:val="28"/>
          <w:szCs w:val="28"/>
        </w:rPr>
        <w:t>本次发行可能导致投资者的即期回报被摊薄，考虑上述情况，公司将采取多种措施以提升公司的经营业绩，增强公司的持续回报能力，具体情况如下：</w:t>
      </w:r>
    </w:p>
    <w:p w:rsidR="00092652" w:rsidRDefault="0039522B">
      <w:pPr>
        <w:snapToGrid w:val="0"/>
        <w:spacing w:before="50" w:after="50" w:line="520" w:lineRule="exact"/>
        <w:ind w:firstLineChars="200" w:firstLine="562"/>
        <w:rPr>
          <w:rFonts w:ascii="宋体" w:hAnsi="宋体"/>
          <w:b/>
          <w:bCs/>
          <w:sz w:val="28"/>
          <w:szCs w:val="28"/>
        </w:rPr>
      </w:pPr>
      <w:r>
        <w:rPr>
          <w:rFonts w:ascii="宋体" w:hAnsi="宋体" w:hint="eastAsia"/>
          <w:b/>
          <w:bCs/>
          <w:sz w:val="28"/>
          <w:szCs w:val="28"/>
        </w:rPr>
        <w:t>（一）公司现有业务板块运营状况及发展态势，面临的主要风险及改进措施</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hint="eastAsia"/>
          <w:bCs/>
          <w:sz w:val="28"/>
          <w:szCs w:val="28"/>
        </w:rPr>
        <w:t>面对严峻复杂的内外部形势和疫情挑战，公司认真贯彻落实国家宏观调控政策和金融监管要求，保安全，稳发展，助防疫，加大支持实体经济的力度，各项业务保持良好发展，转型发展迈上新台阶，经营质量稳步提升。</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hint="eastAsia"/>
          <w:bCs/>
          <w:sz w:val="28"/>
          <w:szCs w:val="28"/>
        </w:rPr>
        <w:t>1、存贷规模稳步增长，</w:t>
      </w:r>
      <w:r>
        <w:rPr>
          <w:rFonts w:ascii="宋体" w:hAnsi="宋体"/>
          <w:bCs/>
          <w:sz w:val="28"/>
          <w:szCs w:val="28"/>
        </w:rPr>
        <w:t>盈利</w:t>
      </w:r>
      <w:r>
        <w:rPr>
          <w:rFonts w:ascii="宋体" w:hAnsi="宋体" w:hint="eastAsia"/>
          <w:bCs/>
          <w:sz w:val="28"/>
          <w:szCs w:val="28"/>
        </w:rPr>
        <w:t>能力</w:t>
      </w:r>
      <w:r>
        <w:rPr>
          <w:rFonts w:ascii="宋体" w:hAnsi="宋体"/>
          <w:bCs/>
          <w:sz w:val="28"/>
          <w:szCs w:val="28"/>
        </w:rPr>
        <w:t>保持</w:t>
      </w:r>
      <w:r>
        <w:rPr>
          <w:rFonts w:ascii="宋体" w:hAnsi="宋体" w:hint="eastAsia"/>
          <w:bCs/>
          <w:sz w:val="28"/>
          <w:szCs w:val="28"/>
        </w:rPr>
        <w:t>稳定</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hint="eastAsia"/>
          <w:bCs/>
          <w:sz w:val="28"/>
          <w:szCs w:val="28"/>
        </w:rPr>
        <w:t>截至</w:t>
      </w:r>
      <w:r>
        <w:rPr>
          <w:rFonts w:ascii="宋体" w:hAnsi="宋体"/>
          <w:bCs/>
          <w:sz w:val="28"/>
          <w:szCs w:val="28"/>
        </w:rPr>
        <w:t>2020年12</w:t>
      </w:r>
      <w:r>
        <w:rPr>
          <w:rFonts w:ascii="宋体" w:hAnsi="宋体" w:hint="eastAsia"/>
          <w:bCs/>
          <w:sz w:val="28"/>
          <w:szCs w:val="28"/>
        </w:rPr>
        <w:t>月3</w:t>
      </w:r>
      <w:r>
        <w:rPr>
          <w:rFonts w:ascii="宋体" w:hAnsi="宋体"/>
          <w:bCs/>
          <w:sz w:val="28"/>
          <w:szCs w:val="28"/>
        </w:rPr>
        <w:t>1</w:t>
      </w:r>
      <w:r>
        <w:rPr>
          <w:rFonts w:ascii="宋体" w:hAnsi="宋体" w:hint="eastAsia"/>
          <w:bCs/>
          <w:sz w:val="28"/>
          <w:szCs w:val="28"/>
        </w:rPr>
        <w:t>日</w:t>
      </w:r>
      <w:r>
        <w:rPr>
          <w:rFonts w:ascii="宋体" w:hAnsi="宋体"/>
          <w:bCs/>
          <w:sz w:val="28"/>
          <w:szCs w:val="28"/>
        </w:rPr>
        <w:t>，公司</w:t>
      </w:r>
      <w:r>
        <w:rPr>
          <w:rFonts w:ascii="宋体" w:hAnsi="宋体" w:hint="eastAsia"/>
          <w:bCs/>
          <w:sz w:val="28"/>
          <w:szCs w:val="28"/>
        </w:rPr>
        <w:t>资产总额</w:t>
      </w:r>
      <w:r>
        <w:rPr>
          <w:rFonts w:ascii="宋体" w:hAnsi="宋体"/>
          <w:bCs/>
          <w:sz w:val="28"/>
          <w:szCs w:val="28"/>
        </w:rPr>
        <w:t>78,940.00</w:t>
      </w:r>
      <w:r>
        <w:rPr>
          <w:rFonts w:ascii="宋体" w:hAnsi="宋体" w:hint="eastAsia"/>
          <w:bCs/>
          <w:sz w:val="28"/>
          <w:szCs w:val="28"/>
        </w:rPr>
        <w:t>亿元，较上年末增长</w:t>
      </w:r>
      <w:r>
        <w:rPr>
          <w:rFonts w:ascii="宋体" w:hAnsi="宋体"/>
          <w:bCs/>
          <w:sz w:val="28"/>
          <w:szCs w:val="28"/>
        </w:rPr>
        <w:t>10</w:t>
      </w:r>
      <w:r>
        <w:rPr>
          <w:rFonts w:ascii="宋体" w:hAnsi="宋体" w:hint="eastAsia"/>
          <w:bCs/>
          <w:sz w:val="28"/>
          <w:szCs w:val="28"/>
        </w:rPr>
        <w:t>.47%；存款总额</w:t>
      </w:r>
      <w:r>
        <w:rPr>
          <w:rFonts w:ascii="宋体" w:hAnsi="宋体"/>
          <w:bCs/>
          <w:sz w:val="28"/>
          <w:szCs w:val="28"/>
        </w:rPr>
        <w:t>40,428.94</w:t>
      </w:r>
      <w:r>
        <w:rPr>
          <w:rFonts w:ascii="宋体" w:hAnsi="宋体" w:hint="eastAsia"/>
          <w:bCs/>
          <w:sz w:val="28"/>
          <w:szCs w:val="28"/>
        </w:rPr>
        <w:t>亿元，较上年末增长</w:t>
      </w:r>
      <w:r>
        <w:rPr>
          <w:rFonts w:ascii="宋体" w:hAnsi="宋体"/>
          <w:bCs/>
          <w:sz w:val="28"/>
          <w:szCs w:val="28"/>
        </w:rPr>
        <w:t>7</w:t>
      </w:r>
      <w:r>
        <w:rPr>
          <w:rFonts w:ascii="宋体" w:hAnsi="宋体" w:hint="eastAsia"/>
          <w:bCs/>
          <w:sz w:val="28"/>
          <w:szCs w:val="28"/>
        </w:rPr>
        <w:t>.</w:t>
      </w:r>
      <w:r>
        <w:rPr>
          <w:rFonts w:ascii="宋体" w:hAnsi="宋体"/>
          <w:bCs/>
          <w:sz w:val="28"/>
          <w:szCs w:val="28"/>
        </w:rPr>
        <w:t>55</w:t>
      </w:r>
      <w:r>
        <w:rPr>
          <w:rFonts w:ascii="宋体" w:hAnsi="宋体" w:hint="eastAsia"/>
          <w:bCs/>
          <w:sz w:val="28"/>
          <w:szCs w:val="28"/>
        </w:rPr>
        <w:t>%；贷款总额</w:t>
      </w:r>
      <w:r>
        <w:rPr>
          <w:rFonts w:ascii="宋体" w:hAnsi="宋体"/>
          <w:bCs/>
          <w:sz w:val="28"/>
          <w:szCs w:val="28"/>
        </w:rPr>
        <w:t>39,656.74</w:t>
      </w:r>
      <w:r>
        <w:rPr>
          <w:rFonts w:ascii="宋体" w:hAnsi="宋体" w:hint="eastAsia"/>
          <w:bCs/>
          <w:sz w:val="28"/>
          <w:szCs w:val="28"/>
        </w:rPr>
        <w:t>亿元，较上年末增长</w:t>
      </w:r>
      <w:r>
        <w:rPr>
          <w:rFonts w:ascii="宋体" w:hAnsi="宋体"/>
          <w:bCs/>
          <w:sz w:val="28"/>
          <w:szCs w:val="28"/>
        </w:rPr>
        <w:t>15</w:t>
      </w:r>
      <w:r>
        <w:rPr>
          <w:rFonts w:ascii="宋体" w:hAnsi="宋体" w:hint="eastAsia"/>
          <w:bCs/>
          <w:sz w:val="28"/>
          <w:szCs w:val="28"/>
        </w:rPr>
        <w:t>.</w:t>
      </w:r>
      <w:r>
        <w:rPr>
          <w:rFonts w:ascii="宋体" w:hAnsi="宋体"/>
          <w:bCs/>
          <w:sz w:val="28"/>
          <w:szCs w:val="28"/>
        </w:rPr>
        <w:t>23</w:t>
      </w:r>
      <w:r>
        <w:rPr>
          <w:rFonts w:ascii="宋体" w:hAnsi="宋体" w:hint="eastAsia"/>
          <w:bCs/>
          <w:sz w:val="28"/>
          <w:szCs w:val="28"/>
        </w:rPr>
        <w:t>%。公司2</w:t>
      </w:r>
      <w:r>
        <w:rPr>
          <w:rFonts w:ascii="宋体" w:hAnsi="宋体"/>
          <w:bCs/>
          <w:sz w:val="28"/>
          <w:szCs w:val="28"/>
        </w:rPr>
        <w:t>020</w:t>
      </w:r>
      <w:r>
        <w:rPr>
          <w:rFonts w:ascii="宋体" w:hAnsi="宋体" w:hint="eastAsia"/>
          <w:bCs/>
          <w:sz w:val="28"/>
          <w:szCs w:val="28"/>
        </w:rPr>
        <w:t>年度实</w:t>
      </w:r>
      <w:r>
        <w:rPr>
          <w:rFonts w:ascii="宋体" w:hAnsi="宋体" w:hint="eastAsia"/>
          <w:bCs/>
          <w:sz w:val="28"/>
          <w:szCs w:val="28"/>
        </w:rPr>
        <w:lastRenderedPageBreak/>
        <w:t>现营业收入</w:t>
      </w:r>
      <w:r>
        <w:rPr>
          <w:rFonts w:ascii="宋体" w:hAnsi="宋体"/>
          <w:bCs/>
          <w:sz w:val="28"/>
          <w:szCs w:val="28"/>
        </w:rPr>
        <w:t>2,031.37</w:t>
      </w:r>
      <w:r>
        <w:rPr>
          <w:rFonts w:ascii="宋体" w:hAnsi="宋体" w:hint="eastAsia"/>
          <w:bCs/>
          <w:sz w:val="28"/>
          <w:szCs w:val="28"/>
        </w:rPr>
        <w:t>亿元，同比增长</w:t>
      </w:r>
      <w:r>
        <w:rPr>
          <w:rFonts w:ascii="宋体" w:hAnsi="宋体"/>
          <w:bCs/>
          <w:sz w:val="28"/>
          <w:szCs w:val="28"/>
        </w:rPr>
        <w:t>12</w:t>
      </w:r>
      <w:r>
        <w:rPr>
          <w:rFonts w:ascii="宋体" w:hAnsi="宋体" w:hint="eastAsia"/>
          <w:bCs/>
          <w:sz w:val="28"/>
          <w:szCs w:val="28"/>
        </w:rPr>
        <w:t>.</w:t>
      </w:r>
      <w:r>
        <w:rPr>
          <w:rFonts w:ascii="宋体" w:hAnsi="宋体"/>
          <w:bCs/>
          <w:sz w:val="28"/>
          <w:szCs w:val="28"/>
        </w:rPr>
        <w:t>04%</w:t>
      </w:r>
      <w:r>
        <w:rPr>
          <w:rFonts w:ascii="宋体" w:hAnsi="宋体" w:hint="eastAsia"/>
          <w:bCs/>
          <w:sz w:val="28"/>
          <w:szCs w:val="28"/>
        </w:rPr>
        <w:t>；实现归属于母公司股东的净利润6</w:t>
      </w:r>
      <w:r>
        <w:rPr>
          <w:rFonts w:ascii="宋体" w:hAnsi="宋体"/>
          <w:bCs/>
          <w:sz w:val="28"/>
          <w:szCs w:val="28"/>
        </w:rPr>
        <w:t>66</w:t>
      </w:r>
      <w:r>
        <w:rPr>
          <w:rFonts w:ascii="宋体" w:hAnsi="宋体" w:hint="eastAsia"/>
          <w:bCs/>
          <w:sz w:val="28"/>
          <w:szCs w:val="28"/>
        </w:rPr>
        <w:t>.</w:t>
      </w:r>
      <w:r>
        <w:rPr>
          <w:rFonts w:ascii="宋体" w:hAnsi="宋体"/>
          <w:bCs/>
          <w:sz w:val="28"/>
          <w:szCs w:val="28"/>
        </w:rPr>
        <w:t>26</w:t>
      </w:r>
      <w:r>
        <w:rPr>
          <w:rFonts w:ascii="宋体" w:hAnsi="宋体" w:hint="eastAsia"/>
          <w:bCs/>
          <w:sz w:val="28"/>
          <w:szCs w:val="28"/>
        </w:rPr>
        <w:t>亿元，同比增长</w:t>
      </w:r>
      <w:r>
        <w:rPr>
          <w:rFonts w:ascii="宋体" w:hAnsi="宋体"/>
          <w:bCs/>
          <w:sz w:val="28"/>
          <w:szCs w:val="28"/>
        </w:rPr>
        <w:t>1</w:t>
      </w:r>
      <w:r>
        <w:rPr>
          <w:rFonts w:ascii="宋体" w:hAnsi="宋体" w:hint="eastAsia"/>
          <w:bCs/>
          <w:sz w:val="28"/>
          <w:szCs w:val="28"/>
        </w:rPr>
        <w:t>.</w:t>
      </w:r>
      <w:r>
        <w:rPr>
          <w:rFonts w:ascii="宋体" w:hAnsi="宋体"/>
          <w:bCs/>
          <w:sz w:val="28"/>
          <w:szCs w:val="28"/>
        </w:rPr>
        <w:t>15</w:t>
      </w:r>
      <w:r>
        <w:rPr>
          <w:rFonts w:ascii="宋体" w:hAnsi="宋体" w:hint="eastAsia"/>
          <w:bCs/>
          <w:sz w:val="28"/>
          <w:szCs w:val="28"/>
        </w:rPr>
        <w:t>%。</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hint="eastAsia"/>
          <w:bCs/>
          <w:sz w:val="28"/>
          <w:szCs w:val="28"/>
        </w:rPr>
        <w:t>2、战略业务快速发展，特色业务巩固优势</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hint="eastAsia"/>
          <w:bCs/>
          <w:sz w:val="28"/>
          <w:szCs w:val="28"/>
        </w:rPr>
        <w:t>（1）客户条线</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hint="eastAsia"/>
          <w:bCs/>
          <w:sz w:val="28"/>
          <w:szCs w:val="28"/>
        </w:rPr>
        <w:t>①</w:t>
      </w:r>
      <w:r>
        <w:rPr>
          <w:rFonts w:ascii="宋体" w:hAnsi="宋体"/>
          <w:bCs/>
          <w:sz w:val="28"/>
          <w:szCs w:val="28"/>
        </w:rPr>
        <w:t xml:space="preserve"> </w:t>
      </w:r>
      <w:r>
        <w:rPr>
          <w:rFonts w:ascii="宋体" w:hAnsi="宋体" w:hint="eastAsia"/>
          <w:bCs/>
          <w:sz w:val="28"/>
          <w:szCs w:val="28"/>
        </w:rPr>
        <w:t>企业金融业务</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hint="eastAsia"/>
          <w:bCs/>
          <w:sz w:val="28"/>
          <w:szCs w:val="28"/>
        </w:rPr>
        <w:t>绿色金融业务方面，公司提前完成“到2020年末，集团绿色金融融资余额突破一万亿元，绿色金融客户突破一万户”的发展目标，聚焦水资源利用与保护、固废处理、大气治理、新能源、绿色交通和绿色建筑等重点领域，着力服务京津冀、长三角、大湾区、长江经济带等重点区域，协助落实国家战略。</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hint="eastAsia"/>
          <w:bCs/>
          <w:sz w:val="28"/>
          <w:szCs w:val="28"/>
        </w:rPr>
        <w:t>大型客户业务方面，公司完善重点客户经营体系，战略客户、上市公司、专业客群客户经营成效显著；机构业务领域，各级财政代理业务持续扩面上量，专项债财顾业务省级区域全覆盖；汽车金融领域，加快汽融专属产品升级运用，推进“兴车融”平台升级完善。</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hint="eastAsia"/>
          <w:bCs/>
          <w:sz w:val="28"/>
          <w:szCs w:val="28"/>
        </w:rPr>
        <w:t>中小企业业务方面，公司聚焦基础客群增量提质、普惠金融质效提升、小微金融科技赋能、科创金融特色竞争等重点板块，持续加强中小企业金融支持力度。创新推出“兴业普惠贷”；围绕民生消费领域，先后制定中小企业八大细分行业研究报告及配套沙盘；承建运营“福建金服云”平台，为中小微企业提供“金融+科技+数据+政策”的在线融资服务。</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hint="eastAsia"/>
          <w:bCs/>
          <w:sz w:val="28"/>
          <w:szCs w:val="28"/>
        </w:rPr>
        <w:t>交易银行业务方面，公司着力构建供应链金融生态综合服务平台，“兴享供应链”系列线上产品日趋完善，科技赋能效果显著；持续打造“金融+行业生态圈”，深耕医疗、教育、住建、交通四大重点行业；创新推出全球资金管理系统，跨境一体多元体系逐步形成。</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hint="eastAsia"/>
          <w:bCs/>
          <w:sz w:val="28"/>
          <w:szCs w:val="28"/>
        </w:rPr>
        <w:t>②</w:t>
      </w:r>
      <w:r>
        <w:rPr>
          <w:rFonts w:ascii="宋体" w:hAnsi="宋体"/>
          <w:bCs/>
          <w:sz w:val="28"/>
          <w:szCs w:val="28"/>
        </w:rPr>
        <w:t xml:space="preserve"> </w:t>
      </w:r>
      <w:r>
        <w:rPr>
          <w:rFonts w:ascii="宋体" w:hAnsi="宋体" w:hint="eastAsia"/>
          <w:bCs/>
          <w:sz w:val="28"/>
          <w:szCs w:val="28"/>
        </w:rPr>
        <w:t>零售金融业务</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hint="eastAsia"/>
          <w:bCs/>
          <w:sz w:val="28"/>
          <w:szCs w:val="28"/>
        </w:rPr>
        <w:lastRenderedPageBreak/>
        <w:t>零售财富业务方面，公司坚持全市场精选优质产品，提升投资能力，为客户创造价值，财富业务保持较快发展。零售负债业务坚持拓展低成本核心负债，进一步加强“织网工程”建设，重点推动代发工资、全网收单、第三方存管等“批发式”基础结算业务，不断完善平台搭建，丰富场景建设，提升结算性存款拓展能力。</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hint="eastAsia"/>
          <w:bCs/>
          <w:sz w:val="28"/>
          <w:szCs w:val="28"/>
        </w:rPr>
        <w:t>私人银行业务方面，公司着力打造私人银行财富管理服务品牌“家族办公室”，在个人、企业、家族三个维度为国内高净值客户和新富人群提供投资、税务、法律、并购融资、清算、跨境金融、子女教育与资产传承等方面的个性化全方位私人银行综合服务。</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hint="eastAsia"/>
          <w:bCs/>
          <w:sz w:val="28"/>
          <w:szCs w:val="28"/>
        </w:rPr>
        <w:t>信用卡业务方面，业务平稳健康发展，精细化经营能力稳步提升。积极抗击新冠肺炎疫情，履行社会责任，提供延期还款服务。把握后疫情时代风险特征，加大大数据风控产品和量化评分模型应用，搭建风险与收益相结合的监测预警体系，控制新增风险增长，加快存量风险消化，强化不良资产清收，保障资产安全。</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hint="eastAsia"/>
          <w:bCs/>
          <w:sz w:val="28"/>
          <w:szCs w:val="28"/>
        </w:rPr>
        <w:t>零售网络金融业务方面，公司积极运用线上平台开展业务经营，顺应数字化转型，推进智慧银行建设，推出手机银行“城市服务”专区，构建“金融+生活”生态圈。创新线上获客和销售平台“线上理财室”，赋能业务运营。兴业生活商城开辟“兴公益”扶贫专区，力推电商扶贫，践行普惠金融。</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hint="eastAsia"/>
          <w:bCs/>
          <w:sz w:val="28"/>
          <w:szCs w:val="28"/>
        </w:rPr>
        <w:t>③</w:t>
      </w:r>
      <w:r>
        <w:rPr>
          <w:rFonts w:ascii="宋体" w:hAnsi="宋体"/>
          <w:bCs/>
          <w:sz w:val="28"/>
          <w:szCs w:val="28"/>
        </w:rPr>
        <w:t xml:space="preserve"> </w:t>
      </w:r>
      <w:r>
        <w:rPr>
          <w:rFonts w:ascii="宋体" w:hAnsi="宋体" w:hint="eastAsia"/>
          <w:bCs/>
          <w:sz w:val="28"/>
          <w:szCs w:val="28"/>
        </w:rPr>
        <w:t>同业金融业务</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hint="eastAsia"/>
          <w:bCs/>
          <w:sz w:val="28"/>
          <w:szCs w:val="28"/>
        </w:rPr>
        <w:t>同业合作方面，公司为同业客户提供支付结算、融资服务、投资交易、财富管理等全产品综合金融服务。深入发展与各类金融交易场所在代理清算、资金结算、融资服务、投资交易、系统建设等方面的综合性合作，形成全链条、全客群服务体系，并运用开放银行理念，与同业客户协同实现产品开放、渠道共享和优势互补，进一步扩展并提升同业合作价值。</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hint="eastAsia"/>
          <w:bCs/>
          <w:sz w:val="28"/>
          <w:szCs w:val="28"/>
        </w:rPr>
        <w:lastRenderedPageBreak/>
        <w:t>银银平台方面，作为公司在国内率先推出的金融同业合作品牌，为各类中小金融机构提供涵盖财富管理、支付结算、资金交易、资产流转、跨境金融、科技金融、资本补充等一揽子综合金融服务，在赋能中小银行转型发展中实现自身商业价值。</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hint="eastAsia"/>
          <w:bCs/>
          <w:sz w:val="28"/>
          <w:szCs w:val="28"/>
        </w:rPr>
        <w:t>（</w:t>
      </w:r>
      <w:r>
        <w:rPr>
          <w:rFonts w:ascii="宋体" w:hAnsi="宋体"/>
          <w:bCs/>
          <w:sz w:val="28"/>
          <w:szCs w:val="28"/>
        </w:rPr>
        <w:t>2</w:t>
      </w:r>
      <w:r>
        <w:rPr>
          <w:rFonts w:ascii="宋体" w:hAnsi="宋体" w:hint="eastAsia"/>
          <w:bCs/>
          <w:sz w:val="28"/>
          <w:szCs w:val="28"/>
        </w:rPr>
        <w:t>）公共产品条线</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hint="eastAsia"/>
          <w:bCs/>
          <w:sz w:val="28"/>
          <w:szCs w:val="28"/>
        </w:rPr>
        <w:t>投资银行业务方面，公司努力践行“商行+投行”战略布局，持续加大并购重组、私募债权、资产证券化、资本市场等关键领域的探索，促进客户结构优化与业务模式多样化。</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hint="eastAsia"/>
          <w:bCs/>
          <w:sz w:val="28"/>
          <w:szCs w:val="28"/>
        </w:rPr>
        <w:t>资产管理业务方面，公司强化理财核心枢纽作用，持续推动理财业务转型。重点完善“投研生态圈”建设，建立了涵盖宏观与策略、大类资产配置研究、信用研究、行业与个股研究、管理人研究的立体化投资研究框架。产品结构持续优化，积极参与资本市场建设，重点布局固收+、多资产等含权益类产品。</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hint="eastAsia"/>
          <w:bCs/>
          <w:sz w:val="28"/>
          <w:szCs w:val="28"/>
        </w:rPr>
        <w:t>资金业务方面，公司持续加强固定收益投资业务的集中管理和投资运作，推进“债券银行”及“FICC银行”品牌建设，在债券、汇率、利率等要素市场继续保持市场做市商前列，在提升市场流动性和市场定价效率上起到积极作用。</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hint="eastAsia"/>
          <w:bCs/>
          <w:sz w:val="28"/>
          <w:szCs w:val="28"/>
        </w:rPr>
        <w:t>资产托管业务方面，公司稳步推进产品转型及业务下沉，持续增强专业服务能力，充分发挥“信息汇聚中心、资源整合中心”平台优势，市场地位保持前列。</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hint="eastAsia"/>
          <w:bCs/>
          <w:sz w:val="28"/>
          <w:szCs w:val="28"/>
        </w:rPr>
        <w:t>3、公司面临的主要风险及改进措施</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hint="eastAsia"/>
          <w:bCs/>
          <w:sz w:val="28"/>
          <w:szCs w:val="28"/>
        </w:rPr>
        <w:t>公司面临的风险主要包括信用风险、流动性风险、市场风险、银行账簿利率风险、操作风险、合规风险、信息科技风险、声誉风险和国别风险等。在新冠疫情的冲击下，全球经济再平衡和产业格局进入再调整，经济增速下行，商业银行面对的信用风险、市场风险以及流动性风险都有可能上升，经营压力进一步增大。同时，</w:t>
      </w:r>
      <w:r>
        <w:rPr>
          <w:rFonts w:ascii="宋体" w:hAnsi="宋体"/>
          <w:bCs/>
          <w:sz w:val="28"/>
          <w:szCs w:val="28"/>
        </w:rPr>
        <w:t>在</w:t>
      </w:r>
      <w:r>
        <w:rPr>
          <w:rFonts w:ascii="宋体" w:hAnsi="宋体" w:hint="eastAsia"/>
          <w:bCs/>
          <w:sz w:val="28"/>
          <w:szCs w:val="28"/>
        </w:rPr>
        <w:t>《巴塞尔协</w:t>
      </w:r>
      <w:r>
        <w:rPr>
          <w:rFonts w:ascii="宋体" w:hAnsi="宋体" w:hint="eastAsia"/>
          <w:bCs/>
          <w:sz w:val="28"/>
          <w:szCs w:val="28"/>
        </w:rPr>
        <w:lastRenderedPageBreak/>
        <w:t>议Ⅲ》和《商业银行资本管理办法（试行）》的框架下，防范</w:t>
      </w:r>
      <w:r>
        <w:rPr>
          <w:rFonts w:ascii="宋体" w:hAnsi="宋体"/>
          <w:bCs/>
          <w:sz w:val="28"/>
          <w:szCs w:val="28"/>
        </w:rPr>
        <w:t>包括操作风险</w:t>
      </w:r>
      <w:r>
        <w:rPr>
          <w:rFonts w:ascii="宋体" w:hAnsi="宋体" w:hint="eastAsia"/>
          <w:bCs/>
          <w:sz w:val="28"/>
          <w:szCs w:val="28"/>
        </w:rPr>
        <w:t>、合规风险、信息科技风险、声誉风险和国别风险在内的其他风险的重要性也进一步突出。</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hint="eastAsia"/>
          <w:bCs/>
          <w:sz w:val="28"/>
          <w:szCs w:val="28"/>
        </w:rPr>
        <w:t>公司制订了业务运营与风险管理并重的发展战略，建立了以风险资产管理为核心的事前、事中、事后风险控制系统，健全了各项业务的风险管理制度和操作规程，完善了风险责任追究与处罚机制，将各类业务、各种客户承担的信用风险、市场风险、流动性风险、操作风险、国别风险、银行账簿利率风险、声誉风险、战略风险、信息科技风险、洗钱风险等纳入全面风险管理范畴，进一步明确了董事会、监事会、高级管理层、操作执行层在风险管理上的具体职责，形成了明确、清晰、有效的全面风险管理体系。在日常风险管理工作中，由业务部门、风险管理职能部门和内部审计部门组成职责明确的风险管理“三道防线”，各司其职，共同致力于风险管理目标的实现。</w:t>
      </w:r>
    </w:p>
    <w:p w:rsidR="00092652" w:rsidRDefault="0039522B">
      <w:pPr>
        <w:snapToGrid w:val="0"/>
        <w:spacing w:before="50" w:after="50" w:line="520" w:lineRule="exact"/>
        <w:ind w:firstLineChars="200" w:firstLine="562"/>
        <w:rPr>
          <w:rFonts w:ascii="宋体" w:hAnsi="宋体"/>
          <w:b/>
          <w:bCs/>
          <w:sz w:val="28"/>
          <w:szCs w:val="28"/>
        </w:rPr>
      </w:pPr>
      <w:r>
        <w:rPr>
          <w:rFonts w:ascii="宋体" w:hAnsi="宋体" w:hint="eastAsia"/>
          <w:b/>
          <w:bCs/>
          <w:sz w:val="28"/>
          <w:szCs w:val="28"/>
        </w:rPr>
        <w:t>（</w:t>
      </w:r>
      <w:r>
        <w:rPr>
          <w:rFonts w:ascii="宋体" w:hAnsi="宋体"/>
          <w:b/>
          <w:bCs/>
          <w:sz w:val="28"/>
          <w:szCs w:val="28"/>
        </w:rPr>
        <w:t>二</w:t>
      </w:r>
      <w:r>
        <w:rPr>
          <w:rFonts w:ascii="宋体" w:hAnsi="宋体" w:hint="eastAsia"/>
          <w:b/>
          <w:bCs/>
          <w:sz w:val="28"/>
          <w:szCs w:val="28"/>
        </w:rPr>
        <w:t>）</w:t>
      </w:r>
      <w:r>
        <w:rPr>
          <w:rFonts w:ascii="宋体" w:hAnsi="宋体"/>
          <w:b/>
          <w:bCs/>
          <w:sz w:val="28"/>
          <w:szCs w:val="28"/>
        </w:rPr>
        <w:t>公司本次</w:t>
      </w:r>
      <w:r>
        <w:rPr>
          <w:rFonts w:ascii="宋体" w:hAnsi="宋体" w:hint="eastAsia"/>
          <w:b/>
          <w:bCs/>
          <w:sz w:val="28"/>
          <w:szCs w:val="28"/>
        </w:rPr>
        <w:t>发行</w:t>
      </w:r>
      <w:r>
        <w:rPr>
          <w:rFonts w:ascii="宋体" w:hAnsi="宋体"/>
          <w:b/>
          <w:bCs/>
          <w:sz w:val="28"/>
          <w:szCs w:val="28"/>
        </w:rPr>
        <w:t>摊薄即期回报的具体填补措施</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bCs/>
          <w:sz w:val="28"/>
          <w:szCs w:val="28"/>
        </w:rPr>
        <w:t>为保证本次发行的募集资金有效使用，促进公司业务健康、</w:t>
      </w:r>
      <w:r>
        <w:rPr>
          <w:rFonts w:ascii="宋体" w:hAnsi="宋体" w:hint="eastAsia"/>
          <w:bCs/>
          <w:sz w:val="28"/>
          <w:szCs w:val="28"/>
        </w:rPr>
        <w:t>稳健</w:t>
      </w:r>
      <w:r>
        <w:rPr>
          <w:rFonts w:ascii="宋体" w:hAnsi="宋体"/>
          <w:bCs/>
          <w:sz w:val="28"/>
          <w:szCs w:val="28"/>
        </w:rPr>
        <w:t>发展，充分保护公司股东特别是中小股东的权益，增强公司的可持续发展能力，提升公司的业务规模、经营效益，降低即期回报被摊薄的风险，为中长期的股东价值回报提供保障，公司将采取如下措施：</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hint="eastAsia"/>
          <w:bCs/>
          <w:sz w:val="28"/>
          <w:szCs w:val="28"/>
        </w:rPr>
        <w:t>1、</w:t>
      </w:r>
      <w:r>
        <w:rPr>
          <w:rFonts w:ascii="宋体" w:hAnsi="宋体"/>
          <w:bCs/>
          <w:sz w:val="28"/>
          <w:szCs w:val="28"/>
        </w:rPr>
        <w:t>加强资本规划管理</w:t>
      </w:r>
      <w:r>
        <w:rPr>
          <w:rFonts w:ascii="宋体" w:hAnsi="宋体" w:hint="eastAsia"/>
          <w:bCs/>
          <w:sz w:val="28"/>
          <w:szCs w:val="28"/>
        </w:rPr>
        <w:t>，保持</w:t>
      </w:r>
      <w:r>
        <w:rPr>
          <w:rFonts w:ascii="宋体" w:hAnsi="宋体"/>
          <w:bCs/>
          <w:sz w:val="28"/>
          <w:szCs w:val="28"/>
        </w:rPr>
        <w:t>资本充足稳定</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bCs/>
          <w:sz w:val="28"/>
          <w:szCs w:val="28"/>
        </w:rPr>
        <w:t>公司将认真贯彻落实国家宏观调控政策和监管要求</w:t>
      </w:r>
      <w:r>
        <w:rPr>
          <w:rFonts w:ascii="宋体" w:hAnsi="宋体" w:hint="eastAsia"/>
          <w:bCs/>
          <w:sz w:val="28"/>
          <w:szCs w:val="28"/>
        </w:rPr>
        <w:t>，</w:t>
      </w:r>
      <w:r>
        <w:rPr>
          <w:rFonts w:ascii="宋体" w:hAnsi="宋体"/>
          <w:bCs/>
          <w:sz w:val="28"/>
          <w:szCs w:val="28"/>
        </w:rPr>
        <w:t>并根据国内外经济金融形势、公司业务发展及内部管理情况，及时对资本规划进行动态调整，通过内源性和外源性等方式适时补充一级资本和二级资本</w:t>
      </w:r>
      <w:r>
        <w:rPr>
          <w:rFonts w:ascii="宋体" w:hAnsi="宋体" w:hint="eastAsia"/>
          <w:bCs/>
          <w:sz w:val="28"/>
          <w:szCs w:val="28"/>
        </w:rPr>
        <w:t>，</w:t>
      </w:r>
      <w:r>
        <w:rPr>
          <w:rFonts w:ascii="宋体" w:hAnsi="宋体"/>
          <w:bCs/>
          <w:sz w:val="28"/>
          <w:szCs w:val="28"/>
        </w:rPr>
        <w:t>提升公司资本实力</w:t>
      </w:r>
      <w:r>
        <w:rPr>
          <w:rFonts w:ascii="宋体" w:hAnsi="宋体" w:hint="eastAsia"/>
          <w:bCs/>
          <w:sz w:val="28"/>
          <w:szCs w:val="28"/>
        </w:rPr>
        <w:t>，</w:t>
      </w:r>
      <w:r>
        <w:rPr>
          <w:rFonts w:ascii="宋体" w:hAnsi="宋体"/>
          <w:bCs/>
          <w:sz w:val="28"/>
          <w:szCs w:val="28"/>
        </w:rPr>
        <w:t>确保资本水平与未来业务发展和风险状况相适应。</w:t>
      </w:r>
      <w:r>
        <w:rPr>
          <w:rFonts w:ascii="宋体" w:hAnsi="宋体" w:hint="eastAsia"/>
          <w:bCs/>
          <w:sz w:val="28"/>
          <w:szCs w:val="28"/>
        </w:rPr>
        <w:t>公司将不断完善新资本协议组织架构和制度框架，覆盖资本充足率管理、内部评级管理、暴露分类、缓释认定、模型计量、体系验证、评级应用、压力测试、数据治理等各方面工作；持续开展内部培</w:t>
      </w:r>
      <w:r>
        <w:rPr>
          <w:rFonts w:ascii="宋体" w:hAnsi="宋体" w:hint="eastAsia"/>
          <w:bCs/>
          <w:sz w:val="28"/>
          <w:szCs w:val="28"/>
        </w:rPr>
        <w:lastRenderedPageBreak/>
        <w:t>训，培育资本约束风险的经营理念，推动新资本协议体系实施；加强集团并表资本管理，统筹考虑各并表子公司监管达标、股东回报、业务发展和风险覆盖的需要，跟踪、监测各并表子公司的资本配置和使用，保持并表子公司稳健的资本充足水平和合理的资本结构。</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hint="eastAsia"/>
          <w:bCs/>
          <w:sz w:val="28"/>
          <w:szCs w:val="28"/>
        </w:rPr>
        <w:t>2、</w:t>
      </w:r>
      <w:r>
        <w:rPr>
          <w:rFonts w:ascii="宋体" w:hAnsi="宋体"/>
          <w:bCs/>
          <w:sz w:val="28"/>
          <w:szCs w:val="28"/>
        </w:rPr>
        <w:t>提升资本使用效率，合理配置资源</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bCs/>
          <w:sz w:val="28"/>
          <w:szCs w:val="28"/>
        </w:rPr>
        <w:t>公司将</w:t>
      </w:r>
      <w:r>
        <w:rPr>
          <w:rFonts w:ascii="宋体" w:hAnsi="宋体" w:hint="eastAsia"/>
          <w:bCs/>
          <w:sz w:val="28"/>
          <w:szCs w:val="28"/>
        </w:rPr>
        <w:t>积极贯彻资本集约化经营理念，强化风险加权资产管理，全力推进巴塞尔协议Ⅲ新标准法建设，提高资本使用效率；持续优化资产业务结构和管理流程，紧跟国际资本监管改革进展，做好资本管理工作，并以效率为导向，发挥考核指挥棒的作用，将资本节约的理念深入至各层级，切实提高资本回报水平。</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hint="eastAsia"/>
          <w:bCs/>
          <w:sz w:val="28"/>
          <w:szCs w:val="28"/>
        </w:rPr>
        <w:t>3、</w:t>
      </w:r>
      <w:r>
        <w:rPr>
          <w:rFonts w:ascii="宋体" w:hAnsi="宋体"/>
          <w:bCs/>
          <w:sz w:val="28"/>
          <w:szCs w:val="28"/>
        </w:rPr>
        <w:t>持续推动业务条线改革，拓展多元化盈利渠道</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hint="eastAsia"/>
          <w:bCs/>
          <w:sz w:val="28"/>
          <w:szCs w:val="28"/>
        </w:rPr>
        <w:t>公司坚持以“轻资产、轻资本、高效率”为转型方向，以打造优秀的综合金融服务集团为目标，推动全行经营理念从产品驱动向客户驱动，经营模式从高速度增长向高质量发展转变，从规模银行向价值银行转变，具体措施包括：（1）坚持客户驱动、科技赋能，推动银行经营理念与数字商业逻辑的有机融合，以服务、体验、价值、客户为主导的理念深刻变革和发展动力实质提升，形成数字化时代的智慧生存能力与核心竞争力；（2）坚持商行投行双向联动，围绕“1234”战略深入调整业务布局，形成更加合理的业务结构和收入结构，实现表内结构优化、表外增量发展；（3）坚持战略资源整合聚焦，强化战略资源的精细化差异化管理，通过重点产品的强劲带动、重点区域的潜能发挥、重点行业的服务创新、重点客户的合作深化带动集团高质量、内涵式发展；（4）坚持整体银行凝聚合力，以客户为中心,优化调整集团管控模式，推动子公司在集团统一的战略共识和风险偏好引导下，严格落实集团政策措施，全面融入集团经营管理，更好实现商行和投行业务功能的有机融合、母行与集团成员的协同联动、信息和资源的</w:t>
      </w:r>
      <w:r>
        <w:rPr>
          <w:rFonts w:ascii="宋体" w:hAnsi="宋体" w:hint="eastAsia"/>
          <w:bCs/>
          <w:sz w:val="28"/>
          <w:szCs w:val="28"/>
        </w:rPr>
        <w:lastRenderedPageBreak/>
        <w:t>互通共享。</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hint="eastAsia"/>
          <w:bCs/>
          <w:sz w:val="28"/>
          <w:szCs w:val="28"/>
        </w:rPr>
        <w:t>4、进一步完善持续、稳定、科学的股东回报机制</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hint="eastAsia"/>
          <w:bCs/>
          <w:sz w:val="28"/>
          <w:szCs w:val="28"/>
        </w:rPr>
        <w:t>公司将保持利润分配政策的连续性和稳定性，平衡业务持续发展与普通股股东综合回报二者间的关系，保持现金分红政策的一致性、合理性和稳定性。</w:t>
      </w:r>
    </w:p>
    <w:p w:rsidR="00092652" w:rsidRDefault="0039522B">
      <w:pPr>
        <w:snapToGrid w:val="0"/>
        <w:spacing w:before="50" w:after="50" w:line="520" w:lineRule="exact"/>
        <w:ind w:firstLineChars="200" w:firstLine="562"/>
        <w:rPr>
          <w:rFonts w:ascii="宋体" w:hAnsi="宋体"/>
          <w:b/>
          <w:bCs/>
          <w:sz w:val="28"/>
          <w:szCs w:val="28"/>
        </w:rPr>
      </w:pPr>
      <w:r>
        <w:rPr>
          <w:rFonts w:ascii="宋体" w:hAnsi="宋体"/>
          <w:b/>
          <w:bCs/>
          <w:sz w:val="28"/>
          <w:szCs w:val="28"/>
        </w:rPr>
        <w:t>六、公司董事、高级管理人员对公司摊薄即期回报采取填补措施的承诺</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hint="eastAsia"/>
          <w:bCs/>
          <w:sz w:val="28"/>
          <w:szCs w:val="28"/>
        </w:rPr>
        <w:t>（一）承诺不无偿或以不公平条件向其他单位或者个人输送利益，也不采用其他方式损害公司利益。</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bCs/>
          <w:sz w:val="28"/>
          <w:szCs w:val="28"/>
        </w:rPr>
        <w:t>（二）承诺对董事和高级管理人员的职务消费行为进行约束。</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bCs/>
          <w:sz w:val="28"/>
          <w:szCs w:val="28"/>
        </w:rPr>
        <w:t>（三）承诺不动用公司资产从事与其履行职责无关的投资、消费活动。</w:t>
      </w:r>
    </w:p>
    <w:p w:rsidR="00092652" w:rsidRDefault="0039522B">
      <w:pPr>
        <w:snapToGrid w:val="0"/>
        <w:spacing w:before="50" w:after="50" w:line="520" w:lineRule="exact"/>
        <w:ind w:firstLineChars="200" w:firstLine="560"/>
        <w:rPr>
          <w:rFonts w:ascii="宋体" w:hAnsi="宋体"/>
          <w:bCs/>
          <w:sz w:val="28"/>
          <w:szCs w:val="28"/>
        </w:rPr>
      </w:pPr>
      <w:r>
        <w:rPr>
          <w:rFonts w:ascii="宋体" w:hAnsi="宋体" w:hint="eastAsia"/>
          <w:bCs/>
          <w:sz w:val="28"/>
          <w:szCs w:val="28"/>
        </w:rPr>
        <w:t>（四）承诺由董事会或薪酬考核委员会制定的薪酬制度与公司填补回报措施的执行情况相挂钩。</w:t>
      </w:r>
    </w:p>
    <w:p w:rsidR="00092652" w:rsidRDefault="0039522B">
      <w:pPr>
        <w:snapToGrid w:val="0"/>
        <w:spacing w:before="50" w:after="50" w:line="520" w:lineRule="exact"/>
        <w:ind w:firstLineChars="200" w:firstLine="560"/>
        <w:rPr>
          <w:rFonts w:eastAsia="仿宋_GB2312"/>
          <w:sz w:val="28"/>
          <w:szCs w:val="28"/>
        </w:rPr>
      </w:pPr>
      <w:r>
        <w:rPr>
          <w:rFonts w:ascii="宋体" w:hAnsi="宋体" w:hint="eastAsia"/>
          <w:bCs/>
          <w:sz w:val="28"/>
          <w:szCs w:val="28"/>
        </w:rPr>
        <w:t>（五）承诺未来公司如实施股权激励，则拟公布的公司股权激励的行权条件与公司填补回报措施的执行情况相挂钩。</w:t>
      </w:r>
    </w:p>
    <w:p w:rsidR="00092652" w:rsidRDefault="0039522B">
      <w:pPr>
        <w:widowControl/>
        <w:spacing w:line="490" w:lineRule="exact"/>
        <w:ind w:firstLineChars="200" w:firstLine="600"/>
        <w:jc w:val="left"/>
        <w:rPr>
          <w:rFonts w:ascii="仿宋_GB2312" w:eastAsia="仿宋_GB2312" w:hAnsi="Calibri"/>
          <w:sz w:val="30"/>
          <w:szCs w:val="30"/>
        </w:rPr>
      </w:pPr>
      <w:r>
        <w:rPr>
          <w:rFonts w:ascii="仿宋_GB2312" w:eastAsia="仿宋_GB2312" w:hAnsi="Calibri"/>
          <w:sz w:val="30"/>
          <w:szCs w:val="30"/>
        </w:rPr>
        <w:t xml:space="preserve"> </w:t>
      </w:r>
    </w:p>
    <w:p w:rsidR="00092652" w:rsidRDefault="0039522B">
      <w:pPr>
        <w:widowControl/>
        <w:jc w:val="left"/>
        <w:rPr>
          <w:rFonts w:ascii="仿宋_GB2312" w:eastAsia="仿宋_GB2312" w:hAnsi="Calibri"/>
          <w:sz w:val="30"/>
          <w:szCs w:val="30"/>
        </w:rPr>
      </w:pPr>
      <w:r>
        <w:rPr>
          <w:rFonts w:ascii="仿宋_GB2312" w:eastAsia="仿宋_GB2312" w:hAnsi="Calibri"/>
          <w:sz w:val="30"/>
          <w:szCs w:val="30"/>
        </w:rPr>
        <w:br w:type="page"/>
      </w:r>
    </w:p>
    <w:p w:rsidR="00092652" w:rsidRDefault="00C4392E">
      <w:pPr>
        <w:tabs>
          <w:tab w:val="left" w:pos="416"/>
          <w:tab w:val="left" w:pos="1086"/>
          <w:tab w:val="center" w:pos="4156"/>
        </w:tabs>
        <w:spacing w:line="500" w:lineRule="exact"/>
        <w:ind w:firstLineChars="200" w:firstLine="640"/>
      </w:pPr>
      <w:r>
        <w:rPr>
          <w:rFonts w:ascii="黑体" w:eastAsia="黑体"/>
          <w:noProof/>
          <w:sz w:val="32"/>
          <w:szCs w:val="32"/>
        </w:rPr>
        <w:lastRenderedPageBreak/>
        <mc:AlternateContent>
          <mc:Choice Requires="wps">
            <w:drawing>
              <wp:anchor distT="0" distB="0" distL="114300" distR="114300" simplePos="0" relativeHeight="251679744" behindDoc="0" locked="0" layoutInCell="1" allowOverlap="1" wp14:anchorId="6C150710" wp14:editId="7DBCD849">
                <wp:simplePos x="0" y="0"/>
                <wp:positionH relativeFrom="column">
                  <wp:posOffset>-15875</wp:posOffset>
                </wp:positionH>
                <wp:positionV relativeFrom="paragraph">
                  <wp:posOffset>0</wp:posOffset>
                </wp:positionV>
                <wp:extent cx="1426210" cy="594360"/>
                <wp:effectExtent l="0" t="0" r="3175" b="0"/>
                <wp:wrapSquare wrapText="bothSides"/>
                <wp:docPr id="5" name="文本框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621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15BAA" w:rsidRDefault="00115BAA">
                            <w:pPr>
                              <w:spacing w:line="400" w:lineRule="exact"/>
                              <w:jc w:val="center"/>
                              <w:rPr>
                                <w:rFonts w:ascii="宋体"/>
                                <w:color w:val="000000"/>
                                <w:szCs w:val="21"/>
                              </w:rPr>
                            </w:pPr>
                            <w:r>
                              <w:rPr>
                                <w:rFonts w:ascii="宋体" w:hint="eastAsia"/>
                                <w:color w:val="000000"/>
                                <w:szCs w:val="21"/>
                              </w:rPr>
                              <w:t>2020年年度股东大会</w:t>
                            </w:r>
                          </w:p>
                          <w:p w:rsidR="00115BAA" w:rsidRDefault="00115BAA">
                            <w:pPr>
                              <w:spacing w:line="400" w:lineRule="exact"/>
                              <w:jc w:val="center"/>
                              <w:rPr>
                                <w:rFonts w:ascii="宋体"/>
                                <w:color w:val="000000"/>
                                <w:szCs w:val="21"/>
                              </w:rPr>
                            </w:pPr>
                            <w:r>
                              <w:rPr>
                                <w:rFonts w:ascii="宋体" w:hint="eastAsia"/>
                                <w:color w:val="000000"/>
                                <w:szCs w:val="21"/>
                              </w:rPr>
                              <w:t>文件十九　审议议案</w:t>
                            </w:r>
                          </w:p>
                          <w:p w:rsidR="00115BAA" w:rsidRDefault="00115BAA">
                            <w:pPr>
                              <w:rPr>
                                <w:szCs w:val="21"/>
                              </w:rPr>
                            </w:pPr>
                          </w:p>
                        </w:txbxContent>
                      </wps:txbx>
                      <wps:bodyPr wrap="none"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_x0000_s1045" type="#_x0000_t202" style="position:absolute;left:0;text-align:left;margin-left:-1.25pt;margin-top:0;width:112.3pt;height:46.8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">
                <v:path arrowok="t"/>
                <v:textbox>
                  <w:txbxContent>
                    <w:p w:rsidR="00115BAA" w:rsidRDefault="00115BAA">
                      <w:pPr>
                        <w:spacing w:line="400" w:lineRule="exact"/>
                        <w:jc w:val="center"/>
                        <w:rPr>
                          <w:rFonts w:ascii="宋体"/>
                          <w:color w:val="000000"/>
                          <w:szCs w:val="21"/>
                        </w:rPr>
                      </w:pPr>
                      <w:r>
                        <w:rPr>
                          <w:rFonts w:ascii="宋体" w:hint="eastAsia"/>
                          <w:color w:val="000000"/>
                          <w:szCs w:val="21"/>
                        </w:rPr>
                        <w:t>2020年年度股东大会</w:t>
                      </w:r>
                    </w:p>
                    <w:p w:rsidR="00115BAA" w:rsidRDefault="00115BAA">
                      <w:pPr>
                        <w:spacing w:line="400" w:lineRule="exact"/>
                        <w:jc w:val="center"/>
                        <w:rPr>
                          <w:rFonts w:ascii="宋体"/>
                          <w:color w:val="000000"/>
                          <w:szCs w:val="21"/>
                        </w:rPr>
                      </w:pPr>
                      <w:r>
                        <w:rPr>
                          <w:rFonts w:ascii="宋体" w:hint="eastAsia"/>
                          <w:color w:val="000000"/>
                          <w:szCs w:val="21"/>
                        </w:rPr>
                        <w:t>文件十九　审议议案</w:t>
                      </w:r>
                    </w:p>
                    <w:p w:rsidR="00115BAA" w:rsidRDefault="00115BAA">
                      <w:pPr>
                        <w:rPr>
                          <w:szCs w:val="21"/>
                        </w:rPr>
                      </w:pPr>
                    </w:p>
                  </w:txbxContent>
                </v:textbox>
                <w10:wrap type="square"/>
              </v:shape>
            </w:pict>
          </mc:Fallback>
        </mc:AlternateContent>
      </w:r>
    </w:p>
    <w:p w:rsidR="00092652" w:rsidRDefault="00092652">
      <w:pPr>
        <w:widowControl/>
        <w:spacing w:line="560" w:lineRule="exact"/>
        <w:jc w:val="center"/>
        <w:rPr>
          <w:rFonts w:ascii="黑体" w:eastAsia="黑体"/>
          <w:sz w:val="32"/>
          <w:szCs w:val="32"/>
        </w:rPr>
      </w:pPr>
    </w:p>
    <w:p w:rsidR="00092652" w:rsidRDefault="0039522B">
      <w:pPr>
        <w:widowControl/>
        <w:spacing w:line="520" w:lineRule="exact"/>
        <w:jc w:val="center"/>
        <w:rPr>
          <w:rFonts w:ascii="黑体" w:eastAsia="黑体"/>
          <w:sz w:val="32"/>
          <w:szCs w:val="32"/>
        </w:rPr>
      </w:pPr>
      <w:r>
        <w:rPr>
          <w:rFonts w:ascii="黑体" w:eastAsia="黑体" w:hint="eastAsia"/>
          <w:sz w:val="32"/>
          <w:szCs w:val="32"/>
        </w:rPr>
        <w:t>兴业银行股份有限公司</w:t>
      </w:r>
    </w:p>
    <w:p w:rsidR="00092652" w:rsidRDefault="0039522B">
      <w:pPr>
        <w:pStyle w:val="1"/>
        <w:tabs>
          <w:tab w:val="clear" w:pos="432"/>
        </w:tabs>
        <w:spacing w:before="0" w:after="0" w:line="520" w:lineRule="exact"/>
        <w:ind w:left="567" w:rightChars="290" w:right="609" w:firstLine="0"/>
        <w:rPr>
          <w:rFonts w:cs="黑体"/>
          <w:szCs w:val="32"/>
        </w:rPr>
      </w:pPr>
      <w:bookmarkStart w:id="32" w:name="_Toc72437666"/>
      <w:r>
        <w:rPr>
          <w:rFonts w:cs="黑体" w:hint="eastAsia"/>
          <w:szCs w:val="32"/>
        </w:rPr>
        <w:t>关于提请股东大会授权董事会及董事会授权人士</w:t>
      </w:r>
      <w:bookmarkEnd w:id="32"/>
    </w:p>
    <w:p w:rsidR="00092652" w:rsidRDefault="0039522B">
      <w:pPr>
        <w:widowControl/>
        <w:spacing w:line="520" w:lineRule="exact"/>
        <w:jc w:val="center"/>
        <w:rPr>
          <w:rFonts w:ascii="黑体" w:eastAsia="黑体"/>
          <w:sz w:val="32"/>
          <w:szCs w:val="32"/>
        </w:rPr>
      </w:pPr>
      <w:r>
        <w:rPr>
          <w:rFonts w:ascii="黑体" w:eastAsia="黑体" w:hint="eastAsia"/>
          <w:sz w:val="32"/>
          <w:szCs w:val="32"/>
        </w:rPr>
        <w:t>处理本次公开发行A股可转换公司债券有关事宜的议案</w:t>
      </w:r>
    </w:p>
    <w:p w:rsidR="00410E7E" w:rsidRDefault="00410E7E" w:rsidP="00410E7E">
      <w:pPr>
        <w:overflowPunct w:val="0"/>
        <w:snapToGrid w:val="0"/>
        <w:spacing w:line="520" w:lineRule="exact"/>
        <w:jc w:val="center"/>
        <w:rPr>
          <w:rFonts w:ascii="仿宋_GB2312" w:eastAsia="仿宋_GB2312"/>
          <w:sz w:val="30"/>
          <w:szCs w:val="28"/>
        </w:rPr>
      </w:pPr>
      <w:r>
        <w:rPr>
          <w:rFonts w:ascii="仿宋_GB2312" w:eastAsia="仿宋_GB2312" w:hint="eastAsia"/>
          <w:sz w:val="30"/>
          <w:szCs w:val="28"/>
        </w:rPr>
        <w:t>董事、董事会秘书：陈信健</w:t>
      </w:r>
    </w:p>
    <w:p w:rsidR="00092652" w:rsidRDefault="00092652">
      <w:pPr>
        <w:widowControl/>
        <w:jc w:val="left"/>
      </w:pPr>
    </w:p>
    <w:p w:rsidR="00092652" w:rsidRDefault="0039522B">
      <w:pPr>
        <w:overflowPunct w:val="0"/>
        <w:snapToGrid w:val="0"/>
        <w:spacing w:line="520" w:lineRule="exact"/>
        <w:rPr>
          <w:rFonts w:ascii="仿宋_GB2312" w:eastAsia="仿宋_GB2312" w:hAnsi="Calibri"/>
          <w:sz w:val="30"/>
          <w:szCs w:val="30"/>
        </w:rPr>
      </w:pPr>
      <w:r>
        <w:rPr>
          <w:rFonts w:ascii="仿宋_GB2312" w:eastAsia="仿宋_GB2312" w:hAnsi="Calibri" w:hint="eastAsia"/>
          <w:sz w:val="30"/>
          <w:szCs w:val="30"/>
        </w:rPr>
        <w:t>各位股东：</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为保证本次公开发行</w:t>
      </w:r>
      <w:r>
        <w:rPr>
          <w:rFonts w:ascii="仿宋_GB2312" w:eastAsia="仿宋_GB2312"/>
          <w:sz w:val="30"/>
          <w:szCs w:val="30"/>
        </w:rPr>
        <w:t>A</w:t>
      </w:r>
      <w:r>
        <w:rPr>
          <w:rFonts w:ascii="仿宋_GB2312" w:eastAsia="仿宋_GB2312" w:hint="eastAsia"/>
          <w:sz w:val="30"/>
          <w:szCs w:val="30"/>
        </w:rPr>
        <w:t>股可转换公司债券（以下简称“可转债”）有关事宜的顺利进行，特提请股东大会授权董事会（或由董事会转授权的人士）在授权范围内处理本次发行及可转债存续期内的相关事宜。具体授权内容如下：</w:t>
      </w:r>
    </w:p>
    <w:p w:rsidR="00092652" w:rsidRDefault="0039522B">
      <w:pPr>
        <w:spacing w:line="520" w:lineRule="exact"/>
        <w:ind w:firstLineChars="200" w:firstLine="602"/>
        <w:rPr>
          <w:rFonts w:ascii="仿宋_GB2312" w:eastAsia="仿宋_GB2312"/>
          <w:b/>
          <w:sz w:val="30"/>
          <w:szCs w:val="30"/>
        </w:rPr>
      </w:pPr>
      <w:r>
        <w:rPr>
          <w:rFonts w:ascii="仿宋_GB2312" w:eastAsia="仿宋_GB2312" w:hint="eastAsia"/>
          <w:b/>
          <w:sz w:val="30"/>
          <w:szCs w:val="30"/>
        </w:rPr>
        <w:t>一、与本次发行相关的授权</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为保证本次发行顺利进行，提请股东大会授权董事会，并由董事会转授权董事、行长陶以平先生，董事、副行长、董事会秘书陈信健先生，副行长孙雄鹏先生，董事会办公室总经理林琳女士，在股东大会审议通过的框架和原则下，共同或单独全权办理本次可转债发行的相关事宜。授权期限为股东大会决议生效之日起12个月，该授权期限届满前，董事会将根据本次可转债发行的实际情况，向股东大会提请批准新的授权。具体授权内容及范围包括但不限于：</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一）在遵守届时适用的中国法律的前提下，如发行前法律、法规及其他规范性文件和有关监管部门对上市公司公开发行可转债政策有新的规定以及市场情况发生变化，除涉及有关法律法规及《公司章程》规定须由股东大会重新表决且不允许授权的事项外，根据有关规定以及证券监管部门的要求（包括对本次发行申请的审核反馈意见）和市场情况对本次可转债的发行方案进行</w:t>
      </w:r>
      <w:r>
        <w:rPr>
          <w:rFonts w:ascii="仿宋_GB2312" w:eastAsia="仿宋_GB2312" w:hint="eastAsia"/>
          <w:sz w:val="30"/>
          <w:szCs w:val="30"/>
        </w:rPr>
        <w:lastRenderedPageBreak/>
        <w:t>适当的修订、调整和补充，包括但不限于发行规模、发行对象、转股条款、赎回条款、回售条款、可转债持有人会议规则等，并继续办理本次发行事宜；</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二）在有关法律法规、股东大会决议许可的范围内，按照相关监管部门的要求，并结合公司的实际情况，在发行前明确具体的发行条款及发行方案，制定和实施本次发行的最终方案，包括但不限于确定发行规模、发行方式、发行对象、债券利率、转股条款、赎回条款、回售条款、向原A股股东优先配售的金额、评级安排、可转债受托管理安排等，明确可转债持有人会议规则（包括但不限于可转债持有人会议行使权利的范围及其召集、通知、决策机制和其他重要事项），约定构成可转债违约的情形、违约责任及其承担方式以及可转债发生违约后的诉讼、仲裁或其他争议解决机制，决定本次发行时机、设立募集资金专户、签署募集资金专户存储监管协议及其他与发行方案相关的一切事宜；</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（三）根据监管部门的要求办理发行申报相关事宜，准备、制作、修改、完善、签署、报送与本次发行、上市有关的全部文件资料，</w:t>
      </w:r>
      <w:r>
        <w:rPr>
          <w:rFonts w:ascii="仿宋_GB2312" w:eastAsia="仿宋_GB2312"/>
          <w:sz w:val="30"/>
          <w:szCs w:val="30"/>
        </w:rPr>
        <w:t>全权回复证券监管机构的反馈意见</w:t>
      </w:r>
      <w:r>
        <w:rPr>
          <w:rFonts w:ascii="仿宋_GB2312" w:eastAsia="仿宋_GB2312" w:hint="eastAsia"/>
          <w:sz w:val="30"/>
          <w:szCs w:val="30"/>
        </w:rPr>
        <w:t>；以及签署、修改、补充、完成、递交、执行与本次发行有关的一切协议、合同等重要文件（包括但不限于保荐及承销协议、与可转债受托管理相关的协议、与募集资金相关的协议、聘用中介机构协议等），并按照监管要求处理与本次发行有关的信息披露事宜；</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（四）聘请与本次发行相关的中介机构（包括但不限于保荐机构、主承销商、可转债受托管理人、律师事务所、会计师事务所及评级机构），以及处理与此有关的其他事宜；</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（五）办理本次发行募集资金使用相关事宜，并在股东大会决议范围内对本次发行募集资金使用及具体安排进行调整；</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lastRenderedPageBreak/>
        <w:t>（六）本次发行完成后，办理本次发行的可转债登记、挂牌上市等相关事宜，根据有权机关的意见及本次发行结果对《公司章程》中与本次发行相关的条款做出适当及必要的修订，</w:t>
      </w:r>
      <w:r>
        <w:rPr>
          <w:rFonts w:ascii="仿宋_GB2312" w:eastAsia="仿宋_GB2312" w:hint="eastAsia"/>
          <w:color w:val="000000"/>
          <w:sz w:val="30"/>
          <w:szCs w:val="30"/>
        </w:rPr>
        <w:t>以及报有关政府部门和监管部门核准或备案，向市场监督管理局及其他相关政府部门办理工商变更登记等</w:t>
      </w:r>
      <w:r>
        <w:rPr>
          <w:rFonts w:ascii="仿宋_GB2312" w:eastAsia="仿宋_GB2312" w:hint="eastAsia"/>
          <w:sz w:val="30"/>
          <w:szCs w:val="30"/>
        </w:rPr>
        <w:t>事宜；</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七）根据相关法律法规、监管部门要求，分析、研究、论证本次可转债发行对即期回报的摊薄影响，制定、落实填补即期回报的相关措施，并根据未来新出台的政策法规、实施细则或自律规范，在原有框架范围内修改、补充、完善相关分析和措施，并全权处理与此相关的其他事宜；</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（八）在出现不可抗力或其他足以使本次发行方案难以实施、或者虽然可以实施但会给公司带来不利后果之情形，或发行可转债政策发生变化时，酌情决定本次发行方案延期实施或提前终止；</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（九）在相关法律法规允许的情况下，采取所有必要的行动，决定或办理与本次发行有关的其他事宜。</w:t>
      </w:r>
    </w:p>
    <w:p w:rsidR="00092652" w:rsidRDefault="0039522B">
      <w:pPr>
        <w:spacing w:line="520" w:lineRule="exact"/>
        <w:ind w:firstLineChars="200" w:firstLine="602"/>
        <w:rPr>
          <w:rFonts w:ascii="仿宋_GB2312" w:eastAsia="仿宋_GB2312"/>
          <w:b/>
          <w:sz w:val="30"/>
          <w:szCs w:val="30"/>
        </w:rPr>
      </w:pPr>
      <w:r>
        <w:rPr>
          <w:rFonts w:ascii="仿宋_GB2312" w:eastAsia="仿宋_GB2312" w:hint="eastAsia"/>
          <w:b/>
          <w:sz w:val="30"/>
          <w:szCs w:val="30"/>
        </w:rPr>
        <w:t>二、与可转债有关的其他授权</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为确保可转债存续期相关事项的顺利推进，在本次可转债存续及下述可转债相关授权事项办理期间，提请股东大会授权董事会，并由董事会转授权董事长、行长、董事会秘书、董事会办公室总经理，在股东大会审议通过的框架和原则下，共同或单独全权办理本次可转债存续期内的相关事宜。具体授权内容及范围包括但不限于：</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一）关于赎回事项：根据法律法规要求、《公司章程》规定、经披露的可转债募集说明书中约定的发行方案相关条款以及市场情况，全权办理与赎回相关的所有事宜，包括但不限于确定赎回时间、赎回比例及执行程序等；</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lastRenderedPageBreak/>
        <w:t>（二）关于转股事项：根据法律法规要求、《公司章程》规定、经披露的可转债募集说明书中约定的发行方案相关条款以及市场情况，全权办理与转股相关的所有事宜，包括但不限于调整转股价格，根据本次可转债转股情况适时修订《公司章程》中注册资本相关条款，并依据上述情况办理《公司章程》修订的审批和工商备案、注册资本变更的审批和工商变更登记等事宜；</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三）在相关法律法规允许的情况下，采取所有必要的行动，决定或办理本次可转债存续期内所有相关的其他事宜，包括但不限于根据法律法规及规范性文件要求，完成本次可转债存续期内的信息披露事宜；根据募集说明书、可转债受托管理协议、可转债持有人会议规则等约定行使相关权利、履行相关义务等。</w:t>
      </w:r>
    </w:p>
    <w:p w:rsidR="00092652" w:rsidRDefault="0039522B">
      <w:pPr>
        <w:spacing w:line="520" w:lineRule="exact"/>
        <w:ind w:firstLineChars="200" w:firstLine="600"/>
        <w:rPr>
          <w:rFonts w:ascii="仿宋_GB2312" w:eastAsia="仿宋_GB2312"/>
          <w:sz w:val="30"/>
          <w:szCs w:val="30"/>
        </w:rPr>
      </w:pPr>
      <w:r>
        <w:rPr>
          <w:rFonts w:ascii="仿宋_GB2312" w:eastAsia="仿宋_GB2312" w:hint="eastAsia"/>
          <w:sz w:val="30"/>
          <w:szCs w:val="30"/>
        </w:rPr>
        <w:t>专此报告，请予审议。</w:t>
      </w:r>
    </w:p>
    <w:p w:rsidR="00092652" w:rsidRDefault="0039522B">
      <w:pPr>
        <w:widowControl/>
        <w:spacing w:line="490" w:lineRule="exact"/>
        <w:ind w:firstLineChars="200" w:firstLine="600"/>
        <w:jc w:val="left"/>
        <w:rPr>
          <w:rFonts w:ascii="仿宋_GB2312" w:eastAsia="仿宋_GB2312" w:hAnsi="Calibri"/>
          <w:sz w:val="30"/>
          <w:szCs w:val="30"/>
        </w:rPr>
      </w:pPr>
      <w:r>
        <w:rPr>
          <w:rFonts w:ascii="仿宋_GB2312" w:eastAsia="仿宋_GB2312" w:hAnsi="Calibri"/>
          <w:sz w:val="30"/>
          <w:szCs w:val="30"/>
        </w:rPr>
        <w:t xml:space="preserve"> </w:t>
      </w:r>
    </w:p>
    <w:p w:rsidR="00092652" w:rsidRDefault="00092652">
      <w:pPr>
        <w:widowControl/>
        <w:spacing w:line="490" w:lineRule="exact"/>
        <w:ind w:firstLineChars="200" w:firstLine="600"/>
        <w:jc w:val="left"/>
        <w:rPr>
          <w:rFonts w:ascii="仿宋_GB2312" w:eastAsia="仿宋_GB2312" w:hAnsi="Calibri"/>
          <w:sz w:val="30"/>
          <w:szCs w:val="30"/>
        </w:rPr>
      </w:pPr>
    </w:p>
    <w:p w:rsidR="00092652" w:rsidRDefault="0039522B">
      <w:pPr>
        <w:widowControl/>
        <w:spacing w:line="490" w:lineRule="exact"/>
        <w:ind w:firstLineChars="200" w:firstLine="640"/>
        <w:jc w:val="left"/>
        <w:rPr>
          <w:rFonts w:ascii="黑体" w:eastAsia="黑体"/>
          <w:sz w:val="32"/>
          <w:szCs w:val="32"/>
        </w:rPr>
      </w:pPr>
      <w:r>
        <w:rPr>
          <w:rFonts w:ascii="黑体" w:eastAsia="黑体"/>
          <w:sz w:val="32"/>
          <w:szCs w:val="32"/>
        </w:rPr>
        <w:br w:type="page"/>
      </w:r>
    </w:p>
    <w:p w:rsidR="00092652" w:rsidRDefault="00C4392E">
      <w:pPr>
        <w:tabs>
          <w:tab w:val="left" w:pos="416"/>
          <w:tab w:val="left" w:pos="1086"/>
          <w:tab w:val="center" w:pos="4156"/>
        </w:tabs>
        <w:spacing w:line="500" w:lineRule="exact"/>
        <w:ind w:firstLineChars="200" w:firstLine="640"/>
      </w:pPr>
      <w:r>
        <w:rPr>
          <w:rFonts w:ascii="黑体" w:eastAsia="黑体"/>
          <w:noProof/>
          <w:sz w:val="32"/>
          <w:szCs w:val="32"/>
        </w:rPr>
        <w:lastRenderedPageBreak/>
        <mc:AlternateContent>
          <mc:Choice Requires="wps">
            <w:drawing>
              <wp:anchor distT="0" distB="0" distL="114300" distR="114300" simplePos="0" relativeHeight="251666432" behindDoc="0" locked="0" layoutInCell="1" allowOverlap="1" wp14:anchorId="50C262E0" wp14:editId="4C581D0A">
                <wp:simplePos x="0" y="0"/>
                <wp:positionH relativeFrom="column">
                  <wp:posOffset>-15875</wp:posOffset>
                </wp:positionH>
                <wp:positionV relativeFrom="paragraph">
                  <wp:posOffset>0</wp:posOffset>
                </wp:positionV>
                <wp:extent cx="1426210" cy="594360"/>
                <wp:effectExtent l="0" t="0" r="3175" b="0"/>
                <wp:wrapSquare wrapText="bothSides"/>
                <wp:docPr id="4" name="文本框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621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15BAA" w:rsidRDefault="00115BAA">
                            <w:pPr>
                              <w:spacing w:line="400" w:lineRule="exact"/>
                              <w:jc w:val="center"/>
                              <w:rPr>
                                <w:rFonts w:ascii="宋体"/>
                                <w:color w:val="000000"/>
                                <w:szCs w:val="21"/>
                              </w:rPr>
                            </w:pPr>
                            <w:r>
                              <w:rPr>
                                <w:rFonts w:ascii="宋体" w:hint="eastAsia"/>
                                <w:color w:val="000000"/>
                                <w:szCs w:val="21"/>
                              </w:rPr>
                              <w:t>2020年年度股东大会</w:t>
                            </w:r>
                          </w:p>
                          <w:p w:rsidR="00115BAA" w:rsidRDefault="00115BAA">
                            <w:pPr>
                              <w:spacing w:line="400" w:lineRule="exact"/>
                              <w:jc w:val="center"/>
                              <w:rPr>
                                <w:rFonts w:ascii="宋体"/>
                                <w:color w:val="000000"/>
                                <w:szCs w:val="21"/>
                              </w:rPr>
                            </w:pPr>
                            <w:r>
                              <w:rPr>
                                <w:rFonts w:ascii="宋体" w:hint="eastAsia"/>
                                <w:color w:val="000000"/>
                                <w:szCs w:val="21"/>
                              </w:rPr>
                              <w:t>文件二十　听取报告</w:t>
                            </w:r>
                          </w:p>
                          <w:p w:rsidR="00115BAA" w:rsidRDefault="00115BAA">
                            <w:pPr>
                              <w:rPr>
                                <w:szCs w:val="21"/>
                              </w:rPr>
                            </w:pPr>
                          </w:p>
                        </w:txbxContent>
                      </wps:txbx>
                      <wps:bodyPr wrap="none"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_x0000_s1046" type="#_x0000_t202" style="position:absolute;left:0;text-align:left;margin-left:-1.25pt;margin-top:0;width:112.3pt;height:46.8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">
                <v:path arrowok="t"/>
                <v:textbox>
                  <w:txbxContent>
                    <w:p w:rsidR="00115BAA" w:rsidRDefault="00115BAA">
                      <w:pPr>
                        <w:spacing w:line="400" w:lineRule="exact"/>
                        <w:jc w:val="center"/>
                        <w:rPr>
                          <w:rFonts w:ascii="宋体"/>
                          <w:color w:val="000000"/>
                          <w:szCs w:val="21"/>
                        </w:rPr>
                      </w:pPr>
                      <w:r>
                        <w:rPr>
                          <w:rFonts w:ascii="宋体" w:hint="eastAsia"/>
                          <w:color w:val="000000"/>
                          <w:szCs w:val="21"/>
                        </w:rPr>
                        <w:t>2020年年度股东大会</w:t>
                      </w:r>
                    </w:p>
                    <w:p w:rsidR="00115BAA" w:rsidRDefault="00115BAA">
                      <w:pPr>
                        <w:spacing w:line="400" w:lineRule="exact"/>
                        <w:jc w:val="center"/>
                        <w:rPr>
                          <w:rFonts w:ascii="宋体"/>
                          <w:color w:val="000000"/>
                          <w:szCs w:val="21"/>
                        </w:rPr>
                      </w:pPr>
                      <w:r>
                        <w:rPr>
                          <w:rFonts w:ascii="宋体" w:hint="eastAsia"/>
                          <w:color w:val="000000"/>
                          <w:szCs w:val="21"/>
                        </w:rPr>
                        <w:t>文件二十　听取报告</w:t>
                      </w:r>
                    </w:p>
                    <w:p w:rsidR="00115BAA" w:rsidRDefault="00115BAA">
                      <w:pPr>
                        <w:rPr>
                          <w:szCs w:val="21"/>
                        </w:rPr>
                      </w:pPr>
                    </w:p>
                  </w:txbxContent>
                </v:textbox>
                <w10:wrap type="square"/>
              </v:shape>
            </w:pict>
          </mc:Fallback>
        </mc:AlternateContent>
      </w:r>
    </w:p>
    <w:p w:rsidR="00092652" w:rsidRDefault="00092652">
      <w:pPr>
        <w:widowControl/>
        <w:spacing w:line="560" w:lineRule="exact"/>
        <w:jc w:val="center"/>
        <w:rPr>
          <w:rFonts w:ascii="黑体" w:eastAsia="黑体"/>
          <w:sz w:val="32"/>
          <w:szCs w:val="32"/>
        </w:rPr>
      </w:pPr>
    </w:p>
    <w:p w:rsidR="00092652" w:rsidRDefault="0039522B">
      <w:pPr>
        <w:widowControl/>
        <w:spacing w:line="520" w:lineRule="exact"/>
        <w:jc w:val="center"/>
        <w:rPr>
          <w:rFonts w:ascii="黑体" w:eastAsia="黑体"/>
          <w:sz w:val="32"/>
          <w:szCs w:val="32"/>
        </w:rPr>
      </w:pPr>
      <w:r>
        <w:rPr>
          <w:rFonts w:ascii="黑体" w:eastAsia="黑体" w:hint="eastAsia"/>
          <w:sz w:val="32"/>
          <w:szCs w:val="32"/>
        </w:rPr>
        <w:t>兴业银行股份有限公司</w:t>
      </w:r>
    </w:p>
    <w:p w:rsidR="00092652" w:rsidRDefault="0039522B">
      <w:pPr>
        <w:pStyle w:val="1"/>
        <w:spacing w:before="0" w:after="0" w:line="520" w:lineRule="exact"/>
        <w:rPr>
          <w:szCs w:val="32"/>
        </w:rPr>
      </w:pPr>
      <w:bookmarkStart w:id="33" w:name="_Toc72437667"/>
      <w:r>
        <w:rPr>
          <w:rFonts w:hint="eastAsia"/>
          <w:szCs w:val="32"/>
        </w:rPr>
        <w:t>2020年度独立董事述职报告</w:t>
      </w:r>
      <w:bookmarkEnd w:id="33"/>
    </w:p>
    <w:p w:rsidR="00092652" w:rsidRDefault="00092652">
      <w:pPr>
        <w:overflowPunct w:val="0"/>
        <w:snapToGrid w:val="0"/>
        <w:spacing w:line="520" w:lineRule="exact"/>
        <w:jc w:val="center"/>
        <w:rPr>
          <w:rFonts w:ascii="仿宋_GB2312" w:eastAsia="仿宋_GB2312"/>
          <w:sz w:val="30"/>
          <w:szCs w:val="28"/>
        </w:rPr>
      </w:pPr>
    </w:p>
    <w:p w:rsidR="00092652" w:rsidRDefault="0039522B">
      <w:pPr>
        <w:spacing w:line="520" w:lineRule="exact"/>
        <w:rPr>
          <w:rFonts w:eastAsia="仿宋_GB2312"/>
          <w:sz w:val="30"/>
          <w:szCs w:val="30"/>
        </w:rPr>
      </w:pPr>
      <w:r>
        <w:rPr>
          <w:rFonts w:eastAsia="仿宋_GB2312" w:hint="eastAsia"/>
          <w:sz w:val="30"/>
          <w:szCs w:val="30"/>
        </w:rPr>
        <w:t>各位股东：</w:t>
      </w:r>
    </w:p>
    <w:p w:rsidR="00092652" w:rsidRDefault="0039522B">
      <w:pPr>
        <w:spacing w:line="520" w:lineRule="exact"/>
        <w:ind w:firstLineChars="200" w:firstLine="600"/>
        <w:rPr>
          <w:rFonts w:eastAsia="仿宋_GB2312"/>
          <w:bCs/>
          <w:color w:val="000000"/>
          <w:kern w:val="0"/>
          <w:sz w:val="30"/>
          <w:szCs w:val="30"/>
        </w:rPr>
      </w:pPr>
      <w:r>
        <w:rPr>
          <w:rFonts w:eastAsia="仿宋_GB2312" w:hint="eastAsia"/>
          <w:bCs/>
          <w:color w:val="000000"/>
          <w:kern w:val="0"/>
          <w:sz w:val="30"/>
          <w:szCs w:val="30"/>
        </w:rPr>
        <w:t>根据本行章程规定，现将五位独立董</w:t>
      </w:r>
      <w:r>
        <w:rPr>
          <w:rFonts w:ascii="仿宋_GB2312" w:eastAsia="仿宋_GB2312" w:hint="eastAsia"/>
          <w:bCs/>
          <w:color w:val="000000"/>
          <w:kern w:val="0"/>
          <w:sz w:val="30"/>
          <w:szCs w:val="30"/>
        </w:rPr>
        <w:t>事2020年度</w:t>
      </w:r>
      <w:r>
        <w:rPr>
          <w:rFonts w:eastAsia="仿宋_GB2312" w:hint="eastAsia"/>
          <w:bCs/>
          <w:color w:val="000000"/>
          <w:kern w:val="0"/>
          <w:sz w:val="30"/>
          <w:szCs w:val="30"/>
        </w:rPr>
        <w:t>述职报告附后，向股东大会述职。</w:t>
      </w:r>
    </w:p>
    <w:p w:rsidR="00092652" w:rsidRDefault="00092652">
      <w:pPr>
        <w:spacing w:line="520" w:lineRule="exact"/>
        <w:ind w:firstLineChars="200" w:firstLine="600"/>
        <w:rPr>
          <w:rFonts w:eastAsia="仿宋_GB2312"/>
          <w:bCs/>
          <w:color w:val="000000"/>
          <w:kern w:val="0"/>
          <w:sz w:val="30"/>
          <w:szCs w:val="30"/>
        </w:rPr>
      </w:pPr>
    </w:p>
    <w:p w:rsidR="00092652" w:rsidRDefault="0039522B">
      <w:pPr>
        <w:spacing w:line="520" w:lineRule="exact"/>
        <w:ind w:firstLineChars="200" w:firstLine="600"/>
        <w:rPr>
          <w:rFonts w:eastAsia="仿宋_GB2312"/>
          <w:bCs/>
          <w:color w:val="000000"/>
          <w:kern w:val="0"/>
          <w:sz w:val="30"/>
          <w:szCs w:val="30"/>
        </w:rPr>
      </w:pPr>
      <w:r>
        <w:rPr>
          <w:rFonts w:eastAsia="仿宋_GB2312" w:hint="eastAsia"/>
          <w:bCs/>
          <w:color w:val="000000"/>
          <w:kern w:val="0"/>
          <w:sz w:val="30"/>
          <w:szCs w:val="30"/>
        </w:rPr>
        <w:t>附件：五位独立董事述职报告（见上海证券交易所网站）</w:t>
      </w:r>
    </w:p>
    <w:p w:rsidR="00092652" w:rsidRDefault="00092652">
      <w:pPr>
        <w:spacing w:line="520" w:lineRule="exact"/>
        <w:ind w:firstLineChars="200" w:firstLine="600"/>
        <w:rPr>
          <w:rFonts w:ascii="仿宋_GB2312" w:eastAsia="仿宋_GB2312" w:hAnsi="仿宋" w:cs="Courier New"/>
          <w:sz w:val="30"/>
          <w:szCs w:val="30"/>
        </w:rPr>
      </w:pPr>
    </w:p>
    <w:p w:rsidR="00092652" w:rsidRDefault="00092652">
      <w:pPr>
        <w:widowControl/>
        <w:spacing w:line="520" w:lineRule="exact"/>
        <w:jc w:val="left"/>
        <w:rPr>
          <w:rFonts w:eastAsia="仿宋_GB2312"/>
          <w:sz w:val="30"/>
          <w:szCs w:val="30"/>
        </w:rPr>
      </w:pPr>
    </w:p>
    <w:p w:rsidR="00092652" w:rsidRDefault="0039522B">
      <w:pPr>
        <w:widowControl/>
        <w:jc w:val="left"/>
        <w:rPr>
          <w:rFonts w:ascii="黑体" w:eastAsia="黑体"/>
          <w:sz w:val="32"/>
          <w:szCs w:val="32"/>
        </w:rPr>
      </w:pPr>
      <w:r>
        <w:rPr>
          <w:rFonts w:ascii="黑体" w:eastAsia="黑体"/>
          <w:sz w:val="32"/>
          <w:szCs w:val="32"/>
        </w:rPr>
        <w:br w:type="page"/>
      </w:r>
    </w:p>
    <w:p w:rsidR="00092652" w:rsidRDefault="00C4392E">
      <w:pPr>
        <w:tabs>
          <w:tab w:val="left" w:pos="416"/>
          <w:tab w:val="left" w:pos="1086"/>
          <w:tab w:val="center" w:pos="4156"/>
        </w:tabs>
        <w:spacing w:line="500" w:lineRule="exact"/>
        <w:ind w:firstLineChars="200" w:firstLine="640"/>
      </w:pPr>
      <w:r>
        <w:rPr>
          <w:rFonts w:ascii="黑体" w:eastAsia="黑体"/>
          <w:noProof/>
          <w:sz w:val="32"/>
          <w:szCs w:val="32"/>
        </w:rPr>
        <w:lastRenderedPageBreak/>
        <mc:AlternateContent>
          <mc:Choice Requires="wps">
            <w:drawing>
              <wp:anchor distT="0" distB="0" distL="114300" distR="114300" simplePos="0" relativeHeight="251667456" behindDoc="0" locked="0" layoutInCell="1" allowOverlap="1" wp14:anchorId="6B5EF786" wp14:editId="354AC94A">
                <wp:simplePos x="0" y="0"/>
                <wp:positionH relativeFrom="column">
                  <wp:posOffset>-15875</wp:posOffset>
                </wp:positionH>
                <wp:positionV relativeFrom="paragraph">
                  <wp:posOffset>0</wp:posOffset>
                </wp:positionV>
                <wp:extent cx="1526540" cy="594360"/>
                <wp:effectExtent l="0" t="0" r="0" b="0"/>
                <wp:wrapSquare wrapText="bothSides"/>
                <wp:docPr id="3" name="文本框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654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15BAA" w:rsidRDefault="00115BAA">
                            <w:pPr>
                              <w:spacing w:line="400" w:lineRule="exact"/>
                              <w:jc w:val="center"/>
                              <w:rPr>
                                <w:rFonts w:ascii="宋体"/>
                                <w:color w:val="000000"/>
                                <w:szCs w:val="21"/>
                              </w:rPr>
                            </w:pPr>
                            <w:r>
                              <w:rPr>
                                <w:rFonts w:ascii="宋体" w:hint="eastAsia"/>
                                <w:color w:val="000000"/>
                                <w:szCs w:val="21"/>
                              </w:rPr>
                              <w:t>2020年年度股东大会</w:t>
                            </w:r>
                          </w:p>
                          <w:p w:rsidR="00115BAA" w:rsidRDefault="00115BAA">
                            <w:pPr>
                              <w:spacing w:line="400" w:lineRule="exact"/>
                              <w:jc w:val="center"/>
                              <w:rPr>
                                <w:rFonts w:ascii="宋体"/>
                                <w:color w:val="000000"/>
                                <w:szCs w:val="21"/>
                              </w:rPr>
                            </w:pPr>
                            <w:r>
                              <w:rPr>
                                <w:rFonts w:ascii="宋体" w:hint="eastAsia"/>
                                <w:color w:val="000000"/>
                                <w:szCs w:val="21"/>
                              </w:rPr>
                              <w:t>文件二十一　听取报告</w:t>
                            </w:r>
                          </w:p>
                          <w:p w:rsidR="00115BAA" w:rsidRDefault="00115BAA">
                            <w:pPr>
                              <w:rPr>
                                <w:szCs w:val="21"/>
                              </w:rPr>
                            </w:pPr>
                          </w:p>
                        </w:txbxContent>
                      </wps:txbx>
                      <wps:bodyPr wrap="none"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_x0000_s1047" type="#_x0000_t202" style="position:absolute;left:0;text-align:left;margin-left:-1.25pt;margin-top:0;width:120.2pt;height:46.8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">
                <v:path arrowok="t"/>
                <v:textbox>
                  <w:txbxContent>
                    <w:p w:rsidR="00115BAA" w:rsidRDefault="00115BAA">
                      <w:pPr>
                        <w:spacing w:line="400" w:lineRule="exact"/>
                        <w:jc w:val="center"/>
                        <w:rPr>
                          <w:rFonts w:ascii="宋体"/>
                          <w:color w:val="000000"/>
                          <w:szCs w:val="21"/>
                        </w:rPr>
                      </w:pPr>
                      <w:r>
                        <w:rPr>
                          <w:rFonts w:ascii="宋体" w:hint="eastAsia"/>
                          <w:color w:val="000000"/>
                          <w:szCs w:val="21"/>
                        </w:rPr>
                        <w:t>2020年年度股东大会</w:t>
                      </w:r>
                    </w:p>
                    <w:p w:rsidR="00115BAA" w:rsidRDefault="00115BAA">
                      <w:pPr>
                        <w:spacing w:line="400" w:lineRule="exact"/>
                        <w:jc w:val="center"/>
                        <w:rPr>
                          <w:rFonts w:ascii="宋体"/>
                          <w:color w:val="000000"/>
                          <w:szCs w:val="21"/>
                        </w:rPr>
                      </w:pPr>
                      <w:r>
                        <w:rPr>
                          <w:rFonts w:ascii="宋体" w:hint="eastAsia"/>
                          <w:color w:val="000000"/>
                          <w:szCs w:val="21"/>
                        </w:rPr>
                        <w:t>文件二十一　听取报告</w:t>
                      </w:r>
                    </w:p>
                    <w:p w:rsidR="00115BAA" w:rsidRDefault="00115BAA">
                      <w:pPr>
                        <w:rPr>
                          <w:szCs w:val="21"/>
                        </w:rPr>
                      </w:pPr>
                    </w:p>
                  </w:txbxContent>
                </v:textbox>
                <w10:wrap type="square"/>
              </v:shape>
            </w:pict>
          </mc:Fallback>
        </mc:AlternateContent>
      </w:r>
    </w:p>
    <w:p w:rsidR="00092652" w:rsidRDefault="00092652">
      <w:pPr>
        <w:widowControl/>
        <w:spacing w:line="560" w:lineRule="exact"/>
        <w:jc w:val="center"/>
        <w:rPr>
          <w:rFonts w:ascii="黑体" w:eastAsia="黑体"/>
          <w:sz w:val="32"/>
          <w:szCs w:val="32"/>
        </w:rPr>
      </w:pPr>
    </w:p>
    <w:p w:rsidR="00092652" w:rsidRDefault="0039522B">
      <w:pPr>
        <w:widowControl/>
        <w:spacing w:line="520" w:lineRule="exact"/>
        <w:jc w:val="center"/>
        <w:rPr>
          <w:rFonts w:ascii="黑体" w:eastAsia="黑体"/>
          <w:sz w:val="32"/>
          <w:szCs w:val="32"/>
        </w:rPr>
      </w:pPr>
      <w:r>
        <w:rPr>
          <w:rFonts w:ascii="黑体" w:eastAsia="黑体" w:hint="eastAsia"/>
          <w:sz w:val="32"/>
          <w:szCs w:val="32"/>
        </w:rPr>
        <w:t>兴业银行股份有限公司</w:t>
      </w:r>
    </w:p>
    <w:p w:rsidR="00092652" w:rsidRDefault="0039522B">
      <w:pPr>
        <w:pStyle w:val="1"/>
        <w:spacing w:before="0" w:after="0" w:line="520" w:lineRule="exact"/>
        <w:rPr>
          <w:szCs w:val="32"/>
        </w:rPr>
      </w:pPr>
      <w:bookmarkStart w:id="34" w:name="_Toc72437668"/>
      <w:r>
        <w:rPr>
          <w:rFonts w:hint="eastAsia"/>
          <w:szCs w:val="32"/>
        </w:rPr>
        <w:t>2020年度监事履行职责情况的评价报告</w:t>
      </w:r>
      <w:bookmarkEnd w:id="34"/>
    </w:p>
    <w:p w:rsidR="00092652" w:rsidRDefault="0039522B">
      <w:pPr>
        <w:overflowPunct w:val="0"/>
        <w:snapToGrid w:val="0"/>
        <w:spacing w:line="520" w:lineRule="exact"/>
        <w:jc w:val="center"/>
        <w:rPr>
          <w:rFonts w:ascii="仿宋_GB2312" w:eastAsia="仿宋_GB2312"/>
          <w:sz w:val="30"/>
          <w:szCs w:val="28"/>
        </w:rPr>
      </w:pPr>
      <w:r>
        <w:rPr>
          <w:rFonts w:ascii="仿宋_GB2312" w:eastAsia="仿宋_GB2312" w:hint="eastAsia"/>
          <w:sz w:val="30"/>
          <w:szCs w:val="28"/>
        </w:rPr>
        <w:t>外部监事：夏大慰</w:t>
      </w:r>
    </w:p>
    <w:p w:rsidR="00092652" w:rsidRDefault="00092652">
      <w:pPr>
        <w:spacing w:line="520" w:lineRule="exact"/>
        <w:rPr>
          <w:rFonts w:ascii="仿宋_GB2312" w:eastAsia="仿宋_GB2312"/>
          <w:sz w:val="30"/>
          <w:szCs w:val="28"/>
        </w:rPr>
      </w:pPr>
    </w:p>
    <w:p w:rsidR="00092652" w:rsidRDefault="0039522B">
      <w:pPr>
        <w:spacing w:line="520" w:lineRule="exact"/>
        <w:rPr>
          <w:rFonts w:ascii="仿宋_GB2312" w:eastAsia="仿宋_GB2312"/>
          <w:sz w:val="30"/>
          <w:szCs w:val="28"/>
        </w:rPr>
      </w:pPr>
      <w:r>
        <w:rPr>
          <w:rFonts w:ascii="仿宋_GB2312" w:eastAsia="仿宋_GB2312" w:hint="eastAsia"/>
          <w:sz w:val="30"/>
          <w:szCs w:val="28"/>
        </w:rPr>
        <w:t>各位股东：</w:t>
      </w:r>
    </w:p>
    <w:p w:rsidR="00092652" w:rsidRDefault="0039522B">
      <w:pPr>
        <w:tabs>
          <w:tab w:val="left" w:pos="2100"/>
        </w:tabs>
        <w:spacing w:line="540" w:lineRule="exact"/>
        <w:ind w:firstLine="585"/>
        <w:rPr>
          <w:rFonts w:ascii="仿宋_GB2312" w:eastAsia="仿宋_GB2312" w:hAnsi="华文细黑"/>
          <w:sz w:val="30"/>
          <w:szCs w:val="30"/>
        </w:rPr>
      </w:pPr>
      <w:r>
        <w:rPr>
          <w:rFonts w:ascii="仿宋_GB2312" w:eastAsia="仿宋_GB2312" w:hAnsi="华文细黑" w:hint="eastAsia"/>
          <w:sz w:val="30"/>
          <w:szCs w:val="30"/>
        </w:rPr>
        <w:t>根据中国银保监会《商业银行公司治理指引》《商业银行监事会工作指引》及本行《监事尽职评价办法》的有关规定，本行监事会于2021年1-2月组织开展了2020年度监事履职评价工作，现就有关情况报告如下：</w:t>
      </w:r>
    </w:p>
    <w:p w:rsidR="00092652" w:rsidRDefault="0039522B">
      <w:pPr>
        <w:adjustRightInd w:val="0"/>
        <w:snapToGrid w:val="0"/>
        <w:spacing w:line="540" w:lineRule="exact"/>
        <w:ind w:firstLineChars="200" w:firstLine="602"/>
        <w:rPr>
          <w:rFonts w:ascii="仿宋_GB2312" w:eastAsia="仿宋_GB2312"/>
          <w:b/>
          <w:bCs/>
          <w:color w:val="000000"/>
          <w:kern w:val="0"/>
          <w:sz w:val="30"/>
          <w:szCs w:val="30"/>
        </w:rPr>
      </w:pPr>
      <w:r>
        <w:rPr>
          <w:rFonts w:ascii="仿宋_GB2312" w:eastAsia="仿宋_GB2312" w:hint="eastAsia"/>
          <w:b/>
          <w:bCs/>
          <w:color w:val="000000"/>
          <w:kern w:val="0"/>
          <w:sz w:val="30"/>
          <w:szCs w:val="30"/>
        </w:rPr>
        <w:t>一、履职评价组织开展情况</w:t>
      </w:r>
    </w:p>
    <w:p w:rsidR="00092652" w:rsidRDefault="0039522B">
      <w:pPr>
        <w:adjustRightInd w:val="0"/>
        <w:snapToGrid w:val="0"/>
        <w:spacing w:line="540" w:lineRule="exact"/>
        <w:ind w:firstLineChars="200" w:firstLine="602"/>
        <w:rPr>
          <w:rFonts w:ascii="仿宋_GB2312" w:eastAsia="仿宋_GB2312"/>
          <w:b/>
          <w:bCs/>
          <w:color w:val="000000"/>
          <w:kern w:val="0"/>
          <w:sz w:val="30"/>
          <w:szCs w:val="30"/>
        </w:rPr>
      </w:pPr>
      <w:r>
        <w:rPr>
          <w:rFonts w:ascii="仿宋_GB2312" w:eastAsia="仿宋_GB2312" w:hint="eastAsia"/>
          <w:b/>
          <w:bCs/>
          <w:color w:val="000000"/>
          <w:kern w:val="0"/>
          <w:sz w:val="30"/>
          <w:szCs w:val="30"/>
        </w:rPr>
        <w:t>（一）履职评价过程</w:t>
      </w:r>
    </w:p>
    <w:p w:rsidR="00092652" w:rsidRDefault="0039522B">
      <w:pPr>
        <w:adjustRightInd w:val="0"/>
        <w:snapToGrid w:val="0"/>
        <w:spacing w:line="540" w:lineRule="exact"/>
        <w:ind w:firstLineChars="200" w:firstLine="600"/>
        <w:rPr>
          <w:rFonts w:ascii="仿宋_GB2312" w:eastAsia="仿宋_GB2312"/>
          <w:color w:val="000000"/>
          <w:sz w:val="30"/>
          <w:szCs w:val="30"/>
        </w:rPr>
      </w:pPr>
      <w:r>
        <w:rPr>
          <w:rFonts w:ascii="仿宋_GB2312" w:eastAsia="仿宋_GB2312" w:hint="eastAsia"/>
          <w:bCs/>
          <w:color w:val="000000"/>
          <w:kern w:val="0"/>
          <w:sz w:val="30"/>
          <w:szCs w:val="30"/>
        </w:rPr>
        <w:t>1、发出履职评价通知。</w:t>
      </w:r>
      <w:r>
        <w:rPr>
          <w:rFonts w:ascii="仿宋_GB2312" w:eastAsia="仿宋_GB2312" w:hint="eastAsia"/>
          <w:color w:val="000000"/>
          <w:sz w:val="30"/>
          <w:szCs w:val="30"/>
        </w:rPr>
        <w:t>根据本行《监事尽职评价办法》，监事会于2021年1月向全体监事发出了开展2020年度监事履职评价工作的通知，请各位监事按照履职评价的要求，及时、客观、公正地做好履职评价工作。</w:t>
      </w:r>
    </w:p>
    <w:p w:rsidR="00092652" w:rsidRDefault="0039522B">
      <w:pPr>
        <w:adjustRightInd w:val="0"/>
        <w:snapToGrid w:val="0"/>
        <w:spacing w:line="540" w:lineRule="exact"/>
        <w:ind w:firstLineChars="200" w:firstLine="600"/>
        <w:rPr>
          <w:rFonts w:ascii="仿宋_GB2312" w:eastAsia="仿宋_GB2312"/>
          <w:color w:val="000000"/>
          <w:sz w:val="30"/>
          <w:szCs w:val="30"/>
        </w:rPr>
      </w:pPr>
      <w:r>
        <w:rPr>
          <w:rFonts w:ascii="仿宋_GB2312" w:eastAsia="仿宋_GB2312" w:hint="eastAsia"/>
          <w:bCs/>
          <w:color w:val="000000"/>
          <w:kern w:val="0"/>
          <w:sz w:val="30"/>
          <w:szCs w:val="30"/>
        </w:rPr>
        <w:t>2、材料准备。</w:t>
      </w:r>
      <w:r>
        <w:rPr>
          <w:rFonts w:ascii="仿宋_GB2312" w:eastAsia="仿宋_GB2312" w:hint="eastAsia"/>
          <w:color w:val="000000"/>
          <w:sz w:val="30"/>
          <w:szCs w:val="30"/>
        </w:rPr>
        <w:t>2021年1月，董监事会办公室</w:t>
      </w:r>
      <w:r>
        <w:rPr>
          <w:rFonts w:ascii="仿宋_GB2312" w:eastAsia="仿宋_GB2312" w:hint="eastAsia"/>
          <w:bCs/>
          <w:color w:val="000000"/>
          <w:kern w:val="0"/>
          <w:sz w:val="30"/>
          <w:szCs w:val="30"/>
        </w:rPr>
        <w:t>汇总整理了2020年度监事会会议和调研记录等文件，形成了</w:t>
      </w:r>
      <w:r>
        <w:rPr>
          <w:rFonts w:ascii="仿宋_GB2312" w:eastAsia="仿宋_GB2312" w:hint="eastAsia"/>
          <w:color w:val="000000"/>
          <w:sz w:val="30"/>
          <w:szCs w:val="30"/>
        </w:rPr>
        <w:t>监事出席监事会及各委员会会议情况表和监事</w:t>
      </w:r>
      <w:r>
        <w:rPr>
          <w:rFonts w:ascii="仿宋_GB2312" w:eastAsia="仿宋_GB2312"/>
          <w:color w:val="000000"/>
          <w:sz w:val="30"/>
          <w:szCs w:val="30"/>
        </w:rPr>
        <w:t>参加调研培训情况统计表</w:t>
      </w:r>
      <w:r>
        <w:rPr>
          <w:rFonts w:ascii="仿宋_GB2312" w:eastAsia="仿宋_GB2312" w:hint="eastAsia"/>
          <w:bCs/>
          <w:color w:val="000000"/>
          <w:kern w:val="0"/>
          <w:sz w:val="30"/>
          <w:szCs w:val="30"/>
        </w:rPr>
        <w:t>，</w:t>
      </w:r>
      <w:r>
        <w:rPr>
          <w:rFonts w:ascii="仿宋_GB2312" w:eastAsia="仿宋_GB2312" w:hint="eastAsia"/>
          <w:bCs/>
          <w:kern w:val="0"/>
          <w:sz w:val="30"/>
          <w:szCs w:val="30"/>
        </w:rPr>
        <w:t>结合其他履职信息，</w:t>
      </w:r>
      <w:r>
        <w:rPr>
          <w:rFonts w:ascii="仿宋_GB2312" w:eastAsia="仿宋_GB2312" w:hint="eastAsia"/>
          <w:bCs/>
          <w:color w:val="000000"/>
          <w:kern w:val="0"/>
          <w:sz w:val="30"/>
          <w:szCs w:val="30"/>
        </w:rPr>
        <w:t>作为监事履职评价的依据材料。</w:t>
      </w:r>
    </w:p>
    <w:p w:rsidR="00092652" w:rsidRDefault="0039522B">
      <w:pPr>
        <w:adjustRightInd w:val="0"/>
        <w:snapToGrid w:val="0"/>
        <w:spacing w:line="540" w:lineRule="exact"/>
        <w:ind w:firstLineChars="200" w:firstLine="600"/>
        <w:rPr>
          <w:rFonts w:ascii="仿宋_GB2312" w:eastAsia="仿宋_GB2312"/>
          <w:bCs/>
          <w:color w:val="000000"/>
          <w:kern w:val="0"/>
          <w:sz w:val="30"/>
          <w:szCs w:val="30"/>
        </w:rPr>
      </w:pPr>
      <w:r>
        <w:rPr>
          <w:rFonts w:ascii="仿宋_GB2312" w:eastAsia="仿宋_GB2312" w:hint="eastAsia"/>
          <w:bCs/>
          <w:color w:val="000000"/>
          <w:kern w:val="0"/>
          <w:sz w:val="30"/>
          <w:szCs w:val="30"/>
        </w:rPr>
        <w:t>3、监事自评和互评。2021年1月，各位监事根据</w:t>
      </w:r>
      <w:r>
        <w:rPr>
          <w:rFonts w:ascii="仿宋_GB2312" w:eastAsia="仿宋_GB2312" w:hint="eastAsia"/>
          <w:color w:val="000000"/>
          <w:sz w:val="30"/>
          <w:szCs w:val="30"/>
        </w:rPr>
        <w:t>材料和实际工作情况，填写《2020年度监事履职自评表》和《2020年度监事履职互评表》，对本人和其他监事的年度履职情况进行评价。</w:t>
      </w:r>
    </w:p>
    <w:p w:rsidR="00092652" w:rsidRDefault="0039522B">
      <w:pPr>
        <w:adjustRightInd w:val="0"/>
        <w:snapToGrid w:val="0"/>
        <w:spacing w:line="540" w:lineRule="exact"/>
        <w:ind w:firstLineChars="200" w:firstLine="600"/>
        <w:rPr>
          <w:rFonts w:ascii="仿宋_GB2312" w:eastAsia="仿宋_GB2312"/>
          <w:bCs/>
          <w:color w:val="000000"/>
          <w:kern w:val="0"/>
          <w:sz w:val="30"/>
          <w:szCs w:val="30"/>
        </w:rPr>
      </w:pPr>
      <w:r>
        <w:rPr>
          <w:rFonts w:ascii="仿宋_GB2312" w:eastAsia="仿宋_GB2312" w:hint="eastAsia"/>
          <w:bCs/>
          <w:color w:val="000000"/>
          <w:kern w:val="0"/>
          <w:sz w:val="30"/>
          <w:szCs w:val="30"/>
        </w:rPr>
        <w:t>4、监事会评价。2021年2月，监事会根据年度整体履职情况完成2020年度监事会工作报告，</w:t>
      </w:r>
      <w:r>
        <w:rPr>
          <w:rFonts w:ascii="仿宋_GB2312" w:eastAsia="仿宋_GB2312" w:hint="eastAsia"/>
          <w:color w:val="000000"/>
          <w:sz w:val="30"/>
          <w:szCs w:val="30"/>
        </w:rPr>
        <w:t>监事会提名、薪酬与考核委</w:t>
      </w:r>
      <w:r>
        <w:rPr>
          <w:rFonts w:ascii="仿宋_GB2312" w:eastAsia="仿宋_GB2312" w:hint="eastAsia"/>
          <w:color w:val="000000"/>
          <w:sz w:val="30"/>
          <w:szCs w:val="30"/>
        </w:rPr>
        <w:lastRenderedPageBreak/>
        <w:t>员会</w:t>
      </w:r>
      <w:r>
        <w:rPr>
          <w:rFonts w:ascii="仿宋_GB2312" w:eastAsia="仿宋_GB2312" w:hint="eastAsia"/>
          <w:bCs/>
          <w:color w:val="000000"/>
          <w:kern w:val="0"/>
          <w:sz w:val="30"/>
          <w:szCs w:val="30"/>
        </w:rPr>
        <w:t>根据监事自评、互评结果以及监事日常履职相关信息等依据材料，</w:t>
      </w:r>
      <w:r>
        <w:rPr>
          <w:rFonts w:ascii="仿宋_GB2312" w:eastAsia="仿宋_GB2312" w:hint="eastAsia"/>
          <w:color w:val="000000"/>
          <w:sz w:val="30"/>
          <w:szCs w:val="30"/>
        </w:rPr>
        <w:t>组织实施对监事2020年度履职情况的评价工作，</w:t>
      </w:r>
      <w:r>
        <w:rPr>
          <w:rFonts w:ascii="仿宋_GB2312" w:eastAsia="仿宋_GB2312" w:hint="eastAsia"/>
          <w:bCs/>
          <w:color w:val="000000"/>
          <w:kern w:val="0"/>
          <w:sz w:val="30"/>
          <w:szCs w:val="30"/>
        </w:rPr>
        <w:t>形成对各监事上一年度履职评价结果。</w:t>
      </w:r>
    </w:p>
    <w:p w:rsidR="00092652" w:rsidRDefault="0039522B">
      <w:pPr>
        <w:adjustRightInd w:val="0"/>
        <w:snapToGrid w:val="0"/>
        <w:spacing w:line="540" w:lineRule="exact"/>
        <w:ind w:firstLineChars="200" w:firstLine="600"/>
        <w:rPr>
          <w:rFonts w:ascii="仿宋_GB2312" w:eastAsia="仿宋_GB2312"/>
          <w:bCs/>
          <w:color w:val="000000"/>
          <w:kern w:val="0"/>
          <w:sz w:val="30"/>
          <w:szCs w:val="30"/>
        </w:rPr>
      </w:pPr>
      <w:r>
        <w:rPr>
          <w:rFonts w:ascii="仿宋_GB2312" w:eastAsia="仿宋_GB2312" w:hint="eastAsia"/>
          <w:bCs/>
          <w:color w:val="000000"/>
          <w:kern w:val="0"/>
          <w:sz w:val="30"/>
          <w:szCs w:val="30"/>
        </w:rPr>
        <w:t>5、评价结果反馈。2021年3月，</w:t>
      </w:r>
      <w:r>
        <w:rPr>
          <w:rFonts w:ascii="仿宋_GB2312" w:eastAsia="仿宋_GB2312" w:hint="eastAsia"/>
          <w:color w:val="000000"/>
          <w:sz w:val="30"/>
          <w:szCs w:val="30"/>
        </w:rPr>
        <w:t>监事会提名、薪酬与考核委员会</w:t>
      </w:r>
      <w:r>
        <w:rPr>
          <w:rFonts w:ascii="仿宋_GB2312" w:eastAsia="仿宋_GB2312" w:hint="eastAsia"/>
          <w:bCs/>
          <w:color w:val="000000"/>
          <w:kern w:val="0"/>
          <w:sz w:val="30"/>
          <w:szCs w:val="30"/>
        </w:rPr>
        <w:t>将对监事的履职评价结果正式通报各监事。各监事对评价结果均无异议。</w:t>
      </w:r>
    </w:p>
    <w:p w:rsidR="00092652" w:rsidRDefault="0039522B">
      <w:pPr>
        <w:adjustRightInd w:val="0"/>
        <w:snapToGrid w:val="0"/>
        <w:spacing w:line="540" w:lineRule="exact"/>
        <w:ind w:firstLineChars="200" w:firstLine="600"/>
        <w:rPr>
          <w:rFonts w:ascii="仿宋_GB2312" w:eastAsia="仿宋_GB2312"/>
          <w:color w:val="000000"/>
          <w:sz w:val="30"/>
          <w:szCs w:val="30"/>
        </w:rPr>
      </w:pPr>
      <w:r>
        <w:rPr>
          <w:rFonts w:ascii="仿宋_GB2312" w:eastAsia="仿宋_GB2312" w:hint="eastAsia"/>
          <w:bCs/>
          <w:color w:val="000000"/>
          <w:kern w:val="0"/>
          <w:sz w:val="30"/>
          <w:szCs w:val="30"/>
        </w:rPr>
        <w:t>6、评价结果审议及报送。2021年3月，监事会</w:t>
      </w:r>
      <w:r>
        <w:rPr>
          <w:rFonts w:ascii="仿宋_GB2312" w:eastAsia="仿宋_GB2312" w:hint="eastAsia"/>
          <w:color w:val="000000"/>
          <w:sz w:val="30"/>
          <w:szCs w:val="30"/>
        </w:rPr>
        <w:t>提名、薪酬与考核委员会形成并审议通过《2020年度监事履行职责情况的评价报告》，经提交监事会审议通过后，将向股东大会通报并报告监管部门。</w:t>
      </w:r>
    </w:p>
    <w:p w:rsidR="00092652" w:rsidRDefault="0039522B">
      <w:pPr>
        <w:adjustRightInd w:val="0"/>
        <w:snapToGrid w:val="0"/>
        <w:spacing w:line="540" w:lineRule="exact"/>
        <w:ind w:firstLineChars="200" w:firstLine="602"/>
        <w:rPr>
          <w:rFonts w:ascii="仿宋_GB2312" w:eastAsia="仿宋_GB2312"/>
          <w:b/>
          <w:bCs/>
          <w:color w:val="000000"/>
          <w:kern w:val="0"/>
          <w:sz w:val="30"/>
          <w:szCs w:val="30"/>
        </w:rPr>
      </w:pPr>
      <w:r>
        <w:rPr>
          <w:rFonts w:ascii="仿宋_GB2312" w:eastAsia="仿宋_GB2312" w:hint="eastAsia"/>
          <w:b/>
          <w:bCs/>
          <w:color w:val="000000"/>
          <w:kern w:val="0"/>
          <w:sz w:val="30"/>
          <w:szCs w:val="30"/>
        </w:rPr>
        <w:t>（二）履职评价依据</w:t>
      </w:r>
    </w:p>
    <w:p w:rsidR="00092652" w:rsidRDefault="0039522B">
      <w:pPr>
        <w:adjustRightInd w:val="0"/>
        <w:snapToGrid w:val="0"/>
        <w:spacing w:line="540" w:lineRule="exact"/>
        <w:ind w:firstLineChars="200" w:firstLine="600"/>
        <w:rPr>
          <w:rFonts w:ascii="仿宋_GB2312" w:eastAsia="仿宋_GB2312"/>
          <w:bCs/>
          <w:color w:val="000000"/>
          <w:kern w:val="0"/>
          <w:sz w:val="30"/>
          <w:szCs w:val="30"/>
        </w:rPr>
      </w:pPr>
      <w:r>
        <w:rPr>
          <w:rFonts w:ascii="仿宋_GB2312" w:eastAsia="仿宋_GB2312" w:hint="eastAsia"/>
          <w:bCs/>
          <w:color w:val="000000"/>
          <w:kern w:val="0"/>
          <w:sz w:val="30"/>
          <w:szCs w:val="30"/>
        </w:rPr>
        <w:t>根据本行《监事尽职评价办法》，2020年度监事履职评价工作主要依据以下材料：</w:t>
      </w:r>
    </w:p>
    <w:p w:rsidR="00092652" w:rsidRDefault="0039522B">
      <w:pPr>
        <w:adjustRightInd w:val="0"/>
        <w:snapToGrid w:val="0"/>
        <w:spacing w:line="540" w:lineRule="exact"/>
        <w:ind w:firstLineChars="200" w:firstLine="600"/>
        <w:rPr>
          <w:rFonts w:ascii="仿宋_GB2312" w:eastAsia="仿宋_GB2312"/>
          <w:bCs/>
          <w:color w:val="000000"/>
          <w:kern w:val="0"/>
          <w:sz w:val="30"/>
          <w:szCs w:val="30"/>
        </w:rPr>
      </w:pPr>
      <w:r>
        <w:rPr>
          <w:rFonts w:ascii="仿宋_GB2312" w:eastAsia="仿宋_GB2312" w:hint="eastAsia"/>
          <w:bCs/>
          <w:color w:val="000000"/>
          <w:kern w:val="0"/>
          <w:sz w:val="30"/>
          <w:szCs w:val="30"/>
        </w:rPr>
        <w:t>1、监事出席股东大会、监事会及专门委员会会议，列席董事会及专门委员会会议的情况；</w:t>
      </w:r>
    </w:p>
    <w:p w:rsidR="00092652" w:rsidRDefault="0039522B">
      <w:pPr>
        <w:adjustRightInd w:val="0"/>
        <w:snapToGrid w:val="0"/>
        <w:spacing w:line="540" w:lineRule="exact"/>
        <w:ind w:firstLineChars="200" w:firstLine="600"/>
        <w:rPr>
          <w:rFonts w:ascii="仿宋_GB2312" w:eastAsia="仿宋_GB2312"/>
          <w:bCs/>
          <w:color w:val="000000"/>
          <w:kern w:val="0"/>
          <w:sz w:val="30"/>
          <w:szCs w:val="30"/>
        </w:rPr>
      </w:pPr>
      <w:r>
        <w:rPr>
          <w:rFonts w:ascii="仿宋_GB2312" w:eastAsia="仿宋_GB2312" w:hint="eastAsia"/>
          <w:bCs/>
          <w:color w:val="000000"/>
          <w:kern w:val="0"/>
          <w:sz w:val="30"/>
          <w:szCs w:val="30"/>
        </w:rPr>
        <w:t>2、股东大会、监事会、董事会及专门委员会会议相关材料；</w:t>
      </w:r>
    </w:p>
    <w:p w:rsidR="00092652" w:rsidRDefault="0039522B">
      <w:pPr>
        <w:adjustRightInd w:val="0"/>
        <w:snapToGrid w:val="0"/>
        <w:spacing w:line="540" w:lineRule="exact"/>
        <w:ind w:firstLineChars="200" w:firstLine="600"/>
        <w:rPr>
          <w:rFonts w:ascii="仿宋_GB2312" w:eastAsia="仿宋_GB2312"/>
          <w:bCs/>
          <w:color w:val="000000"/>
          <w:kern w:val="0"/>
          <w:sz w:val="30"/>
          <w:szCs w:val="30"/>
        </w:rPr>
      </w:pPr>
      <w:r>
        <w:rPr>
          <w:rFonts w:ascii="仿宋_GB2312" w:eastAsia="仿宋_GB2312" w:hint="eastAsia"/>
          <w:bCs/>
          <w:color w:val="000000"/>
          <w:kern w:val="0"/>
          <w:sz w:val="30"/>
          <w:szCs w:val="30"/>
        </w:rPr>
        <w:t>3、监事在监事会及专门委员会会议上以及闭会期间对会议审议事项和本行经营管理提出的意见和建议；</w:t>
      </w:r>
    </w:p>
    <w:p w:rsidR="00092652" w:rsidRDefault="0039522B">
      <w:pPr>
        <w:adjustRightInd w:val="0"/>
        <w:snapToGrid w:val="0"/>
        <w:spacing w:line="540" w:lineRule="exact"/>
        <w:ind w:firstLineChars="200" w:firstLine="600"/>
        <w:rPr>
          <w:rFonts w:ascii="仿宋_GB2312" w:eastAsia="仿宋_GB2312"/>
          <w:bCs/>
          <w:color w:val="000000"/>
          <w:kern w:val="0"/>
          <w:sz w:val="30"/>
          <w:szCs w:val="30"/>
        </w:rPr>
      </w:pPr>
      <w:r>
        <w:rPr>
          <w:rFonts w:ascii="仿宋_GB2312" w:eastAsia="仿宋_GB2312" w:hint="eastAsia"/>
          <w:bCs/>
          <w:color w:val="000000"/>
          <w:kern w:val="0"/>
          <w:sz w:val="30"/>
          <w:szCs w:val="30"/>
        </w:rPr>
        <w:t>4、监事参加本行监事会或监管部门组织的会谈、调研、培训及交流等活动的情况；</w:t>
      </w:r>
    </w:p>
    <w:p w:rsidR="00092652" w:rsidRDefault="0039522B">
      <w:pPr>
        <w:adjustRightInd w:val="0"/>
        <w:snapToGrid w:val="0"/>
        <w:spacing w:line="540" w:lineRule="exact"/>
        <w:ind w:firstLineChars="200" w:firstLine="600"/>
        <w:rPr>
          <w:rFonts w:ascii="仿宋_GB2312" w:eastAsia="仿宋_GB2312"/>
          <w:bCs/>
          <w:color w:val="000000"/>
          <w:kern w:val="0"/>
          <w:sz w:val="30"/>
          <w:szCs w:val="30"/>
        </w:rPr>
      </w:pPr>
      <w:r>
        <w:rPr>
          <w:rFonts w:ascii="仿宋_GB2312" w:eastAsia="仿宋_GB2312" w:hint="eastAsia"/>
          <w:bCs/>
          <w:color w:val="000000"/>
          <w:kern w:val="0"/>
          <w:sz w:val="30"/>
          <w:szCs w:val="30"/>
        </w:rPr>
        <w:t>5、监事在监事会闭会期间审阅材料情况及与各方沟通情况；</w:t>
      </w:r>
    </w:p>
    <w:p w:rsidR="00092652" w:rsidRDefault="0039522B">
      <w:pPr>
        <w:adjustRightInd w:val="0"/>
        <w:snapToGrid w:val="0"/>
        <w:spacing w:line="540" w:lineRule="exact"/>
        <w:ind w:firstLineChars="200" w:firstLine="600"/>
        <w:rPr>
          <w:rFonts w:ascii="仿宋_GB2312" w:eastAsia="仿宋_GB2312"/>
          <w:bCs/>
          <w:color w:val="000000"/>
          <w:kern w:val="0"/>
          <w:sz w:val="30"/>
          <w:szCs w:val="30"/>
        </w:rPr>
      </w:pPr>
      <w:r>
        <w:rPr>
          <w:rFonts w:ascii="仿宋_GB2312" w:eastAsia="仿宋_GB2312" w:hint="eastAsia"/>
          <w:bCs/>
          <w:color w:val="000000"/>
          <w:kern w:val="0"/>
          <w:sz w:val="30"/>
          <w:szCs w:val="30"/>
        </w:rPr>
        <w:t>6、监事年度信息披露情况，包括在定期报告和临时公告中披露的关联交易和任职信息等情况；</w:t>
      </w:r>
    </w:p>
    <w:p w:rsidR="00092652" w:rsidRDefault="0039522B">
      <w:pPr>
        <w:adjustRightInd w:val="0"/>
        <w:snapToGrid w:val="0"/>
        <w:spacing w:line="540" w:lineRule="exact"/>
        <w:ind w:firstLineChars="200" w:firstLine="600"/>
        <w:rPr>
          <w:rFonts w:ascii="仿宋_GB2312" w:eastAsia="仿宋_GB2312"/>
          <w:bCs/>
          <w:color w:val="000000"/>
          <w:kern w:val="0"/>
          <w:sz w:val="30"/>
          <w:szCs w:val="30"/>
        </w:rPr>
      </w:pPr>
      <w:r>
        <w:rPr>
          <w:rFonts w:ascii="仿宋_GB2312" w:eastAsia="仿宋_GB2312" w:hint="eastAsia"/>
          <w:bCs/>
          <w:color w:val="000000"/>
          <w:kern w:val="0"/>
          <w:sz w:val="30"/>
          <w:szCs w:val="30"/>
        </w:rPr>
        <w:t>7、本行监事会在日常工作基础上，通过访谈、征求意见等方式了解到的监事履职相关情况；</w:t>
      </w:r>
    </w:p>
    <w:p w:rsidR="00092652" w:rsidRDefault="0039522B">
      <w:pPr>
        <w:adjustRightInd w:val="0"/>
        <w:snapToGrid w:val="0"/>
        <w:spacing w:line="540" w:lineRule="exact"/>
        <w:ind w:firstLineChars="200" w:firstLine="600"/>
        <w:rPr>
          <w:rFonts w:ascii="仿宋_GB2312" w:eastAsia="仿宋_GB2312"/>
          <w:bCs/>
          <w:color w:val="000000"/>
          <w:kern w:val="0"/>
          <w:sz w:val="30"/>
          <w:szCs w:val="30"/>
        </w:rPr>
      </w:pPr>
      <w:r>
        <w:rPr>
          <w:rFonts w:ascii="仿宋_GB2312" w:eastAsia="仿宋_GB2312" w:hint="eastAsia"/>
          <w:bCs/>
          <w:color w:val="000000"/>
          <w:kern w:val="0"/>
          <w:sz w:val="30"/>
          <w:szCs w:val="30"/>
        </w:rPr>
        <w:lastRenderedPageBreak/>
        <w:t>8、年度监事履职评价信息，包括年度监事履职自评表、互评表、年度监事会运作情况评价表以及监事会年度工作报告等。</w:t>
      </w:r>
    </w:p>
    <w:p w:rsidR="00092652" w:rsidRDefault="0039522B">
      <w:pPr>
        <w:adjustRightInd w:val="0"/>
        <w:snapToGrid w:val="0"/>
        <w:spacing w:line="540" w:lineRule="exact"/>
        <w:ind w:firstLineChars="200" w:firstLine="602"/>
        <w:rPr>
          <w:rFonts w:ascii="仿宋_GB2312" w:eastAsia="仿宋_GB2312"/>
          <w:b/>
          <w:bCs/>
          <w:color w:val="000000"/>
          <w:kern w:val="0"/>
          <w:sz w:val="30"/>
          <w:szCs w:val="30"/>
        </w:rPr>
      </w:pPr>
      <w:r>
        <w:rPr>
          <w:rFonts w:ascii="仿宋_GB2312" w:eastAsia="仿宋_GB2312" w:hint="eastAsia"/>
          <w:b/>
          <w:bCs/>
          <w:color w:val="000000"/>
          <w:kern w:val="0"/>
          <w:sz w:val="30"/>
          <w:szCs w:val="30"/>
        </w:rPr>
        <w:t>二、监事履行职责情况</w:t>
      </w:r>
    </w:p>
    <w:p w:rsidR="00092652" w:rsidRDefault="0039522B">
      <w:pPr>
        <w:adjustRightInd w:val="0"/>
        <w:snapToGrid w:val="0"/>
        <w:spacing w:line="540" w:lineRule="exact"/>
        <w:ind w:firstLineChars="200" w:firstLine="602"/>
        <w:rPr>
          <w:rFonts w:ascii="仿宋_GB2312" w:eastAsia="仿宋_GB2312"/>
          <w:bCs/>
          <w:color w:val="000000"/>
          <w:kern w:val="0"/>
          <w:sz w:val="30"/>
          <w:szCs w:val="30"/>
        </w:rPr>
      </w:pPr>
      <w:r>
        <w:rPr>
          <w:rFonts w:ascii="仿宋_GB2312" w:eastAsia="仿宋_GB2312" w:hint="eastAsia"/>
          <w:b/>
          <w:bCs/>
          <w:color w:val="000000"/>
          <w:kern w:val="0"/>
          <w:sz w:val="30"/>
          <w:szCs w:val="30"/>
        </w:rPr>
        <w:t>（一）认真出席监事会和股东大会会议、列席董事会会议，履行勤勉义务。</w:t>
      </w:r>
      <w:r>
        <w:rPr>
          <w:rFonts w:ascii="仿宋_GB2312" w:eastAsia="仿宋_GB2312" w:hint="eastAsia"/>
          <w:bCs/>
          <w:color w:val="000000"/>
          <w:kern w:val="0"/>
          <w:sz w:val="30"/>
          <w:szCs w:val="30"/>
        </w:rPr>
        <w:t>2020年，全体监事依据有关法律、法规和本行章程规定，克服疫情影响，以认真负责的态度出席监事会及相关委员会会议，勤勉履行职责。全年共召开监事会会议5次，召开专门委员会会议3次，累计审议或听取各类议题共39项。监事出席监事会及各专门委员会会议的出席率为100%，亲自出席率为98%。积极出席2019年年度股东大会，审查</w:t>
      </w:r>
      <w:r>
        <w:rPr>
          <w:rFonts w:ascii="仿宋_GB2312" w:eastAsia="仿宋_GB2312"/>
          <w:bCs/>
          <w:color w:val="000000"/>
          <w:kern w:val="0"/>
          <w:sz w:val="30"/>
          <w:szCs w:val="30"/>
        </w:rPr>
        <w:t>会议</w:t>
      </w:r>
      <w:r>
        <w:rPr>
          <w:rFonts w:ascii="仿宋_GB2312" w:eastAsia="仿宋_GB2312" w:hint="eastAsia"/>
          <w:bCs/>
          <w:color w:val="000000"/>
          <w:kern w:val="0"/>
          <w:sz w:val="30"/>
          <w:szCs w:val="30"/>
        </w:rPr>
        <w:t>表决</w:t>
      </w:r>
      <w:r>
        <w:rPr>
          <w:rFonts w:ascii="仿宋_GB2312" w:eastAsia="仿宋_GB2312"/>
          <w:bCs/>
          <w:color w:val="000000"/>
          <w:kern w:val="0"/>
          <w:sz w:val="30"/>
          <w:szCs w:val="30"/>
        </w:rPr>
        <w:t>程序</w:t>
      </w:r>
      <w:r>
        <w:rPr>
          <w:rFonts w:ascii="仿宋_GB2312" w:eastAsia="仿宋_GB2312" w:hint="eastAsia"/>
          <w:bCs/>
          <w:color w:val="000000"/>
          <w:kern w:val="0"/>
          <w:sz w:val="30"/>
          <w:szCs w:val="30"/>
        </w:rPr>
        <w:t>的</w:t>
      </w:r>
      <w:r>
        <w:rPr>
          <w:rFonts w:ascii="仿宋_GB2312" w:eastAsia="仿宋_GB2312"/>
          <w:bCs/>
          <w:color w:val="000000"/>
          <w:kern w:val="0"/>
          <w:sz w:val="30"/>
          <w:szCs w:val="30"/>
        </w:rPr>
        <w:t>合</w:t>
      </w:r>
      <w:r>
        <w:rPr>
          <w:rFonts w:ascii="仿宋_GB2312" w:eastAsia="仿宋_GB2312" w:hint="eastAsia"/>
          <w:bCs/>
          <w:color w:val="000000"/>
          <w:kern w:val="0"/>
          <w:sz w:val="30"/>
          <w:szCs w:val="30"/>
        </w:rPr>
        <w:t>法、合规</w:t>
      </w:r>
      <w:r>
        <w:rPr>
          <w:rFonts w:ascii="仿宋_GB2312" w:eastAsia="仿宋_GB2312"/>
          <w:bCs/>
          <w:color w:val="000000"/>
          <w:kern w:val="0"/>
          <w:sz w:val="30"/>
          <w:szCs w:val="30"/>
        </w:rPr>
        <w:t>性，</w:t>
      </w:r>
      <w:r>
        <w:rPr>
          <w:rFonts w:ascii="仿宋_GB2312" w:eastAsia="仿宋_GB2312" w:hint="eastAsia"/>
          <w:bCs/>
          <w:color w:val="000000"/>
          <w:kern w:val="0"/>
          <w:sz w:val="30"/>
          <w:szCs w:val="30"/>
        </w:rPr>
        <w:t>确保</w:t>
      </w:r>
      <w:r>
        <w:rPr>
          <w:rFonts w:ascii="仿宋_GB2312" w:eastAsia="仿宋_GB2312"/>
          <w:bCs/>
          <w:color w:val="000000"/>
          <w:kern w:val="0"/>
          <w:sz w:val="30"/>
          <w:szCs w:val="30"/>
        </w:rPr>
        <w:t>股东大会</w:t>
      </w:r>
      <w:r>
        <w:rPr>
          <w:rFonts w:ascii="仿宋_GB2312" w:eastAsia="仿宋_GB2312" w:hint="eastAsia"/>
          <w:bCs/>
          <w:color w:val="000000"/>
          <w:kern w:val="0"/>
          <w:sz w:val="30"/>
          <w:szCs w:val="30"/>
        </w:rPr>
        <w:t>表决</w:t>
      </w:r>
      <w:r>
        <w:rPr>
          <w:rFonts w:ascii="仿宋_GB2312" w:eastAsia="仿宋_GB2312"/>
          <w:bCs/>
          <w:color w:val="000000"/>
          <w:kern w:val="0"/>
          <w:sz w:val="30"/>
          <w:szCs w:val="30"/>
        </w:rPr>
        <w:t>的</w:t>
      </w:r>
      <w:r>
        <w:rPr>
          <w:rFonts w:ascii="仿宋_GB2312" w:eastAsia="仿宋_GB2312" w:hint="eastAsia"/>
          <w:bCs/>
          <w:color w:val="000000"/>
          <w:kern w:val="0"/>
          <w:sz w:val="30"/>
          <w:szCs w:val="30"/>
        </w:rPr>
        <w:t>公开、</w:t>
      </w:r>
      <w:r>
        <w:rPr>
          <w:rFonts w:ascii="仿宋_GB2312" w:eastAsia="仿宋_GB2312"/>
          <w:bCs/>
          <w:color w:val="000000"/>
          <w:kern w:val="0"/>
          <w:sz w:val="30"/>
          <w:szCs w:val="30"/>
        </w:rPr>
        <w:t>公平、公正</w:t>
      </w:r>
      <w:r>
        <w:rPr>
          <w:rFonts w:ascii="仿宋_GB2312" w:eastAsia="仿宋_GB2312" w:hint="eastAsia"/>
          <w:bCs/>
          <w:color w:val="000000"/>
          <w:kern w:val="0"/>
          <w:sz w:val="30"/>
          <w:szCs w:val="30"/>
        </w:rPr>
        <w:t>。各监事积极列席董事会全年召开的4次现场会议，了解本行重大事项的决策背景、过程并进行监督。</w:t>
      </w:r>
    </w:p>
    <w:p w:rsidR="00092652" w:rsidRDefault="0039522B">
      <w:pPr>
        <w:spacing w:line="540" w:lineRule="exact"/>
        <w:ind w:firstLine="556"/>
        <w:rPr>
          <w:rFonts w:ascii="仿宋_GB2312" w:eastAsia="仿宋_GB2312"/>
          <w:bCs/>
          <w:color w:val="000000"/>
          <w:kern w:val="0"/>
          <w:sz w:val="30"/>
          <w:szCs w:val="30"/>
        </w:rPr>
      </w:pPr>
      <w:r>
        <w:rPr>
          <w:rFonts w:ascii="仿宋_GB2312" w:eastAsia="仿宋_GB2312" w:hint="eastAsia"/>
          <w:b/>
          <w:bCs/>
          <w:color w:val="000000"/>
          <w:sz w:val="30"/>
          <w:szCs w:val="30"/>
        </w:rPr>
        <w:t>（二）</w:t>
      </w:r>
      <w:r>
        <w:rPr>
          <w:rFonts w:ascii="仿宋_GB2312" w:eastAsia="仿宋_GB2312" w:hint="eastAsia"/>
          <w:b/>
          <w:color w:val="000000"/>
          <w:sz w:val="30"/>
          <w:szCs w:val="30"/>
        </w:rPr>
        <w:t>有效开展检查监督</w:t>
      </w:r>
      <w:r>
        <w:rPr>
          <w:rFonts w:ascii="仿宋_GB2312" w:eastAsia="仿宋_GB2312" w:hint="eastAsia"/>
          <w:b/>
          <w:color w:val="000000"/>
          <w:kern w:val="0"/>
          <w:sz w:val="30"/>
          <w:szCs w:val="30"/>
        </w:rPr>
        <w:t>，</w:t>
      </w:r>
      <w:r>
        <w:rPr>
          <w:rFonts w:eastAsia="仿宋_GB2312" w:hint="eastAsia"/>
          <w:b/>
          <w:color w:val="000000"/>
          <w:sz w:val="30"/>
          <w:szCs w:val="30"/>
        </w:rPr>
        <w:t>提出</w:t>
      </w:r>
      <w:r>
        <w:rPr>
          <w:rFonts w:ascii="仿宋_GB2312" w:eastAsia="仿宋_GB2312" w:hint="eastAsia"/>
          <w:b/>
          <w:color w:val="000000"/>
          <w:sz w:val="30"/>
          <w:szCs w:val="30"/>
        </w:rPr>
        <w:t>建设性意见或风险提示。</w:t>
      </w:r>
      <w:r>
        <w:rPr>
          <w:rFonts w:ascii="仿宋_GB2312" w:eastAsia="仿宋_GB2312" w:hint="eastAsia"/>
          <w:color w:val="000000"/>
          <w:kern w:val="0"/>
          <w:sz w:val="30"/>
          <w:szCs w:val="30"/>
        </w:rPr>
        <w:t>2020年，各位监事本着对全体股东负责的态度，认真审阅本行定期财务报告、风险状况报告、专项审计报告等经营管理相关信息资料，及时了解本行经营管理情况，密切关注可能影响本行经营的外部环境变化和重大事项，充分发挥自身专业特长和不同领域的从业经验，在监事会</w:t>
      </w:r>
      <w:r>
        <w:rPr>
          <w:rFonts w:ascii="仿宋_GB2312" w:eastAsia="仿宋_GB2312" w:hint="eastAsia"/>
          <w:color w:val="000000"/>
          <w:sz w:val="30"/>
          <w:szCs w:val="30"/>
        </w:rPr>
        <w:t>会议上就所议事项表达独立、客观、专业、明确的意见，并</w:t>
      </w:r>
      <w:r>
        <w:rPr>
          <w:rFonts w:eastAsia="仿宋_GB2312" w:hint="eastAsia"/>
          <w:color w:val="000000"/>
          <w:sz w:val="30"/>
          <w:szCs w:val="30"/>
        </w:rPr>
        <w:t>在监事会闭会期间积极</w:t>
      </w:r>
      <w:r>
        <w:rPr>
          <w:rFonts w:ascii="仿宋_GB2312" w:eastAsia="仿宋_GB2312" w:hint="eastAsia"/>
          <w:color w:val="000000"/>
          <w:kern w:val="0"/>
          <w:sz w:val="30"/>
          <w:szCs w:val="30"/>
        </w:rPr>
        <w:t>就关注的事项向</w:t>
      </w:r>
      <w:r>
        <w:rPr>
          <w:rFonts w:eastAsia="仿宋_GB2312" w:hint="eastAsia"/>
          <w:color w:val="000000"/>
          <w:sz w:val="30"/>
          <w:szCs w:val="30"/>
        </w:rPr>
        <w:t>高级管理层提出合理意见或</w:t>
      </w:r>
      <w:r>
        <w:rPr>
          <w:rFonts w:ascii="仿宋_GB2312" w:eastAsia="仿宋_GB2312" w:hint="eastAsia"/>
          <w:color w:val="000000"/>
          <w:kern w:val="0"/>
          <w:sz w:val="30"/>
          <w:szCs w:val="30"/>
        </w:rPr>
        <w:t>进行风险提示。</w:t>
      </w:r>
      <w:r>
        <w:rPr>
          <w:rFonts w:ascii="仿宋_GB2312" w:eastAsia="仿宋_GB2312" w:hint="eastAsia"/>
          <w:color w:val="000000"/>
          <w:sz w:val="30"/>
          <w:szCs w:val="30"/>
        </w:rPr>
        <w:t>2020年，</w:t>
      </w:r>
      <w:r>
        <w:rPr>
          <w:rFonts w:ascii="仿宋_GB2312" w:eastAsia="仿宋_GB2312" w:hint="eastAsia"/>
          <w:color w:val="000000"/>
          <w:kern w:val="0"/>
          <w:sz w:val="30"/>
          <w:szCs w:val="30"/>
        </w:rPr>
        <w:t>监事会以管理建议书、调研报告等形式向管理层提交意见或建议共计37条，充分履行监督职责。</w:t>
      </w:r>
      <w:r>
        <w:rPr>
          <w:rFonts w:ascii="仿宋_GB2312" w:eastAsia="仿宋_GB2312" w:hint="eastAsia"/>
          <w:color w:val="000000"/>
          <w:sz w:val="30"/>
          <w:szCs w:val="30"/>
        </w:rPr>
        <w:t>关于集团并表管理，监事们建议</w:t>
      </w:r>
      <w:r>
        <w:rPr>
          <w:rFonts w:ascii="仿宋_GB2312" w:eastAsia="仿宋_GB2312" w:hint="eastAsia"/>
          <w:sz w:val="30"/>
          <w:szCs w:val="30"/>
        </w:rPr>
        <w:t>有效整合集团金融牌照和资源，强化综合金融竞争力，加强子公司管理，提升子公司盈利能力和战略协同能力</w:t>
      </w:r>
      <w:r>
        <w:rPr>
          <w:rFonts w:ascii="仿宋_GB2312" w:eastAsia="仿宋_GB2312" w:hint="eastAsia"/>
          <w:color w:val="000000"/>
          <w:sz w:val="30"/>
          <w:szCs w:val="30"/>
        </w:rPr>
        <w:t>。</w:t>
      </w:r>
      <w:r>
        <w:rPr>
          <w:rFonts w:ascii="仿宋_GB2312" w:eastAsia="仿宋_GB2312" w:hint="eastAsia"/>
          <w:sz w:val="30"/>
          <w:szCs w:val="30"/>
        </w:rPr>
        <w:t>面对新冠疫情影响，监事们要求管理</w:t>
      </w:r>
      <w:r>
        <w:rPr>
          <w:rFonts w:ascii="仿宋_GB2312" w:eastAsia="仿宋_GB2312" w:hint="eastAsia"/>
          <w:sz w:val="30"/>
          <w:szCs w:val="30"/>
        </w:rPr>
        <w:lastRenderedPageBreak/>
        <w:t>层做好评估预判，领会国家和监管机构相关政策意图，积极应对挑战；做</w:t>
      </w:r>
      <w:r>
        <w:rPr>
          <w:rFonts w:ascii="仿宋_GB2312" w:eastAsia="仿宋_GB2312" w:hint="eastAsia"/>
          <w:color w:val="000000"/>
          <w:sz w:val="30"/>
          <w:szCs w:val="30"/>
        </w:rPr>
        <w:t>好后疫情时期的信用风险管理，防范个别企业的逃废债问题，</w:t>
      </w:r>
      <w:r>
        <w:rPr>
          <w:rFonts w:ascii="仿宋_GB2312" w:eastAsia="仿宋_GB2312" w:hint="eastAsia"/>
          <w:sz w:val="30"/>
          <w:szCs w:val="30"/>
        </w:rPr>
        <w:t>同时深入思考疫情对社会带来的长远变化，制定更为行稳致远的发展战略，更好地适应环境变化。</w:t>
      </w:r>
      <w:r>
        <w:rPr>
          <w:rFonts w:ascii="仿宋_GB2312" w:eastAsia="仿宋_GB2312" w:hint="eastAsia"/>
          <w:color w:val="000000"/>
          <w:sz w:val="30"/>
          <w:szCs w:val="30"/>
        </w:rPr>
        <w:t>关于金融科技，建议</w:t>
      </w:r>
      <w:r>
        <w:rPr>
          <w:rFonts w:ascii="仿宋_GB2312" w:eastAsia="仿宋_GB2312" w:hAnsi="宋体" w:cs="仿宋_GB2312" w:hint="eastAsia"/>
          <w:color w:val="000000"/>
          <w:kern w:val="0"/>
          <w:sz w:val="30"/>
          <w:szCs w:val="30"/>
        </w:rPr>
        <w:t>本行着力于科技服务金融、科技赋能金融，为经营解决实际问题；立足智慧银行建设，持续做强科技中台，加强重点领域的科技创新和应用，不断提升客户体验，并探索通过市场化机制解决金融科技发展面临的人才、技术、资金等瓶颈问题。关于不良资产清收，建议管理层探索利用投资银行协助清收化解不良资产，并配套相应的考核奖励，进一步完善不良资产清收处置机制。</w:t>
      </w:r>
      <w:r>
        <w:rPr>
          <w:rFonts w:ascii="仿宋_GB2312" w:eastAsia="仿宋_GB2312" w:hint="eastAsia"/>
          <w:color w:val="000000"/>
          <w:sz w:val="30"/>
          <w:szCs w:val="30"/>
        </w:rPr>
        <w:t>关于新会计准则，建议持续关注</w:t>
      </w:r>
      <w:r>
        <w:rPr>
          <w:rFonts w:ascii="仿宋_GB2312" w:eastAsia="仿宋_GB2312" w:hint="eastAsia"/>
          <w:sz w:val="30"/>
          <w:szCs w:val="30"/>
        </w:rPr>
        <w:t>租赁、收入等</w:t>
      </w:r>
      <w:r>
        <w:rPr>
          <w:rFonts w:ascii="仿宋_GB2312" w:eastAsia="仿宋_GB2312" w:hint="eastAsia"/>
          <w:color w:val="000000"/>
          <w:sz w:val="30"/>
          <w:szCs w:val="30"/>
        </w:rPr>
        <w:t>准则修订，</w:t>
      </w:r>
      <w:r>
        <w:rPr>
          <w:rFonts w:ascii="仿宋_GB2312" w:eastAsia="仿宋_GB2312" w:hint="eastAsia"/>
          <w:sz w:val="30"/>
          <w:szCs w:val="30"/>
        </w:rPr>
        <w:t>进一步加强对准则变化及其影响的研究，及时调整系统和政策</w:t>
      </w:r>
      <w:r>
        <w:rPr>
          <w:rFonts w:ascii="仿宋_GB2312" w:eastAsia="仿宋_GB2312" w:hint="eastAsia"/>
          <w:color w:val="000000"/>
          <w:sz w:val="30"/>
          <w:szCs w:val="30"/>
        </w:rPr>
        <w:t>。关于反洗钱，要求</w:t>
      </w:r>
      <w:r>
        <w:rPr>
          <w:rFonts w:ascii="仿宋_GB2312" w:eastAsia="仿宋_GB2312" w:hint="eastAsia"/>
          <w:sz w:val="30"/>
          <w:szCs w:val="30"/>
        </w:rPr>
        <w:t>包括董监高在内的全行上下提升认识，严格落实监管要求，持续强化相关工作，并重视应用金融科技手段开展工作。</w:t>
      </w:r>
      <w:r>
        <w:rPr>
          <w:rFonts w:ascii="仿宋_GB2312" w:eastAsia="仿宋_GB2312" w:hint="eastAsia"/>
          <w:color w:val="000000"/>
          <w:sz w:val="30"/>
          <w:szCs w:val="30"/>
        </w:rPr>
        <w:t>关于案件防控，建议本行风险、合规、审计部门加强协作，总结案件产生原因，通过动态数字化方式进行协同监管。上述</w:t>
      </w:r>
      <w:r>
        <w:rPr>
          <w:rFonts w:ascii="仿宋_GB2312" w:eastAsia="仿宋_GB2312" w:hint="eastAsia"/>
          <w:color w:val="000000"/>
          <w:kern w:val="0"/>
          <w:sz w:val="30"/>
          <w:szCs w:val="30"/>
        </w:rPr>
        <w:t>意见和建议得到管理层高度重视和积极反馈，均已被采纳执行或列入整改。</w:t>
      </w:r>
    </w:p>
    <w:p w:rsidR="00092652" w:rsidRDefault="0039522B">
      <w:pPr>
        <w:spacing w:line="540" w:lineRule="exact"/>
        <w:ind w:firstLineChars="200" w:firstLine="602"/>
        <w:rPr>
          <w:rFonts w:ascii="仿宋_GB2312" w:eastAsia="仿宋_GB2312"/>
          <w:color w:val="000000"/>
          <w:kern w:val="0"/>
          <w:sz w:val="30"/>
          <w:szCs w:val="30"/>
        </w:rPr>
      </w:pPr>
      <w:r>
        <w:rPr>
          <w:rFonts w:eastAsia="仿宋_GB2312" w:hint="eastAsia"/>
          <w:b/>
          <w:color w:val="000000"/>
          <w:sz w:val="30"/>
          <w:szCs w:val="30"/>
        </w:rPr>
        <w:t>（三）</w:t>
      </w:r>
      <w:r>
        <w:rPr>
          <w:rFonts w:ascii="仿宋_GB2312" w:eastAsia="仿宋_GB2312" w:hint="eastAsia"/>
          <w:b/>
          <w:bCs/>
          <w:color w:val="000000"/>
          <w:sz w:val="30"/>
          <w:szCs w:val="30"/>
        </w:rPr>
        <w:t>组织参加专题调研和审计调查，不断增强监督实效。</w:t>
      </w:r>
      <w:r>
        <w:rPr>
          <w:rFonts w:ascii="仿宋_GB2312" w:eastAsia="仿宋_GB2312" w:hint="eastAsia"/>
          <w:bCs/>
          <w:color w:val="000000"/>
          <w:kern w:val="0"/>
          <w:sz w:val="30"/>
          <w:szCs w:val="30"/>
        </w:rPr>
        <w:t>2020年，各监事积极参加监事会组织的各类专题调研和专项检查，立足于全行转型发展大局，全面听取情况汇报，并针对调研检查中发现的问题向董事会、高级管理层提出意见和建议。一是赴</w:t>
      </w:r>
      <w:r>
        <w:rPr>
          <w:rFonts w:ascii="仿宋_GB2312" w:eastAsia="仿宋_GB2312" w:hint="eastAsia"/>
          <w:kern w:val="0"/>
          <w:sz w:val="30"/>
          <w:szCs w:val="30"/>
        </w:rPr>
        <w:t>南京分行开展贯彻落实“1234”战略及推进经营转型专题调研</w:t>
      </w:r>
      <w:r>
        <w:rPr>
          <w:rFonts w:ascii="仿宋_GB2312" w:eastAsia="仿宋_GB2312" w:hint="eastAsia"/>
          <w:bCs/>
          <w:color w:val="000000"/>
          <w:kern w:val="0"/>
          <w:sz w:val="30"/>
          <w:szCs w:val="30"/>
        </w:rPr>
        <w:t>，</w:t>
      </w:r>
      <w:r>
        <w:rPr>
          <w:rFonts w:ascii="仿宋_GB2312" w:eastAsia="仿宋_GB2312" w:hint="eastAsia"/>
          <w:kern w:val="0"/>
          <w:sz w:val="30"/>
          <w:szCs w:val="30"/>
        </w:rPr>
        <w:t>要求分行结合当地经济发展特点，继续推进“轻资产、轻资本”转型发展，在股权投资、FICC、绿色金融等业务领域打造自身差异化特色；持续完善体制机制，探索多层级机构管理经验，为总</w:t>
      </w:r>
      <w:r>
        <w:rPr>
          <w:rFonts w:ascii="仿宋_GB2312" w:eastAsia="仿宋_GB2312" w:hint="eastAsia"/>
          <w:kern w:val="0"/>
          <w:sz w:val="30"/>
          <w:szCs w:val="30"/>
        </w:rPr>
        <w:lastRenderedPageBreak/>
        <w:t>行出台相关改革意见提供参考。</w:t>
      </w:r>
      <w:r>
        <w:rPr>
          <w:rFonts w:ascii="仿宋_GB2312" w:eastAsia="仿宋_GB2312" w:hint="eastAsia"/>
          <w:bCs/>
          <w:color w:val="000000"/>
          <w:kern w:val="0"/>
          <w:sz w:val="30"/>
          <w:szCs w:val="30"/>
        </w:rPr>
        <w:t>二是</w:t>
      </w:r>
      <w:r>
        <w:rPr>
          <w:rFonts w:ascii="仿宋_GB2312" w:eastAsia="仿宋_GB2312" w:hint="eastAsia"/>
          <w:kern w:val="0"/>
          <w:sz w:val="30"/>
          <w:szCs w:val="30"/>
        </w:rPr>
        <w:t>赴总行信息科技部数据中心福州总控中心、福州分行智慧网点进行现场调研，实地考察和监督本行信息科技建设和金融科技应用工作开展情况。三是部分监事赴嘉兴分行调研交流，了解分行经营以及人才培养等工作情况。</w:t>
      </w:r>
      <w:r>
        <w:rPr>
          <w:rFonts w:ascii="仿宋_GB2312" w:eastAsia="仿宋_GB2312" w:hint="eastAsia"/>
          <w:bCs/>
          <w:color w:val="000000"/>
          <w:kern w:val="0"/>
          <w:sz w:val="30"/>
          <w:szCs w:val="30"/>
        </w:rPr>
        <w:t>四是参加</w:t>
      </w:r>
      <w:r>
        <w:rPr>
          <w:rFonts w:ascii="仿宋_GB2312" w:eastAsia="仿宋_GB2312" w:cs="_GB2312" w:hint="eastAsia"/>
          <w:color w:val="000000"/>
          <w:kern w:val="0"/>
          <w:sz w:val="30"/>
          <w:szCs w:val="30"/>
        </w:rPr>
        <w:t>风险资本占用情况专项审计调查，全面了解全行资本管理及风险资产使用情况，</w:t>
      </w:r>
      <w:r>
        <w:rPr>
          <w:rFonts w:ascii="仿宋_GB2312" w:eastAsia="仿宋_GB2312" w:hint="eastAsia"/>
          <w:kern w:val="0"/>
          <w:sz w:val="30"/>
          <w:szCs w:val="30"/>
        </w:rPr>
        <w:t>建议增强资本主动管理意识，实行更加严格的资本限额管理措施；</w:t>
      </w:r>
      <w:r>
        <w:rPr>
          <w:rFonts w:ascii="仿宋_GB2312" w:eastAsia="仿宋_GB2312" w:hAnsi="宋体" w:cs="仿宋_GB2312" w:hint="eastAsia"/>
          <w:color w:val="000000"/>
          <w:kern w:val="0"/>
          <w:sz w:val="30"/>
          <w:szCs w:val="30"/>
        </w:rPr>
        <w:t>充分发挥考核指挥棒作用，提升资本收益水平，推动银行估值提升，并将利润增速高于风险资产增速作为今后全行经营转型考评的重要参照指标</w:t>
      </w:r>
      <w:r>
        <w:rPr>
          <w:rFonts w:ascii="仿宋_GB2312" w:eastAsia="仿宋_GB2312" w:cs="_GB2312" w:hint="eastAsia"/>
          <w:color w:val="000000"/>
          <w:kern w:val="0"/>
          <w:sz w:val="30"/>
          <w:szCs w:val="30"/>
        </w:rPr>
        <w:t>。五是</w:t>
      </w:r>
      <w:r>
        <w:rPr>
          <w:rFonts w:ascii="仿宋_GB2312" w:eastAsia="仿宋_GB2312" w:hint="eastAsia"/>
          <w:bCs/>
          <w:color w:val="000000"/>
          <w:kern w:val="0"/>
          <w:sz w:val="30"/>
          <w:szCs w:val="30"/>
        </w:rPr>
        <w:t>参加</w:t>
      </w:r>
      <w:r>
        <w:rPr>
          <w:rFonts w:ascii="仿宋_GB2312" w:eastAsia="仿宋_GB2312" w:hint="eastAsia"/>
          <w:kern w:val="0"/>
          <w:sz w:val="30"/>
          <w:szCs w:val="30"/>
        </w:rPr>
        <w:t>数据治理专项审计调查</w:t>
      </w:r>
      <w:r>
        <w:rPr>
          <w:rFonts w:ascii="仿宋_GB2312" w:eastAsia="仿宋_GB2312" w:hint="eastAsia"/>
          <w:bCs/>
          <w:color w:val="000000"/>
          <w:kern w:val="0"/>
          <w:sz w:val="30"/>
          <w:szCs w:val="30"/>
        </w:rPr>
        <w:t>，</w:t>
      </w:r>
      <w:r>
        <w:rPr>
          <w:rFonts w:ascii="仿宋_GB2312" w:eastAsia="仿宋_GB2312" w:hint="eastAsia"/>
          <w:kern w:val="0"/>
          <w:sz w:val="30"/>
          <w:szCs w:val="30"/>
        </w:rPr>
        <w:t>全面扫描与审视本行数据治理现状</w:t>
      </w:r>
      <w:r>
        <w:rPr>
          <w:rFonts w:ascii="仿宋_GB2312" w:eastAsia="仿宋_GB2312" w:cs="_GB2312" w:hint="eastAsia"/>
          <w:color w:val="000000"/>
          <w:kern w:val="0"/>
          <w:sz w:val="30"/>
          <w:szCs w:val="30"/>
        </w:rPr>
        <w:t>，建议进一步梳理数据治理的整体推进架构，并由高级管理层成员牵头推进；在现有路线图基础上，明确数据治理工作的阶段性目标和进度要求，厘清主体责任，定期跟踪进展；在集团范围内尽快制定统一的数据标准，并一以贯之执行。</w:t>
      </w:r>
    </w:p>
    <w:p w:rsidR="00092652" w:rsidRDefault="0039522B">
      <w:pPr>
        <w:spacing w:line="540" w:lineRule="exact"/>
        <w:ind w:firstLineChars="200" w:firstLine="602"/>
        <w:rPr>
          <w:rFonts w:ascii="仿宋_GB2312" w:eastAsia="仿宋_GB2312" w:hAnsi="ˎ̥" w:hint="eastAsia"/>
          <w:color w:val="000000"/>
          <w:sz w:val="30"/>
          <w:szCs w:val="30"/>
        </w:rPr>
      </w:pPr>
      <w:r>
        <w:rPr>
          <w:rFonts w:ascii="仿宋_GB2312" w:eastAsia="仿宋_GB2312" w:hAnsi="ˎ̥" w:hint="eastAsia"/>
          <w:b/>
          <w:color w:val="000000"/>
          <w:sz w:val="30"/>
          <w:szCs w:val="30"/>
        </w:rPr>
        <w:t>（四）坚持参加培训学习，提高履职能力。</w:t>
      </w:r>
      <w:r>
        <w:rPr>
          <w:rFonts w:ascii="仿宋_GB2312" w:eastAsia="仿宋_GB2312" w:hAnsi="ˎ̥" w:hint="eastAsia"/>
          <w:color w:val="000000"/>
          <w:sz w:val="30"/>
          <w:szCs w:val="30"/>
        </w:rPr>
        <w:t>2020年，各监事灵活采用线上方式，坚持参加监管机构和监事会组织的学习交流活动：全体监事</w:t>
      </w:r>
      <w:r>
        <w:rPr>
          <w:rFonts w:ascii="仿宋_GB2312" w:eastAsia="仿宋_GB2312" w:hint="eastAsia"/>
          <w:color w:val="000000"/>
          <w:sz w:val="30"/>
          <w:szCs w:val="30"/>
        </w:rPr>
        <w:t>及时查阅相关财经资讯和</w:t>
      </w:r>
      <w:r>
        <w:rPr>
          <w:rFonts w:ascii="仿宋_GB2312" w:eastAsia="仿宋_GB2312" w:hAnsi="ˎ̥" w:hint="eastAsia"/>
          <w:color w:val="000000"/>
          <w:sz w:val="30"/>
          <w:szCs w:val="30"/>
        </w:rPr>
        <w:t>监管文件等信息，学习最新银行经营管理动态和监管法规；</w:t>
      </w:r>
      <w:r>
        <w:rPr>
          <w:rFonts w:ascii="仿宋_GB2312" w:eastAsia="仿宋_GB2312" w:cs="_GB2312" w:hint="eastAsia"/>
          <w:color w:val="000000"/>
          <w:kern w:val="0"/>
          <w:sz w:val="30"/>
          <w:szCs w:val="30"/>
        </w:rPr>
        <w:t>监事会主席参加了上市公司协会监事会主席系列培训；部分监事还参加了福建证监局新《证券法》培训。</w:t>
      </w:r>
    </w:p>
    <w:p w:rsidR="00092652" w:rsidRDefault="0039522B">
      <w:pPr>
        <w:adjustRightInd w:val="0"/>
        <w:snapToGrid w:val="0"/>
        <w:spacing w:line="540" w:lineRule="exact"/>
        <w:ind w:firstLineChars="200" w:firstLine="602"/>
        <w:rPr>
          <w:rFonts w:ascii="仿宋_GB2312" w:eastAsia="仿宋_GB2312"/>
          <w:b/>
          <w:bCs/>
          <w:color w:val="000000"/>
          <w:kern w:val="0"/>
          <w:sz w:val="30"/>
          <w:szCs w:val="30"/>
        </w:rPr>
      </w:pPr>
      <w:r>
        <w:rPr>
          <w:rFonts w:ascii="仿宋_GB2312" w:eastAsia="仿宋_GB2312" w:hint="eastAsia"/>
          <w:b/>
          <w:bCs/>
          <w:color w:val="000000"/>
          <w:kern w:val="0"/>
          <w:sz w:val="30"/>
          <w:szCs w:val="30"/>
        </w:rPr>
        <w:t>（五）严格遵守相关规定，忠实守信履行职责。</w:t>
      </w:r>
      <w:r>
        <w:rPr>
          <w:rFonts w:ascii="仿宋_GB2312" w:eastAsia="仿宋_GB2312" w:hint="eastAsia"/>
          <w:bCs/>
          <w:color w:val="000000"/>
          <w:kern w:val="0"/>
          <w:sz w:val="30"/>
          <w:szCs w:val="30"/>
        </w:rPr>
        <w:t>2020年，全体监事严格遵守有关法律、法规和本行章程的规定，坚持高标准的职业道德准则，</w:t>
      </w:r>
      <w:r>
        <w:rPr>
          <w:rFonts w:eastAsia="仿宋_GB2312" w:hint="eastAsia"/>
          <w:color w:val="000000"/>
          <w:sz w:val="30"/>
          <w:szCs w:val="30"/>
        </w:rPr>
        <w:t>诚实</w:t>
      </w:r>
      <w:r>
        <w:rPr>
          <w:rFonts w:eastAsia="仿宋_GB2312"/>
          <w:color w:val="000000"/>
          <w:sz w:val="30"/>
          <w:szCs w:val="30"/>
        </w:rPr>
        <w:t>守信地</w:t>
      </w:r>
      <w:r>
        <w:rPr>
          <w:rFonts w:ascii="仿宋_GB2312" w:eastAsia="仿宋_GB2312" w:hint="eastAsia"/>
          <w:bCs/>
          <w:color w:val="000000"/>
          <w:kern w:val="0"/>
          <w:sz w:val="30"/>
          <w:szCs w:val="30"/>
        </w:rPr>
        <w:t>履行监事职责，未发现监事有利用其在本行的职务和权力为自己谋取私利</w:t>
      </w:r>
      <w:r>
        <w:rPr>
          <w:rFonts w:eastAsia="仿宋_GB2312" w:hint="eastAsia"/>
          <w:color w:val="000000"/>
          <w:sz w:val="30"/>
          <w:szCs w:val="30"/>
        </w:rPr>
        <w:t>或其他损害本行利益的行为</w:t>
      </w:r>
      <w:r>
        <w:rPr>
          <w:rFonts w:ascii="仿宋_GB2312" w:eastAsia="仿宋_GB2312" w:hint="eastAsia"/>
          <w:bCs/>
          <w:color w:val="000000"/>
          <w:kern w:val="0"/>
          <w:sz w:val="30"/>
          <w:szCs w:val="30"/>
        </w:rPr>
        <w:t>。</w:t>
      </w:r>
    </w:p>
    <w:p w:rsidR="00092652" w:rsidRDefault="0039522B">
      <w:pPr>
        <w:adjustRightInd w:val="0"/>
        <w:snapToGrid w:val="0"/>
        <w:spacing w:line="540" w:lineRule="exact"/>
        <w:ind w:firstLineChars="200" w:firstLine="602"/>
        <w:rPr>
          <w:rFonts w:ascii="仿宋_GB2312" w:eastAsia="仿宋_GB2312"/>
          <w:b/>
          <w:bCs/>
          <w:color w:val="000000"/>
          <w:kern w:val="0"/>
          <w:sz w:val="30"/>
          <w:szCs w:val="30"/>
        </w:rPr>
      </w:pPr>
      <w:r>
        <w:rPr>
          <w:rFonts w:ascii="仿宋_GB2312" w:eastAsia="仿宋_GB2312" w:hint="eastAsia"/>
          <w:b/>
          <w:bCs/>
          <w:color w:val="000000"/>
          <w:kern w:val="0"/>
          <w:sz w:val="30"/>
          <w:szCs w:val="30"/>
        </w:rPr>
        <w:lastRenderedPageBreak/>
        <w:t>（六）外部监事充分发挥独立性，有效强化监督力量。</w:t>
      </w:r>
      <w:r>
        <w:rPr>
          <w:rFonts w:ascii="仿宋_GB2312" w:eastAsia="仿宋_GB2312" w:hint="eastAsia"/>
          <w:bCs/>
          <w:color w:val="000000"/>
          <w:kern w:val="0"/>
          <w:sz w:val="30"/>
          <w:szCs w:val="30"/>
        </w:rPr>
        <w:t>2020年，三位外部监事本着客观、审慎的原则，独立自主履行职责，积极建言献策，推动本行公平对待全体股东、维护利益相关者合法权益、积极履行社会责任，为促进监事会依法履职发挥了积极作用，未发现存在法律、法规</w:t>
      </w:r>
      <w:r>
        <w:rPr>
          <w:rFonts w:ascii="仿宋_GB2312" w:eastAsia="仿宋_GB2312"/>
          <w:bCs/>
          <w:color w:val="000000"/>
          <w:kern w:val="0"/>
          <w:sz w:val="30"/>
          <w:szCs w:val="30"/>
        </w:rPr>
        <w:t>及本</w:t>
      </w:r>
      <w:r>
        <w:rPr>
          <w:rFonts w:ascii="仿宋_GB2312" w:eastAsia="仿宋_GB2312" w:hint="eastAsia"/>
          <w:bCs/>
          <w:color w:val="000000"/>
          <w:kern w:val="0"/>
          <w:sz w:val="30"/>
          <w:szCs w:val="30"/>
        </w:rPr>
        <w:t>行</w:t>
      </w:r>
      <w:r>
        <w:rPr>
          <w:rFonts w:ascii="仿宋_GB2312" w:eastAsia="仿宋_GB2312"/>
          <w:bCs/>
          <w:color w:val="000000"/>
          <w:kern w:val="0"/>
          <w:sz w:val="30"/>
          <w:szCs w:val="30"/>
        </w:rPr>
        <w:t>章程规定</w:t>
      </w:r>
      <w:r>
        <w:rPr>
          <w:rFonts w:ascii="仿宋_GB2312" w:eastAsia="仿宋_GB2312" w:hint="eastAsia"/>
          <w:bCs/>
          <w:color w:val="000000"/>
          <w:kern w:val="0"/>
          <w:sz w:val="30"/>
          <w:szCs w:val="30"/>
        </w:rPr>
        <w:t>的不得或不适合继续担任外部监事的情形。</w:t>
      </w:r>
    </w:p>
    <w:p w:rsidR="00092652" w:rsidRDefault="0039522B">
      <w:pPr>
        <w:adjustRightInd w:val="0"/>
        <w:snapToGrid w:val="0"/>
        <w:spacing w:line="540" w:lineRule="exact"/>
        <w:ind w:firstLineChars="200" w:firstLine="602"/>
        <w:rPr>
          <w:rFonts w:ascii="仿宋_GB2312" w:eastAsia="仿宋_GB2312"/>
          <w:b/>
          <w:bCs/>
          <w:color w:val="000000"/>
          <w:kern w:val="0"/>
          <w:sz w:val="30"/>
          <w:szCs w:val="30"/>
        </w:rPr>
      </w:pPr>
      <w:r>
        <w:rPr>
          <w:rFonts w:ascii="仿宋_GB2312" w:eastAsia="仿宋_GB2312" w:hint="eastAsia"/>
          <w:b/>
          <w:bCs/>
          <w:color w:val="000000"/>
          <w:kern w:val="0"/>
          <w:sz w:val="30"/>
          <w:szCs w:val="30"/>
        </w:rPr>
        <w:t>三、监事履职评价结果</w:t>
      </w:r>
    </w:p>
    <w:p w:rsidR="00092652" w:rsidRDefault="0039522B">
      <w:pPr>
        <w:spacing w:line="540" w:lineRule="exact"/>
        <w:ind w:firstLineChars="200" w:firstLine="600"/>
        <w:rPr>
          <w:rFonts w:ascii="仿宋_GB2312" w:eastAsia="仿宋_GB2312"/>
          <w:color w:val="000000"/>
          <w:sz w:val="30"/>
          <w:szCs w:val="30"/>
        </w:rPr>
      </w:pPr>
      <w:r>
        <w:rPr>
          <w:rFonts w:ascii="仿宋_GB2312" w:eastAsia="仿宋_GB2312" w:hint="eastAsia"/>
          <w:bCs/>
          <w:color w:val="000000"/>
          <w:kern w:val="0"/>
          <w:sz w:val="30"/>
          <w:szCs w:val="30"/>
        </w:rPr>
        <w:t>监事会认为：2020年，各位监事能按照有关法律、法规及本行章程的有关要求，</w:t>
      </w:r>
      <w:r>
        <w:rPr>
          <w:rFonts w:ascii="仿宋_GB2312" w:eastAsia="仿宋_GB2312" w:hint="eastAsia"/>
          <w:color w:val="000000"/>
          <w:sz w:val="30"/>
          <w:szCs w:val="30"/>
        </w:rPr>
        <w:t>投入足够的时间和精力，</w:t>
      </w:r>
      <w:r>
        <w:rPr>
          <w:rFonts w:ascii="仿宋_GB2312" w:eastAsia="仿宋_GB2312" w:hAnsi="宋体" w:hint="eastAsia"/>
          <w:color w:val="000000"/>
          <w:kern w:val="0"/>
          <w:sz w:val="30"/>
          <w:szCs w:val="30"/>
        </w:rPr>
        <w:t>认真履行监督职责，</w:t>
      </w:r>
      <w:r>
        <w:rPr>
          <w:rFonts w:ascii="仿宋_GB2312" w:eastAsia="仿宋_GB2312" w:hint="eastAsia"/>
          <w:color w:val="000000"/>
          <w:sz w:val="30"/>
          <w:szCs w:val="30"/>
        </w:rPr>
        <w:t>独立、客观地行使监督职能，勤勉、忠实地履行监事义务，</w:t>
      </w:r>
      <w:r>
        <w:rPr>
          <w:rFonts w:ascii="仿宋_GB2312" w:eastAsia="仿宋_GB2312" w:hAnsi="宋体" w:hint="eastAsia"/>
          <w:color w:val="000000"/>
          <w:kern w:val="0"/>
          <w:sz w:val="30"/>
          <w:szCs w:val="30"/>
        </w:rPr>
        <w:t>对本行依法经营情况、财务报告检查情况、收购与出售资产情况、年度分红情况、募集资金使用情况、关联交易情况、内部控制情况、风险管理情况、并表管理情况、股东大会决议执行情况等事项进行了全面监督，</w:t>
      </w:r>
      <w:r>
        <w:rPr>
          <w:rFonts w:ascii="仿宋_GB2312" w:eastAsia="仿宋_GB2312" w:hint="eastAsia"/>
          <w:bCs/>
          <w:color w:val="000000"/>
          <w:kern w:val="0"/>
          <w:sz w:val="30"/>
          <w:szCs w:val="30"/>
        </w:rPr>
        <w:t>对完善本行公司治理、推动本行持续健康发展发挥了积极作用。监事会对各位监事2020年度履</w:t>
      </w:r>
      <w:r>
        <w:rPr>
          <w:rFonts w:eastAsia="仿宋_GB2312" w:hint="eastAsia"/>
          <w:color w:val="000000"/>
          <w:sz w:val="30"/>
          <w:szCs w:val="30"/>
        </w:rPr>
        <w:t>行职责情况的评价结果全部为称职。</w:t>
      </w:r>
    </w:p>
    <w:p w:rsidR="00092652" w:rsidRDefault="0039522B">
      <w:pPr>
        <w:adjustRightInd w:val="0"/>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专此报告。</w:t>
      </w:r>
    </w:p>
    <w:p w:rsidR="00092652" w:rsidRDefault="00092652">
      <w:pPr>
        <w:widowControl/>
        <w:spacing w:line="520" w:lineRule="exact"/>
        <w:jc w:val="left"/>
        <w:rPr>
          <w:rFonts w:eastAsia="仿宋_GB2312"/>
          <w:sz w:val="30"/>
          <w:szCs w:val="30"/>
        </w:rPr>
      </w:pPr>
    </w:p>
    <w:p w:rsidR="00092652" w:rsidRDefault="0039522B">
      <w:pPr>
        <w:widowControl/>
        <w:jc w:val="left"/>
        <w:rPr>
          <w:rFonts w:ascii="黑体" w:eastAsia="黑体"/>
          <w:sz w:val="32"/>
          <w:szCs w:val="32"/>
        </w:rPr>
      </w:pPr>
      <w:r>
        <w:rPr>
          <w:rFonts w:ascii="黑体" w:eastAsia="黑体"/>
          <w:sz w:val="32"/>
          <w:szCs w:val="32"/>
        </w:rPr>
        <w:br w:type="page"/>
      </w:r>
    </w:p>
    <w:p w:rsidR="00092652" w:rsidRDefault="00C4392E">
      <w:pPr>
        <w:tabs>
          <w:tab w:val="left" w:pos="416"/>
          <w:tab w:val="left" w:pos="1086"/>
          <w:tab w:val="center" w:pos="4156"/>
        </w:tabs>
        <w:spacing w:line="500" w:lineRule="exact"/>
        <w:ind w:firstLineChars="200" w:firstLine="640"/>
      </w:pPr>
      <w:r>
        <w:rPr>
          <w:rFonts w:ascii="黑体" w:eastAsia="黑体"/>
          <w:noProof/>
          <w:sz w:val="32"/>
          <w:szCs w:val="32"/>
        </w:rPr>
        <w:lastRenderedPageBreak/>
        <mc:AlternateContent>
          <mc:Choice Requires="wps">
            <w:drawing>
              <wp:anchor distT="0" distB="0" distL="114300" distR="114300" simplePos="0" relativeHeight="251668480" behindDoc="0" locked="0" layoutInCell="1" allowOverlap="1" wp14:anchorId="1118EE3B" wp14:editId="047818D1">
                <wp:simplePos x="0" y="0"/>
                <wp:positionH relativeFrom="column">
                  <wp:posOffset>-15875</wp:posOffset>
                </wp:positionH>
                <wp:positionV relativeFrom="paragraph">
                  <wp:posOffset>0</wp:posOffset>
                </wp:positionV>
                <wp:extent cx="1526540" cy="594360"/>
                <wp:effectExtent l="0" t="0" r="0" b="0"/>
                <wp:wrapSquare wrapText="bothSides"/>
                <wp:docPr id="2" name="文本框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654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15BAA" w:rsidRDefault="00115BAA">
                            <w:pPr>
                              <w:spacing w:line="400" w:lineRule="exact"/>
                              <w:jc w:val="center"/>
                              <w:rPr>
                                <w:rFonts w:ascii="宋体"/>
                                <w:color w:val="000000"/>
                                <w:szCs w:val="21"/>
                              </w:rPr>
                            </w:pPr>
                            <w:r>
                              <w:rPr>
                                <w:rFonts w:ascii="宋体" w:hint="eastAsia"/>
                                <w:color w:val="000000"/>
                                <w:szCs w:val="21"/>
                              </w:rPr>
                              <w:t>2020年年度股东大会</w:t>
                            </w:r>
                          </w:p>
                          <w:p w:rsidR="00115BAA" w:rsidRDefault="00115BAA">
                            <w:pPr>
                              <w:spacing w:line="400" w:lineRule="exact"/>
                              <w:jc w:val="center"/>
                              <w:rPr>
                                <w:rFonts w:ascii="宋体"/>
                                <w:color w:val="000000"/>
                                <w:szCs w:val="21"/>
                              </w:rPr>
                            </w:pPr>
                            <w:r>
                              <w:rPr>
                                <w:rFonts w:ascii="宋体" w:hint="eastAsia"/>
                                <w:color w:val="000000"/>
                                <w:szCs w:val="21"/>
                              </w:rPr>
                              <w:t>文件二十二　听取报告</w:t>
                            </w:r>
                          </w:p>
                          <w:p w:rsidR="00115BAA" w:rsidRDefault="00115BAA">
                            <w:pPr>
                              <w:rPr>
                                <w:szCs w:val="21"/>
                              </w:rPr>
                            </w:pPr>
                          </w:p>
                        </w:txbxContent>
                      </wps:txbx>
                      <wps:bodyPr wrap="none"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_x0000_s1048" type="#_x0000_t202" style="position:absolute;left:0;text-align:left;margin-left:-1.25pt;margin-top:0;width:120.2pt;height:46.8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">
                <v:path arrowok="t"/>
                <v:textbox>
                  <w:txbxContent>
                    <w:p w:rsidR="00115BAA" w:rsidRDefault="00115BAA">
                      <w:pPr>
                        <w:spacing w:line="400" w:lineRule="exact"/>
                        <w:jc w:val="center"/>
                        <w:rPr>
                          <w:rFonts w:ascii="宋体"/>
                          <w:color w:val="000000"/>
                          <w:szCs w:val="21"/>
                        </w:rPr>
                      </w:pPr>
                      <w:r>
                        <w:rPr>
                          <w:rFonts w:ascii="宋体" w:hint="eastAsia"/>
                          <w:color w:val="000000"/>
                          <w:szCs w:val="21"/>
                        </w:rPr>
                        <w:t>2020年年度股东大会</w:t>
                      </w:r>
                    </w:p>
                    <w:p w:rsidR="00115BAA" w:rsidRDefault="00115BAA">
                      <w:pPr>
                        <w:spacing w:line="400" w:lineRule="exact"/>
                        <w:jc w:val="center"/>
                        <w:rPr>
                          <w:rFonts w:ascii="宋体"/>
                          <w:color w:val="000000"/>
                          <w:szCs w:val="21"/>
                        </w:rPr>
                      </w:pPr>
                      <w:r>
                        <w:rPr>
                          <w:rFonts w:ascii="宋体" w:hint="eastAsia"/>
                          <w:color w:val="000000"/>
                          <w:szCs w:val="21"/>
                        </w:rPr>
                        <w:t>文件二十二　听取报告</w:t>
                      </w:r>
                    </w:p>
                    <w:p w:rsidR="00115BAA" w:rsidRDefault="00115BAA">
                      <w:pPr>
                        <w:rPr>
                          <w:szCs w:val="21"/>
                        </w:rPr>
                      </w:pPr>
                    </w:p>
                  </w:txbxContent>
                </v:textbox>
                <w10:wrap type="square"/>
              </v:shape>
            </w:pict>
          </mc:Fallback>
        </mc:AlternateContent>
      </w:r>
    </w:p>
    <w:p w:rsidR="00092652" w:rsidRDefault="00092652">
      <w:pPr>
        <w:widowControl/>
        <w:spacing w:line="560" w:lineRule="exact"/>
        <w:jc w:val="center"/>
        <w:rPr>
          <w:rFonts w:ascii="黑体" w:eastAsia="黑体"/>
          <w:sz w:val="32"/>
          <w:szCs w:val="32"/>
        </w:rPr>
      </w:pPr>
    </w:p>
    <w:p w:rsidR="00092652" w:rsidRDefault="0039522B">
      <w:pPr>
        <w:widowControl/>
        <w:spacing w:line="520" w:lineRule="exact"/>
        <w:jc w:val="center"/>
        <w:rPr>
          <w:rFonts w:ascii="黑体" w:eastAsia="黑体"/>
          <w:sz w:val="32"/>
          <w:szCs w:val="32"/>
        </w:rPr>
      </w:pPr>
      <w:r>
        <w:rPr>
          <w:rFonts w:ascii="黑体" w:eastAsia="黑体" w:hint="eastAsia"/>
          <w:sz w:val="32"/>
          <w:szCs w:val="32"/>
        </w:rPr>
        <w:t>兴业银行股份有限公司</w:t>
      </w:r>
    </w:p>
    <w:p w:rsidR="00092652" w:rsidRDefault="0039522B">
      <w:pPr>
        <w:pStyle w:val="1"/>
        <w:spacing w:before="0" w:after="0" w:line="520" w:lineRule="exact"/>
        <w:rPr>
          <w:szCs w:val="32"/>
        </w:rPr>
      </w:pPr>
      <w:bookmarkStart w:id="35" w:name="_Toc72437669"/>
      <w:r>
        <w:rPr>
          <w:rFonts w:hint="eastAsia"/>
          <w:szCs w:val="32"/>
        </w:rPr>
        <w:t>2020年度监事会对董事和高级管理人员的履职评价报告</w:t>
      </w:r>
      <w:bookmarkEnd w:id="35"/>
    </w:p>
    <w:p w:rsidR="00092652" w:rsidRDefault="0039522B">
      <w:pPr>
        <w:overflowPunct w:val="0"/>
        <w:snapToGrid w:val="0"/>
        <w:spacing w:line="520" w:lineRule="exact"/>
        <w:jc w:val="center"/>
        <w:rPr>
          <w:rFonts w:ascii="仿宋_GB2312" w:eastAsia="仿宋_GB2312"/>
          <w:sz w:val="30"/>
          <w:szCs w:val="28"/>
        </w:rPr>
      </w:pPr>
      <w:r>
        <w:rPr>
          <w:rFonts w:ascii="仿宋_GB2312" w:eastAsia="仿宋_GB2312" w:hint="eastAsia"/>
          <w:sz w:val="30"/>
          <w:szCs w:val="28"/>
        </w:rPr>
        <w:t>外部监事：夏大慰</w:t>
      </w:r>
    </w:p>
    <w:p w:rsidR="00092652" w:rsidRDefault="00092652">
      <w:pPr>
        <w:overflowPunct w:val="0"/>
        <w:snapToGrid w:val="0"/>
        <w:spacing w:line="520" w:lineRule="exact"/>
        <w:jc w:val="center"/>
        <w:rPr>
          <w:rFonts w:ascii="仿宋_GB2312" w:eastAsia="仿宋_GB2312"/>
          <w:sz w:val="30"/>
          <w:szCs w:val="28"/>
        </w:rPr>
      </w:pPr>
    </w:p>
    <w:p w:rsidR="00092652" w:rsidRDefault="0039522B">
      <w:pPr>
        <w:spacing w:line="520" w:lineRule="exact"/>
        <w:rPr>
          <w:rFonts w:ascii="仿宋_GB2312" w:eastAsia="仿宋_GB2312"/>
          <w:sz w:val="30"/>
          <w:szCs w:val="28"/>
        </w:rPr>
      </w:pPr>
      <w:r>
        <w:rPr>
          <w:rFonts w:ascii="仿宋_GB2312" w:eastAsia="仿宋_GB2312" w:hint="eastAsia"/>
          <w:sz w:val="30"/>
          <w:szCs w:val="28"/>
        </w:rPr>
        <w:t>各位股东：</w:t>
      </w:r>
    </w:p>
    <w:p w:rsidR="00092652" w:rsidRDefault="0039522B">
      <w:pPr>
        <w:spacing w:line="540" w:lineRule="exact"/>
        <w:ind w:firstLineChars="200" w:firstLine="600"/>
        <w:rPr>
          <w:rFonts w:ascii="仿宋_GB2312" w:eastAsia="仿宋_GB2312"/>
          <w:color w:val="000000"/>
          <w:sz w:val="30"/>
          <w:szCs w:val="30"/>
        </w:rPr>
      </w:pPr>
      <w:r>
        <w:rPr>
          <w:rFonts w:eastAsia="仿宋_GB2312"/>
          <w:sz w:val="30"/>
          <w:szCs w:val="30"/>
        </w:rPr>
        <w:t>根据</w:t>
      </w:r>
      <w:r>
        <w:rPr>
          <w:rFonts w:eastAsia="仿宋_GB2312" w:hint="eastAsia"/>
          <w:sz w:val="30"/>
          <w:szCs w:val="30"/>
        </w:rPr>
        <w:t>中国银保监会《商业银行公司治理指引》《商业银行监事会工作指引》</w:t>
      </w:r>
      <w:r>
        <w:rPr>
          <w:rFonts w:ascii="仿宋_GB2312" w:eastAsia="仿宋_GB2312" w:hint="eastAsia"/>
          <w:color w:val="000000"/>
          <w:sz w:val="30"/>
          <w:szCs w:val="30"/>
        </w:rPr>
        <w:t>《商业银行董事履职评价办法（试行）》以及本行《董事履职评价办法》的规定</w:t>
      </w:r>
      <w:r>
        <w:rPr>
          <w:rFonts w:ascii="仿宋_GB2312" w:eastAsia="仿宋_GB2312"/>
          <w:color w:val="000000"/>
          <w:sz w:val="30"/>
          <w:szCs w:val="30"/>
        </w:rPr>
        <w:t>，</w:t>
      </w:r>
      <w:r>
        <w:rPr>
          <w:rFonts w:ascii="仿宋_GB2312" w:eastAsia="仿宋_GB2312" w:hint="eastAsia"/>
          <w:color w:val="000000"/>
          <w:sz w:val="30"/>
          <w:szCs w:val="30"/>
        </w:rPr>
        <w:t>本行监事会于2021年1月至2月组织开展了董事和高级管理人员2020年度履职评价工作，现将有关情况报告如下：</w:t>
      </w:r>
    </w:p>
    <w:p w:rsidR="00092652" w:rsidRDefault="0039522B">
      <w:pPr>
        <w:spacing w:line="540" w:lineRule="exact"/>
        <w:ind w:firstLineChars="200" w:firstLine="602"/>
        <w:rPr>
          <w:rFonts w:ascii="仿宋_GB2312" w:eastAsia="仿宋_GB2312"/>
          <w:b/>
          <w:bCs/>
          <w:color w:val="000000"/>
          <w:kern w:val="0"/>
          <w:sz w:val="30"/>
          <w:szCs w:val="30"/>
        </w:rPr>
      </w:pPr>
      <w:r>
        <w:rPr>
          <w:rFonts w:ascii="仿宋_GB2312" w:eastAsia="仿宋_GB2312" w:hint="eastAsia"/>
          <w:b/>
          <w:bCs/>
          <w:color w:val="000000"/>
          <w:kern w:val="0"/>
          <w:sz w:val="30"/>
          <w:szCs w:val="30"/>
        </w:rPr>
        <w:t>一、2020年度董事履职评价</w:t>
      </w:r>
    </w:p>
    <w:p w:rsidR="00092652" w:rsidRDefault="0039522B">
      <w:pPr>
        <w:spacing w:line="540" w:lineRule="exact"/>
        <w:ind w:firstLineChars="200" w:firstLine="602"/>
        <w:rPr>
          <w:rFonts w:ascii="仿宋_GB2312" w:eastAsia="仿宋_GB2312"/>
          <w:b/>
          <w:bCs/>
          <w:color w:val="000000"/>
          <w:kern w:val="0"/>
          <w:sz w:val="30"/>
          <w:szCs w:val="30"/>
        </w:rPr>
      </w:pPr>
      <w:r>
        <w:rPr>
          <w:rFonts w:ascii="仿宋_GB2312" w:eastAsia="仿宋_GB2312" w:hint="eastAsia"/>
          <w:b/>
          <w:bCs/>
          <w:color w:val="000000"/>
          <w:kern w:val="0"/>
          <w:sz w:val="30"/>
          <w:szCs w:val="30"/>
        </w:rPr>
        <w:t>（一）董事履职评价组织开展情况</w:t>
      </w:r>
    </w:p>
    <w:p w:rsidR="00092652" w:rsidRDefault="0039522B">
      <w:pPr>
        <w:spacing w:line="540" w:lineRule="exact"/>
        <w:ind w:firstLineChars="200" w:firstLine="562"/>
        <w:rPr>
          <w:rFonts w:ascii="仿宋_GB2312" w:eastAsia="仿宋_GB2312"/>
          <w:b/>
          <w:bCs/>
          <w:color w:val="000000"/>
          <w:kern w:val="0"/>
          <w:sz w:val="30"/>
          <w:szCs w:val="30"/>
        </w:rPr>
      </w:pPr>
      <w:r>
        <w:rPr>
          <w:rFonts w:eastAsia="仿宋_GB2312" w:hint="eastAsia"/>
          <w:b/>
          <w:bCs/>
          <w:sz w:val="28"/>
          <w:szCs w:val="28"/>
        </w:rPr>
        <w:t>1</w:t>
      </w:r>
      <w:r>
        <w:rPr>
          <w:rFonts w:eastAsia="仿宋_GB2312" w:hint="eastAsia"/>
          <w:b/>
          <w:bCs/>
          <w:sz w:val="28"/>
          <w:szCs w:val="28"/>
        </w:rPr>
        <w:t>、</w:t>
      </w:r>
      <w:r>
        <w:rPr>
          <w:rFonts w:ascii="仿宋_GB2312" w:eastAsia="仿宋_GB2312" w:hint="eastAsia"/>
          <w:b/>
          <w:bCs/>
          <w:color w:val="000000"/>
          <w:kern w:val="0"/>
          <w:sz w:val="30"/>
          <w:szCs w:val="30"/>
        </w:rPr>
        <w:t>董事履职评价过程</w:t>
      </w:r>
    </w:p>
    <w:p w:rsidR="00092652" w:rsidRDefault="0039522B">
      <w:pPr>
        <w:adjustRightInd w:val="0"/>
        <w:snapToGrid w:val="0"/>
        <w:spacing w:line="540" w:lineRule="exact"/>
        <w:ind w:firstLineChars="200" w:firstLine="600"/>
        <w:rPr>
          <w:rFonts w:ascii="仿宋_GB2312" w:eastAsia="仿宋_GB2312"/>
          <w:sz w:val="30"/>
          <w:szCs w:val="30"/>
        </w:rPr>
      </w:pPr>
      <w:r>
        <w:rPr>
          <w:rFonts w:ascii="仿宋_GB2312" w:eastAsia="仿宋_GB2312" w:hint="eastAsia"/>
          <w:bCs/>
          <w:kern w:val="0"/>
          <w:sz w:val="30"/>
          <w:szCs w:val="30"/>
        </w:rPr>
        <w:t>（1）发出履职评价通知。</w:t>
      </w:r>
      <w:r>
        <w:rPr>
          <w:rFonts w:ascii="仿宋_GB2312" w:eastAsia="仿宋_GB2312" w:hint="eastAsia"/>
          <w:sz w:val="30"/>
          <w:szCs w:val="30"/>
        </w:rPr>
        <w:t>根据本行《董事履职评价办法》，监事会于2021年1月向董事会发出开展2020年度董事履职评价工作的通知，请董事会及各位董事按照履职评价的要求，客观、公正地做好履职评价工作。</w:t>
      </w:r>
    </w:p>
    <w:p w:rsidR="00092652" w:rsidRDefault="0039522B">
      <w:pPr>
        <w:adjustRightInd w:val="0"/>
        <w:snapToGrid w:val="0"/>
        <w:spacing w:line="540" w:lineRule="exact"/>
        <w:ind w:firstLineChars="200" w:firstLine="600"/>
        <w:rPr>
          <w:rFonts w:ascii="仿宋_GB2312" w:eastAsia="仿宋_GB2312"/>
          <w:sz w:val="30"/>
          <w:szCs w:val="30"/>
        </w:rPr>
      </w:pPr>
      <w:r>
        <w:rPr>
          <w:rFonts w:ascii="仿宋_GB2312" w:eastAsia="仿宋_GB2312" w:hint="eastAsia"/>
          <w:bCs/>
          <w:kern w:val="0"/>
          <w:sz w:val="30"/>
          <w:szCs w:val="30"/>
        </w:rPr>
        <w:t>（2）材料准备。</w:t>
      </w:r>
      <w:r>
        <w:rPr>
          <w:rFonts w:ascii="仿宋_GB2312" w:eastAsia="仿宋_GB2312" w:hint="eastAsia"/>
          <w:sz w:val="30"/>
          <w:szCs w:val="30"/>
        </w:rPr>
        <w:t>董监事会办公室根据董事2020年度履职情况，汇总</w:t>
      </w:r>
      <w:r>
        <w:rPr>
          <w:rFonts w:ascii="仿宋_GB2312" w:eastAsia="仿宋_GB2312" w:hint="eastAsia"/>
          <w:bCs/>
          <w:kern w:val="0"/>
          <w:sz w:val="30"/>
          <w:szCs w:val="30"/>
        </w:rPr>
        <w:t>整理2020年董事会会议和调研记录等文件，形成</w:t>
      </w:r>
      <w:r>
        <w:rPr>
          <w:rFonts w:ascii="仿宋_GB2312" w:eastAsia="仿宋_GB2312" w:hint="eastAsia"/>
          <w:sz w:val="30"/>
          <w:szCs w:val="30"/>
        </w:rPr>
        <w:t>董事履职档案</w:t>
      </w:r>
      <w:r>
        <w:rPr>
          <w:rFonts w:ascii="仿宋_GB2312" w:eastAsia="仿宋_GB2312" w:hint="eastAsia"/>
          <w:bCs/>
          <w:kern w:val="0"/>
          <w:sz w:val="30"/>
          <w:szCs w:val="30"/>
        </w:rPr>
        <w:t>，结合其他履职信息，作为董事履职评价的依据材料。</w:t>
      </w:r>
    </w:p>
    <w:p w:rsidR="00092652" w:rsidRDefault="0039522B">
      <w:pPr>
        <w:adjustRightInd w:val="0"/>
        <w:snapToGrid w:val="0"/>
        <w:spacing w:line="540" w:lineRule="exact"/>
        <w:ind w:firstLineChars="200" w:firstLine="600"/>
        <w:rPr>
          <w:rFonts w:ascii="仿宋_GB2312" w:eastAsia="仿宋_GB2312"/>
          <w:bCs/>
          <w:kern w:val="0"/>
          <w:sz w:val="30"/>
          <w:szCs w:val="30"/>
        </w:rPr>
      </w:pPr>
      <w:r>
        <w:rPr>
          <w:rFonts w:ascii="仿宋_GB2312" w:eastAsia="仿宋_GB2312" w:hint="eastAsia"/>
          <w:bCs/>
          <w:kern w:val="0"/>
          <w:sz w:val="30"/>
          <w:szCs w:val="30"/>
        </w:rPr>
        <w:t>（3）董事自评和互评。2021年1月，各董事根据材料和实际工作情况，填写</w:t>
      </w:r>
      <w:r>
        <w:rPr>
          <w:rFonts w:ascii="仿宋_GB2312" w:eastAsia="仿宋_GB2312" w:hint="eastAsia"/>
          <w:sz w:val="30"/>
          <w:szCs w:val="30"/>
        </w:rPr>
        <w:t>《2020年度董事履职自评表》和《2020年度董事履职互评表》，对本人和其他董事的年度履职情况进行评价。独立董事还撰写了年度述职报告。</w:t>
      </w:r>
    </w:p>
    <w:p w:rsidR="00092652" w:rsidRDefault="0039522B">
      <w:pPr>
        <w:adjustRightInd w:val="0"/>
        <w:snapToGrid w:val="0"/>
        <w:spacing w:line="540" w:lineRule="exact"/>
        <w:ind w:firstLineChars="200" w:firstLine="600"/>
        <w:rPr>
          <w:rFonts w:ascii="仿宋_GB2312" w:eastAsia="仿宋_GB2312"/>
          <w:bCs/>
          <w:kern w:val="0"/>
          <w:sz w:val="30"/>
          <w:szCs w:val="30"/>
        </w:rPr>
      </w:pPr>
      <w:r>
        <w:rPr>
          <w:rFonts w:ascii="仿宋_GB2312" w:eastAsia="仿宋_GB2312" w:hint="eastAsia"/>
          <w:bCs/>
          <w:kern w:val="0"/>
          <w:sz w:val="30"/>
          <w:szCs w:val="30"/>
        </w:rPr>
        <w:lastRenderedPageBreak/>
        <w:t>（4）董事会评价。2021年3月，第九届董事会</w:t>
      </w:r>
      <w:r>
        <w:rPr>
          <w:rFonts w:ascii="仿宋_GB2312" w:eastAsia="仿宋_GB2312" w:hint="eastAsia"/>
          <w:bCs/>
          <w:color w:val="000000"/>
          <w:kern w:val="0"/>
          <w:sz w:val="30"/>
          <w:szCs w:val="30"/>
        </w:rPr>
        <w:t>第二十七次会议</w:t>
      </w:r>
      <w:r>
        <w:rPr>
          <w:rFonts w:ascii="仿宋_GB2312" w:eastAsia="仿宋_GB2312" w:hint="eastAsia"/>
          <w:bCs/>
          <w:kern w:val="0"/>
          <w:sz w:val="30"/>
          <w:szCs w:val="30"/>
        </w:rPr>
        <w:t>审议《2020年度董事履行职责情况的评价报告》，形成董事会对董事2020年度履职评价结果。会前，董监事会办公室将《2020年度董事履行职责情况的评价报告》（审议稿）以及董事履职情况统计表、董事履职自评表、董事履职互评表、独立董事述职报告等材料一并提交监事会。</w:t>
      </w:r>
    </w:p>
    <w:p w:rsidR="00092652" w:rsidRDefault="0039522B">
      <w:pPr>
        <w:adjustRightInd w:val="0"/>
        <w:snapToGrid w:val="0"/>
        <w:spacing w:line="540" w:lineRule="exact"/>
        <w:ind w:firstLineChars="200" w:firstLine="600"/>
        <w:rPr>
          <w:rFonts w:ascii="仿宋_GB2312" w:eastAsia="仿宋_GB2312"/>
          <w:bCs/>
          <w:kern w:val="0"/>
          <w:sz w:val="30"/>
          <w:szCs w:val="30"/>
        </w:rPr>
      </w:pPr>
      <w:r>
        <w:rPr>
          <w:rFonts w:ascii="仿宋_GB2312" w:eastAsia="仿宋_GB2312" w:hint="eastAsia"/>
          <w:bCs/>
          <w:kern w:val="0"/>
          <w:sz w:val="30"/>
          <w:szCs w:val="30"/>
        </w:rPr>
        <w:t>（5）监事会评价。2021年3月，</w:t>
      </w:r>
      <w:r>
        <w:rPr>
          <w:rFonts w:ascii="仿宋_GB2312" w:eastAsia="仿宋_GB2312" w:hint="eastAsia"/>
          <w:sz w:val="30"/>
          <w:szCs w:val="30"/>
        </w:rPr>
        <w:t>监事会在董事会评价的基础上，</w:t>
      </w:r>
      <w:r>
        <w:rPr>
          <w:rFonts w:ascii="仿宋_GB2312" w:eastAsia="仿宋_GB2312" w:hint="eastAsia"/>
          <w:bCs/>
          <w:kern w:val="0"/>
          <w:sz w:val="30"/>
          <w:szCs w:val="30"/>
        </w:rPr>
        <w:t>根据董事自评、互评结果以及董事日常履职的相关信息，综合形成对各董事上一年度履职评价结果。</w:t>
      </w:r>
    </w:p>
    <w:p w:rsidR="00092652" w:rsidRDefault="0039522B">
      <w:pPr>
        <w:adjustRightInd w:val="0"/>
        <w:snapToGrid w:val="0"/>
        <w:spacing w:line="540" w:lineRule="exact"/>
        <w:ind w:firstLineChars="200" w:firstLine="600"/>
        <w:rPr>
          <w:rFonts w:ascii="仿宋_GB2312" w:eastAsia="仿宋_GB2312"/>
          <w:color w:val="000000"/>
          <w:sz w:val="30"/>
          <w:szCs w:val="30"/>
        </w:rPr>
      </w:pPr>
      <w:r>
        <w:rPr>
          <w:rFonts w:ascii="仿宋_GB2312" w:eastAsia="仿宋_GB2312" w:hint="eastAsia"/>
          <w:bCs/>
          <w:kern w:val="0"/>
          <w:sz w:val="30"/>
          <w:szCs w:val="30"/>
        </w:rPr>
        <w:t>（6）评价结果反馈及报送。</w:t>
      </w:r>
      <w:r>
        <w:rPr>
          <w:rFonts w:ascii="仿宋_GB2312" w:eastAsia="仿宋_GB2312" w:hint="eastAsia"/>
          <w:bCs/>
          <w:color w:val="000000"/>
          <w:kern w:val="0"/>
          <w:sz w:val="30"/>
          <w:szCs w:val="30"/>
        </w:rPr>
        <w:t>监事会将</w:t>
      </w:r>
      <w:r>
        <w:rPr>
          <w:rFonts w:ascii="仿宋_GB2312" w:eastAsia="仿宋_GB2312" w:hint="eastAsia"/>
          <w:color w:val="000000"/>
          <w:sz w:val="30"/>
          <w:szCs w:val="30"/>
        </w:rPr>
        <w:t>审议《关于董事、高级管理人员2020年度履行职责情况的评价报告》，并将按照监管要求向股东大会和监管部门报告。</w:t>
      </w:r>
    </w:p>
    <w:p w:rsidR="00092652" w:rsidRDefault="0039522B">
      <w:pPr>
        <w:spacing w:line="540" w:lineRule="exact"/>
        <w:ind w:firstLineChars="200" w:firstLine="602"/>
        <w:rPr>
          <w:rFonts w:eastAsia="仿宋_GB2312"/>
          <w:color w:val="000000"/>
          <w:sz w:val="30"/>
          <w:szCs w:val="30"/>
        </w:rPr>
      </w:pPr>
      <w:r>
        <w:rPr>
          <w:rFonts w:ascii="仿宋_GB2312" w:eastAsia="仿宋_GB2312" w:hint="eastAsia"/>
          <w:b/>
          <w:bCs/>
          <w:color w:val="000000"/>
          <w:kern w:val="0"/>
          <w:sz w:val="30"/>
          <w:szCs w:val="30"/>
        </w:rPr>
        <w:t>2、董事履职评价依据</w:t>
      </w:r>
    </w:p>
    <w:p w:rsidR="00092652" w:rsidRDefault="0039522B">
      <w:pPr>
        <w:adjustRightInd w:val="0"/>
        <w:snapToGrid w:val="0"/>
        <w:spacing w:line="540" w:lineRule="exact"/>
        <w:ind w:firstLineChars="200" w:firstLine="600"/>
        <w:rPr>
          <w:rFonts w:ascii="仿宋_GB2312" w:eastAsia="仿宋_GB2312"/>
          <w:bCs/>
          <w:color w:val="000000"/>
          <w:kern w:val="0"/>
          <w:sz w:val="30"/>
          <w:szCs w:val="30"/>
        </w:rPr>
      </w:pPr>
      <w:r>
        <w:rPr>
          <w:rFonts w:ascii="仿宋_GB2312" w:eastAsia="仿宋_GB2312" w:hint="eastAsia"/>
          <w:bCs/>
          <w:color w:val="000000"/>
          <w:kern w:val="0"/>
          <w:sz w:val="30"/>
          <w:szCs w:val="30"/>
        </w:rPr>
        <w:t>根据本行《董事履职评价办法》，2020年度董事履职评价工作主要依据以下材料：</w:t>
      </w:r>
    </w:p>
    <w:p w:rsidR="00092652" w:rsidRDefault="0039522B">
      <w:pPr>
        <w:adjustRightInd w:val="0"/>
        <w:snapToGrid w:val="0"/>
        <w:spacing w:line="540" w:lineRule="exact"/>
        <w:ind w:firstLineChars="200" w:firstLine="600"/>
        <w:rPr>
          <w:rFonts w:ascii="仿宋_GB2312" w:eastAsia="仿宋_GB2312"/>
          <w:bCs/>
          <w:color w:val="000000"/>
          <w:kern w:val="0"/>
          <w:sz w:val="30"/>
          <w:szCs w:val="30"/>
        </w:rPr>
      </w:pPr>
      <w:r>
        <w:rPr>
          <w:rFonts w:eastAsia="仿宋_GB2312" w:hint="eastAsia"/>
          <w:bCs/>
          <w:color w:val="000000"/>
          <w:kern w:val="0"/>
          <w:sz w:val="30"/>
          <w:szCs w:val="30"/>
        </w:rPr>
        <w:t>（</w:t>
      </w:r>
      <w:r>
        <w:rPr>
          <w:rFonts w:ascii="仿宋_GB2312" w:eastAsia="仿宋_GB2312" w:hint="eastAsia"/>
          <w:bCs/>
          <w:color w:val="000000"/>
          <w:kern w:val="0"/>
          <w:sz w:val="30"/>
          <w:szCs w:val="30"/>
        </w:rPr>
        <w:t>1</w:t>
      </w:r>
      <w:r>
        <w:rPr>
          <w:rFonts w:eastAsia="仿宋_GB2312" w:hint="eastAsia"/>
          <w:bCs/>
          <w:color w:val="000000"/>
          <w:kern w:val="0"/>
          <w:sz w:val="30"/>
          <w:szCs w:val="30"/>
        </w:rPr>
        <w:t>）</w:t>
      </w:r>
      <w:r>
        <w:rPr>
          <w:rFonts w:ascii="仿宋_GB2312" w:eastAsia="仿宋_GB2312" w:hint="eastAsia"/>
          <w:bCs/>
          <w:color w:val="000000"/>
          <w:kern w:val="0"/>
          <w:sz w:val="30"/>
          <w:szCs w:val="30"/>
        </w:rPr>
        <w:t>董事出席股东大会、董事会及专门委员会会议的情况；</w:t>
      </w:r>
    </w:p>
    <w:p w:rsidR="00092652" w:rsidRDefault="0039522B">
      <w:pPr>
        <w:adjustRightInd w:val="0"/>
        <w:snapToGrid w:val="0"/>
        <w:spacing w:line="540" w:lineRule="exact"/>
        <w:ind w:firstLineChars="200" w:firstLine="600"/>
        <w:rPr>
          <w:rFonts w:ascii="仿宋_GB2312" w:eastAsia="仿宋_GB2312"/>
          <w:bCs/>
          <w:color w:val="000000"/>
          <w:kern w:val="0"/>
          <w:sz w:val="30"/>
          <w:szCs w:val="30"/>
        </w:rPr>
      </w:pPr>
      <w:r>
        <w:rPr>
          <w:rFonts w:ascii="仿宋_GB2312" w:eastAsia="仿宋_GB2312" w:hint="eastAsia"/>
          <w:bCs/>
          <w:color w:val="000000"/>
          <w:kern w:val="0"/>
          <w:sz w:val="30"/>
          <w:szCs w:val="30"/>
        </w:rPr>
        <w:t>（2）股东大会、董事会及专门委员会会议文件、会议记录和会议决议等相关材料；</w:t>
      </w:r>
    </w:p>
    <w:p w:rsidR="00092652" w:rsidRDefault="0039522B">
      <w:pPr>
        <w:adjustRightInd w:val="0"/>
        <w:snapToGrid w:val="0"/>
        <w:spacing w:line="540" w:lineRule="exact"/>
        <w:ind w:firstLineChars="200" w:firstLine="600"/>
        <w:rPr>
          <w:rFonts w:ascii="仿宋_GB2312" w:eastAsia="仿宋_GB2312"/>
          <w:bCs/>
          <w:color w:val="000000"/>
          <w:kern w:val="0"/>
          <w:sz w:val="30"/>
          <w:szCs w:val="30"/>
        </w:rPr>
      </w:pPr>
      <w:r>
        <w:rPr>
          <w:rFonts w:ascii="仿宋_GB2312" w:eastAsia="仿宋_GB2312" w:hint="eastAsia"/>
          <w:bCs/>
          <w:color w:val="000000"/>
          <w:kern w:val="0"/>
          <w:sz w:val="30"/>
          <w:szCs w:val="30"/>
        </w:rPr>
        <w:t>（3）董事在董事会及专门委员会会议上以及闭会期间对会议审议事项和本行经营管理提出的意见和建议；</w:t>
      </w:r>
    </w:p>
    <w:p w:rsidR="00092652" w:rsidRDefault="0039522B">
      <w:pPr>
        <w:adjustRightInd w:val="0"/>
        <w:snapToGrid w:val="0"/>
        <w:spacing w:line="540" w:lineRule="exact"/>
        <w:ind w:firstLineChars="200" w:firstLine="600"/>
        <w:rPr>
          <w:rFonts w:ascii="仿宋_GB2312" w:eastAsia="仿宋_GB2312"/>
          <w:bCs/>
          <w:color w:val="000000"/>
          <w:kern w:val="0"/>
          <w:sz w:val="30"/>
          <w:szCs w:val="30"/>
        </w:rPr>
      </w:pPr>
      <w:r>
        <w:rPr>
          <w:rFonts w:ascii="仿宋_GB2312" w:eastAsia="仿宋_GB2312" w:hint="eastAsia"/>
          <w:bCs/>
          <w:color w:val="000000"/>
          <w:kern w:val="0"/>
          <w:sz w:val="30"/>
          <w:szCs w:val="30"/>
        </w:rPr>
        <w:t>（4）董事参加本行董事会或监管部门组织的会谈、考察、调研及培训等活动的情况；</w:t>
      </w:r>
    </w:p>
    <w:p w:rsidR="00092652" w:rsidRDefault="0039522B">
      <w:pPr>
        <w:adjustRightInd w:val="0"/>
        <w:snapToGrid w:val="0"/>
        <w:spacing w:line="540" w:lineRule="exact"/>
        <w:ind w:firstLineChars="200" w:firstLine="600"/>
        <w:rPr>
          <w:rFonts w:ascii="仿宋_GB2312" w:eastAsia="仿宋_GB2312"/>
          <w:bCs/>
          <w:color w:val="000000"/>
          <w:kern w:val="0"/>
          <w:sz w:val="30"/>
          <w:szCs w:val="30"/>
        </w:rPr>
      </w:pPr>
      <w:r>
        <w:rPr>
          <w:rFonts w:ascii="仿宋_GB2312" w:eastAsia="仿宋_GB2312" w:hint="eastAsia"/>
          <w:bCs/>
          <w:color w:val="000000"/>
          <w:kern w:val="0"/>
          <w:sz w:val="30"/>
          <w:szCs w:val="30"/>
        </w:rPr>
        <w:t>（5）独立董事对有关重大事项发表独立意见的情况；</w:t>
      </w:r>
    </w:p>
    <w:p w:rsidR="00092652" w:rsidRDefault="0039522B">
      <w:pPr>
        <w:adjustRightInd w:val="0"/>
        <w:snapToGrid w:val="0"/>
        <w:spacing w:line="540" w:lineRule="exact"/>
        <w:ind w:firstLineChars="200" w:firstLine="600"/>
        <w:rPr>
          <w:rFonts w:ascii="仿宋_GB2312" w:eastAsia="仿宋_GB2312"/>
          <w:bCs/>
          <w:color w:val="000000"/>
          <w:kern w:val="0"/>
          <w:sz w:val="30"/>
          <w:szCs w:val="30"/>
        </w:rPr>
      </w:pPr>
      <w:r>
        <w:rPr>
          <w:rFonts w:ascii="仿宋_GB2312" w:eastAsia="仿宋_GB2312" w:hint="eastAsia"/>
          <w:bCs/>
          <w:color w:val="000000"/>
          <w:kern w:val="0"/>
          <w:sz w:val="30"/>
          <w:szCs w:val="30"/>
        </w:rPr>
        <w:t>（6）董事在董事会闭会期间审阅材料情况及与各方沟通情况；</w:t>
      </w:r>
    </w:p>
    <w:p w:rsidR="00092652" w:rsidRDefault="0039522B">
      <w:pPr>
        <w:adjustRightInd w:val="0"/>
        <w:snapToGrid w:val="0"/>
        <w:spacing w:line="540" w:lineRule="exact"/>
        <w:ind w:firstLineChars="200" w:firstLine="600"/>
        <w:rPr>
          <w:rFonts w:ascii="仿宋_GB2312" w:eastAsia="仿宋_GB2312"/>
          <w:bCs/>
          <w:color w:val="000000"/>
          <w:kern w:val="0"/>
          <w:sz w:val="30"/>
          <w:szCs w:val="30"/>
        </w:rPr>
      </w:pPr>
      <w:r>
        <w:rPr>
          <w:rFonts w:ascii="仿宋_GB2312" w:eastAsia="仿宋_GB2312" w:hint="eastAsia"/>
          <w:bCs/>
          <w:color w:val="000000"/>
          <w:kern w:val="0"/>
          <w:sz w:val="30"/>
          <w:szCs w:val="30"/>
        </w:rPr>
        <w:lastRenderedPageBreak/>
        <w:t>（7）董事年度信息披露情况，包括在定期报告和临时公告中披露的关联交易和任职信息等情况；</w:t>
      </w:r>
    </w:p>
    <w:p w:rsidR="00092652" w:rsidRDefault="0039522B">
      <w:pPr>
        <w:adjustRightInd w:val="0"/>
        <w:snapToGrid w:val="0"/>
        <w:spacing w:line="540" w:lineRule="exact"/>
        <w:ind w:firstLineChars="200" w:firstLine="600"/>
        <w:rPr>
          <w:rFonts w:ascii="仿宋_GB2312" w:eastAsia="仿宋_GB2312"/>
          <w:bCs/>
          <w:color w:val="000000"/>
          <w:kern w:val="0"/>
          <w:sz w:val="30"/>
          <w:szCs w:val="30"/>
        </w:rPr>
      </w:pPr>
      <w:r>
        <w:rPr>
          <w:rFonts w:ascii="仿宋_GB2312" w:eastAsia="仿宋_GB2312" w:hint="eastAsia"/>
          <w:bCs/>
          <w:color w:val="000000"/>
          <w:kern w:val="0"/>
          <w:sz w:val="30"/>
          <w:szCs w:val="30"/>
        </w:rPr>
        <w:t>（8）本行监事会在日常工作基础上，通过调阅材料、征求意见等方式了解到的董事履职相关情况；</w:t>
      </w:r>
    </w:p>
    <w:p w:rsidR="00092652" w:rsidRDefault="0039522B">
      <w:pPr>
        <w:adjustRightInd w:val="0"/>
        <w:snapToGrid w:val="0"/>
        <w:spacing w:line="540" w:lineRule="exact"/>
        <w:ind w:firstLineChars="200" w:firstLine="600"/>
        <w:rPr>
          <w:rFonts w:ascii="仿宋_GB2312" w:eastAsia="仿宋_GB2312"/>
          <w:bCs/>
          <w:color w:val="000000"/>
          <w:kern w:val="0"/>
          <w:sz w:val="30"/>
          <w:szCs w:val="30"/>
        </w:rPr>
      </w:pPr>
      <w:r>
        <w:rPr>
          <w:rFonts w:ascii="仿宋_GB2312" w:eastAsia="仿宋_GB2312" w:hint="eastAsia"/>
          <w:bCs/>
          <w:color w:val="000000"/>
          <w:kern w:val="0"/>
          <w:sz w:val="30"/>
          <w:szCs w:val="30"/>
        </w:rPr>
        <w:t>（9）董事年度履职评价信息，包括董事履职情况统计表，董事年度履职自评表、互评表，独立董事述职报告，董事会对董事年度履职评价报告，董事会年度工作报告等。</w:t>
      </w:r>
    </w:p>
    <w:p w:rsidR="00092652" w:rsidRDefault="0039522B">
      <w:pPr>
        <w:spacing w:line="540" w:lineRule="exact"/>
        <w:ind w:firstLineChars="200" w:firstLine="602"/>
        <w:rPr>
          <w:rFonts w:ascii="仿宋_GB2312" w:eastAsia="仿宋_GB2312"/>
          <w:b/>
          <w:bCs/>
          <w:color w:val="000000"/>
          <w:kern w:val="0"/>
          <w:sz w:val="30"/>
          <w:szCs w:val="30"/>
        </w:rPr>
      </w:pPr>
      <w:r>
        <w:rPr>
          <w:rFonts w:ascii="仿宋_GB2312" w:eastAsia="仿宋_GB2312" w:hint="eastAsia"/>
          <w:b/>
          <w:bCs/>
          <w:color w:val="000000"/>
          <w:kern w:val="0"/>
          <w:sz w:val="30"/>
          <w:szCs w:val="30"/>
        </w:rPr>
        <w:t>（二）2020年度董事履职情况</w:t>
      </w:r>
    </w:p>
    <w:p w:rsidR="00092652" w:rsidRDefault="0039522B">
      <w:pPr>
        <w:adjustRightInd w:val="0"/>
        <w:snapToGrid w:val="0"/>
        <w:spacing w:line="540" w:lineRule="exact"/>
        <w:ind w:firstLineChars="200" w:firstLine="602"/>
        <w:rPr>
          <w:rFonts w:ascii="仿宋_GB2312" w:eastAsia="仿宋_GB2312"/>
          <w:b/>
          <w:bCs/>
          <w:color w:val="000000"/>
          <w:kern w:val="0"/>
          <w:sz w:val="30"/>
          <w:szCs w:val="30"/>
        </w:rPr>
      </w:pPr>
      <w:r>
        <w:rPr>
          <w:rFonts w:ascii="仿宋_GB2312" w:eastAsia="仿宋_GB2312" w:hint="eastAsia"/>
          <w:b/>
          <w:bCs/>
          <w:color w:val="000000"/>
          <w:kern w:val="0"/>
          <w:sz w:val="30"/>
          <w:szCs w:val="30"/>
        </w:rPr>
        <w:t>1、董事履行忠实义务的情况。</w:t>
      </w:r>
    </w:p>
    <w:p w:rsidR="00092652" w:rsidRDefault="0039522B">
      <w:pPr>
        <w:adjustRightInd w:val="0"/>
        <w:snapToGrid w:val="0"/>
        <w:spacing w:line="540" w:lineRule="exact"/>
        <w:ind w:firstLineChars="200" w:firstLine="600"/>
        <w:rPr>
          <w:rFonts w:ascii="仿宋_GB2312" w:eastAsia="仿宋_GB2312"/>
          <w:bCs/>
          <w:color w:val="000000"/>
          <w:kern w:val="0"/>
          <w:sz w:val="30"/>
          <w:szCs w:val="30"/>
        </w:rPr>
      </w:pPr>
      <w:r>
        <w:rPr>
          <w:rFonts w:ascii="仿宋_GB2312" w:eastAsia="仿宋_GB2312" w:hint="eastAsia"/>
          <w:bCs/>
          <w:color w:val="000000"/>
          <w:kern w:val="0"/>
          <w:sz w:val="30"/>
          <w:szCs w:val="30"/>
        </w:rPr>
        <w:t>2020年，监事会未发现董事的本、兼职与其在本行的任职存在利益冲突，未发现董事有</w:t>
      </w:r>
      <w:r>
        <w:rPr>
          <w:rFonts w:ascii="仿宋_GB2312" w:eastAsia="仿宋_GB2312"/>
          <w:bCs/>
          <w:color w:val="000000"/>
          <w:kern w:val="0"/>
          <w:sz w:val="30"/>
          <w:szCs w:val="30"/>
        </w:rPr>
        <w:t>利用</w:t>
      </w:r>
      <w:r>
        <w:rPr>
          <w:rFonts w:ascii="仿宋_GB2312" w:eastAsia="仿宋_GB2312" w:hint="eastAsia"/>
          <w:bCs/>
          <w:color w:val="000000"/>
          <w:kern w:val="0"/>
          <w:sz w:val="30"/>
          <w:szCs w:val="30"/>
        </w:rPr>
        <w:t>其在本行的地位和</w:t>
      </w:r>
      <w:r>
        <w:rPr>
          <w:rFonts w:ascii="仿宋_GB2312" w:eastAsia="仿宋_GB2312"/>
          <w:bCs/>
          <w:color w:val="000000"/>
          <w:kern w:val="0"/>
          <w:sz w:val="30"/>
          <w:szCs w:val="30"/>
        </w:rPr>
        <w:t>职权</w:t>
      </w:r>
      <w:r>
        <w:rPr>
          <w:rFonts w:ascii="仿宋_GB2312" w:eastAsia="仿宋_GB2312" w:hint="eastAsia"/>
          <w:bCs/>
          <w:color w:val="000000"/>
          <w:kern w:val="0"/>
          <w:sz w:val="30"/>
          <w:szCs w:val="30"/>
        </w:rPr>
        <w:t>谋取私利、</w:t>
      </w:r>
      <w:r>
        <w:rPr>
          <w:rFonts w:ascii="仿宋_GB2312" w:eastAsia="仿宋_GB2312"/>
          <w:bCs/>
          <w:color w:val="000000"/>
          <w:kern w:val="0"/>
          <w:sz w:val="30"/>
          <w:szCs w:val="30"/>
        </w:rPr>
        <w:t>利用关联关系损害</w:t>
      </w:r>
      <w:r>
        <w:rPr>
          <w:rFonts w:ascii="仿宋_GB2312" w:eastAsia="仿宋_GB2312" w:hint="eastAsia"/>
          <w:bCs/>
          <w:color w:val="000000"/>
          <w:kern w:val="0"/>
          <w:sz w:val="30"/>
          <w:szCs w:val="30"/>
        </w:rPr>
        <w:t>本行</w:t>
      </w:r>
      <w:r>
        <w:rPr>
          <w:rFonts w:ascii="仿宋_GB2312" w:eastAsia="仿宋_GB2312"/>
          <w:bCs/>
          <w:color w:val="000000"/>
          <w:kern w:val="0"/>
          <w:sz w:val="30"/>
          <w:szCs w:val="30"/>
        </w:rPr>
        <w:t>利益</w:t>
      </w:r>
      <w:r>
        <w:rPr>
          <w:rFonts w:ascii="仿宋_GB2312" w:eastAsia="仿宋_GB2312" w:hint="eastAsia"/>
          <w:bCs/>
          <w:color w:val="000000"/>
          <w:kern w:val="0"/>
          <w:sz w:val="30"/>
          <w:szCs w:val="30"/>
        </w:rPr>
        <w:t>、接受不正当利益、泄露本行</w:t>
      </w:r>
      <w:r>
        <w:rPr>
          <w:rFonts w:ascii="仿宋_GB2312" w:eastAsia="仿宋_GB2312"/>
          <w:bCs/>
          <w:color w:val="000000"/>
          <w:kern w:val="0"/>
          <w:sz w:val="30"/>
          <w:szCs w:val="30"/>
        </w:rPr>
        <w:t>秘密</w:t>
      </w:r>
      <w:r>
        <w:rPr>
          <w:rFonts w:ascii="仿宋_GB2312" w:eastAsia="仿宋_GB2312" w:hint="eastAsia"/>
          <w:bCs/>
          <w:color w:val="000000"/>
          <w:kern w:val="0"/>
          <w:sz w:val="30"/>
          <w:szCs w:val="30"/>
        </w:rPr>
        <w:t>或其他违反法律、法规</w:t>
      </w:r>
      <w:r>
        <w:rPr>
          <w:rFonts w:ascii="仿宋_GB2312" w:eastAsia="仿宋_GB2312"/>
          <w:bCs/>
          <w:color w:val="000000"/>
          <w:kern w:val="0"/>
          <w:sz w:val="30"/>
          <w:szCs w:val="30"/>
        </w:rPr>
        <w:t>及</w:t>
      </w:r>
      <w:r>
        <w:rPr>
          <w:rFonts w:ascii="仿宋_GB2312" w:eastAsia="仿宋_GB2312" w:hint="eastAsia"/>
          <w:bCs/>
          <w:color w:val="000000"/>
          <w:kern w:val="0"/>
          <w:sz w:val="30"/>
          <w:szCs w:val="30"/>
        </w:rPr>
        <w:t>本行章程</w:t>
      </w:r>
      <w:r>
        <w:rPr>
          <w:rFonts w:ascii="仿宋_GB2312" w:eastAsia="仿宋_GB2312"/>
          <w:bCs/>
          <w:color w:val="000000"/>
          <w:kern w:val="0"/>
          <w:sz w:val="30"/>
          <w:szCs w:val="30"/>
        </w:rPr>
        <w:t>规定的忠实义务</w:t>
      </w:r>
      <w:r>
        <w:rPr>
          <w:rFonts w:ascii="仿宋_GB2312" w:eastAsia="仿宋_GB2312" w:hint="eastAsia"/>
          <w:bCs/>
          <w:color w:val="000000"/>
          <w:kern w:val="0"/>
          <w:sz w:val="30"/>
          <w:szCs w:val="30"/>
        </w:rPr>
        <w:t>的行为。</w:t>
      </w:r>
    </w:p>
    <w:p w:rsidR="00092652" w:rsidRDefault="0039522B">
      <w:pPr>
        <w:spacing w:line="540" w:lineRule="exact"/>
        <w:ind w:firstLineChars="196" w:firstLine="590"/>
        <w:jc w:val="left"/>
        <w:rPr>
          <w:rFonts w:eastAsia="仿宋_GB2312"/>
          <w:b/>
          <w:bCs/>
          <w:sz w:val="30"/>
          <w:szCs w:val="30"/>
        </w:rPr>
      </w:pPr>
      <w:r>
        <w:rPr>
          <w:rFonts w:ascii="仿宋_GB2312" w:eastAsia="仿宋_GB2312" w:hint="eastAsia"/>
          <w:b/>
          <w:sz w:val="30"/>
          <w:szCs w:val="30"/>
        </w:rPr>
        <w:t>2、</w:t>
      </w:r>
      <w:r>
        <w:rPr>
          <w:rFonts w:eastAsia="仿宋_GB2312" w:hint="eastAsia"/>
          <w:b/>
          <w:bCs/>
          <w:sz w:val="30"/>
          <w:szCs w:val="30"/>
        </w:rPr>
        <w:t>董事履行勤勉义务的情况</w:t>
      </w:r>
    </w:p>
    <w:p w:rsidR="00092652" w:rsidRDefault="0039522B">
      <w:pPr>
        <w:snapToGrid w:val="0"/>
        <w:spacing w:line="540" w:lineRule="exact"/>
        <w:ind w:firstLineChars="200" w:firstLine="600"/>
        <w:rPr>
          <w:rFonts w:ascii="仿宋_GB2312" w:eastAsia="仿宋_GB2312" w:hAnsi="宋体"/>
          <w:sz w:val="30"/>
          <w:szCs w:val="30"/>
        </w:rPr>
      </w:pPr>
      <w:r>
        <w:rPr>
          <w:rFonts w:ascii="仿宋_GB2312" w:eastAsia="仿宋_GB2312" w:hAnsi="宋体" w:hint="eastAsia"/>
          <w:sz w:val="30"/>
          <w:szCs w:val="30"/>
        </w:rPr>
        <w:t>2020</w:t>
      </w:r>
      <w:r>
        <w:rPr>
          <w:rFonts w:ascii="仿宋_GB2312" w:eastAsia="仿宋_GB2312" w:hAnsi="宋体"/>
          <w:sz w:val="30"/>
          <w:szCs w:val="30"/>
        </w:rPr>
        <w:t>年，本行共召开董事会会议</w:t>
      </w:r>
      <w:r>
        <w:rPr>
          <w:rFonts w:ascii="仿宋_GB2312" w:eastAsia="仿宋_GB2312" w:hAnsi="宋体" w:hint="eastAsia"/>
          <w:sz w:val="30"/>
          <w:szCs w:val="30"/>
        </w:rPr>
        <w:t>7</w:t>
      </w:r>
      <w:r>
        <w:rPr>
          <w:rFonts w:ascii="仿宋_GB2312" w:eastAsia="仿宋_GB2312" w:hAnsi="宋体"/>
          <w:sz w:val="30"/>
          <w:szCs w:val="30"/>
        </w:rPr>
        <w:t>次，其中董事出席率</w:t>
      </w:r>
      <w:r>
        <w:rPr>
          <w:rFonts w:ascii="仿宋_GB2312" w:eastAsia="仿宋_GB2312" w:hAnsi="宋体" w:hint="eastAsia"/>
          <w:sz w:val="30"/>
          <w:szCs w:val="30"/>
        </w:rPr>
        <w:t>100</w:t>
      </w:r>
      <w:r>
        <w:rPr>
          <w:rFonts w:ascii="仿宋_GB2312" w:eastAsia="仿宋_GB2312" w:hAnsi="宋体"/>
          <w:sz w:val="30"/>
          <w:szCs w:val="30"/>
        </w:rPr>
        <w:t>%，亲自出席率</w:t>
      </w:r>
      <w:r>
        <w:rPr>
          <w:rFonts w:ascii="仿宋_GB2312" w:eastAsia="仿宋_GB2312" w:hAnsi="宋体" w:hint="eastAsia"/>
          <w:sz w:val="30"/>
          <w:szCs w:val="30"/>
        </w:rPr>
        <w:t>96.77</w:t>
      </w:r>
      <w:r>
        <w:rPr>
          <w:rFonts w:ascii="仿宋_GB2312" w:eastAsia="仿宋_GB2312" w:hAnsi="宋体"/>
          <w:sz w:val="30"/>
          <w:szCs w:val="30"/>
        </w:rPr>
        <w:t>%；召开董事会各委员会会议</w:t>
      </w:r>
      <w:r>
        <w:rPr>
          <w:rFonts w:ascii="仿宋_GB2312" w:eastAsia="仿宋_GB2312" w:hAnsi="宋体" w:hint="eastAsia"/>
          <w:sz w:val="30"/>
          <w:szCs w:val="30"/>
        </w:rPr>
        <w:t>22</w:t>
      </w:r>
      <w:r>
        <w:rPr>
          <w:rFonts w:ascii="仿宋_GB2312" w:eastAsia="仿宋_GB2312" w:hAnsi="宋体"/>
          <w:sz w:val="30"/>
          <w:szCs w:val="30"/>
        </w:rPr>
        <w:t>次，其中</w:t>
      </w:r>
      <w:r>
        <w:rPr>
          <w:rFonts w:ascii="仿宋_GB2312" w:eastAsia="仿宋_GB2312" w:hAnsi="宋体" w:hint="eastAsia"/>
          <w:sz w:val="30"/>
          <w:szCs w:val="30"/>
        </w:rPr>
        <w:t>委员</w:t>
      </w:r>
      <w:r>
        <w:rPr>
          <w:rFonts w:ascii="仿宋_GB2312" w:eastAsia="仿宋_GB2312" w:hAnsi="宋体"/>
          <w:sz w:val="30"/>
          <w:szCs w:val="30"/>
        </w:rPr>
        <w:t>出席率</w:t>
      </w:r>
      <w:r>
        <w:rPr>
          <w:rFonts w:ascii="仿宋_GB2312" w:eastAsia="仿宋_GB2312" w:hAnsi="宋体" w:hint="eastAsia"/>
          <w:sz w:val="30"/>
          <w:szCs w:val="30"/>
        </w:rPr>
        <w:t>100</w:t>
      </w:r>
      <w:r>
        <w:rPr>
          <w:rFonts w:ascii="仿宋_GB2312" w:eastAsia="仿宋_GB2312" w:hAnsi="宋体"/>
          <w:sz w:val="30"/>
          <w:szCs w:val="30"/>
        </w:rPr>
        <w:t>%，亲自出席率</w:t>
      </w:r>
      <w:r>
        <w:rPr>
          <w:rFonts w:ascii="仿宋_GB2312" w:eastAsia="仿宋_GB2312" w:hAnsi="宋体" w:hint="eastAsia"/>
          <w:sz w:val="30"/>
          <w:szCs w:val="30"/>
        </w:rPr>
        <w:t>94.17</w:t>
      </w:r>
      <w:r>
        <w:rPr>
          <w:rFonts w:ascii="仿宋_GB2312" w:eastAsia="仿宋_GB2312" w:hAnsi="宋体"/>
          <w:sz w:val="30"/>
          <w:szCs w:val="30"/>
        </w:rPr>
        <w:t>%。</w:t>
      </w:r>
      <w:r>
        <w:rPr>
          <w:rFonts w:ascii="仿宋_GB2312" w:eastAsia="仿宋_GB2312" w:hint="eastAsia"/>
          <w:sz w:val="30"/>
          <w:szCs w:val="30"/>
        </w:rPr>
        <w:t>各位董事能够</w:t>
      </w:r>
      <w:r>
        <w:rPr>
          <w:rFonts w:ascii="仿宋_GB2312" w:eastAsia="仿宋_GB2312"/>
          <w:sz w:val="30"/>
          <w:szCs w:val="30"/>
        </w:rPr>
        <w:t>客观、公正</w:t>
      </w:r>
      <w:r>
        <w:rPr>
          <w:rFonts w:ascii="仿宋_GB2312" w:eastAsia="仿宋_GB2312" w:hint="eastAsia"/>
          <w:sz w:val="30"/>
          <w:szCs w:val="30"/>
        </w:rPr>
        <w:t>地对本行重大决策事项发表意见,积极</w:t>
      </w:r>
      <w:r>
        <w:rPr>
          <w:rFonts w:ascii="仿宋_GB2312" w:eastAsia="仿宋_GB2312"/>
          <w:sz w:val="30"/>
          <w:szCs w:val="30"/>
        </w:rPr>
        <w:t>关注董事会</w:t>
      </w:r>
      <w:r>
        <w:rPr>
          <w:rFonts w:ascii="仿宋_GB2312" w:eastAsia="仿宋_GB2312" w:hint="eastAsia"/>
          <w:sz w:val="30"/>
          <w:szCs w:val="30"/>
        </w:rPr>
        <w:t>决策程序的合法性和合规性。担任董事会下设委员会委员的董事能够积极参加委员会工作。未发现董事存在违反</w:t>
      </w:r>
      <w:r>
        <w:rPr>
          <w:rFonts w:ascii="仿宋_GB2312" w:eastAsia="仿宋_GB2312"/>
          <w:sz w:val="30"/>
          <w:szCs w:val="30"/>
        </w:rPr>
        <w:t>法律、法规及本</w:t>
      </w:r>
      <w:r>
        <w:rPr>
          <w:rFonts w:ascii="仿宋_GB2312" w:eastAsia="仿宋_GB2312" w:hint="eastAsia"/>
          <w:sz w:val="30"/>
          <w:szCs w:val="30"/>
        </w:rPr>
        <w:t>行</w:t>
      </w:r>
      <w:r>
        <w:rPr>
          <w:rFonts w:ascii="仿宋_GB2312" w:eastAsia="仿宋_GB2312"/>
          <w:sz w:val="30"/>
          <w:szCs w:val="30"/>
        </w:rPr>
        <w:t>章程规定</w:t>
      </w:r>
      <w:r>
        <w:rPr>
          <w:rFonts w:ascii="仿宋_GB2312" w:eastAsia="仿宋_GB2312" w:hint="eastAsia"/>
          <w:sz w:val="30"/>
          <w:szCs w:val="30"/>
        </w:rPr>
        <w:t>的勤勉</w:t>
      </w:r>
      <w:r>
        <w:rPr>
          <w:rFonts w:ascii="仿宋_GB2312" w:eastAsia="仿宋_GB2312"/>
          <w:sz w:val="30"/>
          <w:szCs w:val="30"/>
        </w:rPr>
        <w:t>义务</w:t>
      </w:r>
      <w:r>
        <w:rPr>
          <w:rFonts w:ascii="仿宋_GB2312" w:eastAsia="仿宋_GB2312" w:hint="eastAsia"/>
          <w:sz w:val="30"/>
          <w:szCs w:val="30"/>
        </w:rPr>
        <w:t>的行为。</w:t>
      </w:r>
    </w:p>
    <w:p w:rsidR="00092652" w:rsidRDefault="0039522B">
      <w:pPr>
        <w:spacing w:line="540" w:lineRule="exact"/>
        <w:ind w:firstLineChars="196" w:firstLine="590"/>
        <w:jc w:val="left"/>
        <w:rPr>
          <w:rFonts w:ascii="仿宋_GB2312" w:eastAsia="仿宋_GB2312"/>
          <w:b/>
          <w:color w:val="000000"/>
          <w:sz w:val="30"/>
          <w:szCs w:val="30"/>
        </w:rPr>
      </w:pPr>
      <w:r>
        <w:rPr>
          <w:rFonts w:ascii="仿宋_GB2312" w:eastAsia="仿宋_GB2312" w:hint="eastAsia"/>
          <w:b/>
          <w:color w:val="000000"/>
          <w:sz w:val="30"/>
          <w:szCs w:val="30"/>
        </w:rPr>
        <w:t>3、董事履职合规性及道德水准情况</w:t>
      </w:r>
    </w:p>
    <w:p w:rsidR="00092652" w:rsidRDefault="0039522B">
      <w:pPr>
        <w:spacing w:line="540" w:lineRule="exact"/>
        <w:ind w:firstLineChars="196" w:firstLine="588"/>
        <w:jc w:val="left"/>
        <w:rPr>
          <w:rFonts w:ascii="仿宋_GB2312" w:eastAsia="仿宋_GB2312"/>
          <w:color w:val="000000"/>
          <w:sz w:val="30"/>
          <w:szCs w:val="30"/>
        </w:rPr>
      </w:pPr>
      <w:r>
        <w:rPr>
          <w:rFonts w:ascii="仿宋_GB2312" w:eastAsia="仿宋_GB2312" w:hint="eastAsia"/>
          <w:color w:val="000000"/>
          <w:sz w:val="30"/>
          <w:szCs w:val="30"/>
        </w:rPr>
        <w:t>2020年，全体董事遵守法律法规、监管规定及本行章程，依法合规履行职责，并通过审议和听取议题、提出意见和建议等方式持续推动和监督本行守法合规经营。在履职过程中，全体董</w:t>
      </w:r>
      <w:r>
        <w:rPr>
          <w:rFonts w:ascii="仿宋_GB2312" w:eastAsia="仿宋_GB2312" w:hint="eastAsia"/>
          <w:color w:val="000000"/>
          <w:sz w:val="30"/>
          <w:szCs w:val="30"/>
        </w:rPr>
        <w:lastRenderedPageBreak/>
        <w:t>事能够坚持高标准的职业道德准则，推动本行公平对待全体股东、维护利益相关者的合法权益、积极履行社会责任。</w:t>
      </w:r>
    </w:p>
    <w:p w:rsidR="00092652" w:rsidRDefault="0039522B">
      <w:pPr>
        <w:spacing w:line="540" w:lineRule="exact"/>
        <w:ind w:firstLineChars="196" w:firstLine="590"/>
        <w:jc w:val="left"/>
        <w:rPr>
          <w:rFonts w:ascii="仿宋_GB2312" w:eastAsia="仿宋_GB2312"/>
          <w:b/>
          <w:color w:val="000000"/>
          <w:sz w:val="30"/>
          <w:szCs w:val="30"/>
        </w:rPr>
      </w:pPr>
      <w:r>
        <w:rPr>
          <w:rFonts w:ascii="仿宋_GB2312" w:eastAsia="仿宋_GB2312" w:hint="eastAsia"/>
          <w:b/>
          <w:color w:val="000000"/>
          <w:sz w:val="30"/>
          <w:szCs w:val="30"/>
        </w:rPr>
        <w:t>4、董事履职具体情况</w:t>
      </w:r>
    </w:p>
    <w:p w:rsidR="00092652" w:rsidRDefault="0039522B">
      <w:pPr>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2020年，董事会及全体董事认真、勤勉履职，严格依照法律法规、公司章程以及相关监管文件的规定，全面履行有关战略制定、经营管理、财务管理、利润分配、资本管理、风险管理、内部控制、关联交易、流动性管理、案件防控、反洗钱、消费者权益保护、并表管理、数据治理等职责，认真执行股东大会决议，具体如下：</w:t>
      </w:r>
    </w:p>
    <w:p w:rsidR="00092652" w:rsidRDefault="0039522B">
      <w:pPr>
        <w:spacing w:line="540" w:lineRule="exact"/>
        <w:ind w:firstLineChars="200" w:firstLine="600"/>
        <w:rPr>
          <w:rFonts w:ascii="仿宋_GB2312" w:eastAsia="仿宋_GB2312" w:hAnsi="宋体"/>
          <w:color w:val="000000"/>
          <w:sz w:val="30"/>
          <w:szCs w:val="30"/>
        </w:rPr>
      </w:pPr>
      <w:r>
        <w:rPr>
          <w:rFonts w:ascii="仿宋_GB2312" w:eastAsia="仿宋_GB2312" w:hint="eastAsia"/>
          <w:color w:val="000000"/>
          <w:sz w:val="30"/>
          <w:szCs w:val="30"/>
        </w:rPr>
        <w:t>第一，</w:t>
      </w:r>
      <w:r>
        <w:rPr>
          <w:rFonts w:ascii="仿宋_GB2312" w:eastAsia="仿宋_GB2312"/>
          <w:color w:val="000000"/>
          <w:sz w:val="30"/>
          <w:szCs w:val="30"/>
        </w:rPr>
        <w:t>研究</w:t>
      </w:r>
      <w:r>
        <w:rPr>
          <w:rFonts w:ascii="仿宋_GB2312" w:eastAsia="仿宋_GB2312" w:hint="eastAsia"/>
          <w:color w:val="000000"/>
          <w:sz w:val="30"/>
          <w:szCs w:val="30"/>
        </w:rPr>
        <w:t>审议</w:t>
      </w:r>
      <w:r>
        <w:rPr>
          <w:rFonts w:ascii="仿宋_GB2312" w:eastAsia="仿宋_GB2312"/>
          <w:color w:val="000000"/>
          <w:sz w:val="30"/>
          <w:szCs w:val="30"/>
        </w:rPr>
        <w:t>银行重大事项，科学履行决策职能</w:t>
      </w:r>
      <w:r>
        <w:rPr>
          <w:rFonts w:ascii="仿宋_GB2312" w:eastAsia="仿宋_GB2312" w:hint="eastAsia"/>
          <w:color w:val="000000"/>
          <w:sz w:val="30"/>
          <w:szCs w:val="30"/>
        </w:rPr>
        <w:t>。</w:t>
      </w:r>
      <w:r>
        <w:rPr>
          <w:rFonts w:ascii="仿宋_GB2312" w:eastAsia="仿宋_GB2312" w:hAnsi="宋体"/>
          <w:color w:val="000000"/>
          <w:sz w:val="30"/>
          <w:szCs w:val="30"/>
        </w:rPr>
        <w:t>20</w:t>
      </w:r>
      <w:r>
        <w:rPr>
          <w:rFonts w:ascii="仿宋_GB2312" w:eastAsia="仿宋_GB2312" w:hAnsi="宋体" w:hint="eastAsia"/>
          <w:color w:val="000000"/>
          <w:sz w:val="30"/>
          <w:szCs w:val="30"/>
        </w:rPr>
        <w:t>20</w:t>
      </w:r>
      <w:r>
        <w:rPr>
          <w:rFonts w:ascii="仿宋_GB2312" w:eastAsia="仿宋_GB2312" w:hAnsi="宋体"/>
          <w:color w:val="000000"/>
          <w:sz w:val="30"/>
          <w:szCs w:val="30"/>
        </w:rPr>
        <w:t>年，</w:t>
      </w:r>
      <w:r>
        <w:rPr>
          <w:rFonts w:ascii="仿宋_GB2312" w:eastAsia="仿宋_GB2312" w:hAnsi="宋体" w:hint="eastAsia"/>
          <w:color w:val="000000"/>
          <w:sz w:val="30"/>
          <w:szCs w:val="30"/>
        </w:rPr>
        <w:t>各位董事认真审阅本行发送的会议文件、经营管理信息等各项材料，密切关注相关政策、市场、行业和本行信息，并通过会议审议讨论、</w:t>
      </w:r>
      <w:r>
        <w:rPr>
          <w:rFonts w:ascii="仿宋_GB2312" w:eastAsia="仿宋_GB2312" w:hAnsi="宋体"/>
          <w:color w:val="000000"/>
          <w:sz w:val="30"/>
          <w:szCs w:val="30"/>
        </w:rPr>
        <w:t>开展专题调研、</w:t>
      </w:r>
      <w:r>
        <w:rPr>
          <w:rFonts w:ascii="仿宋_GB2312" w:eastAsia="仿宋_GB2312" w:hAnsi="宋体" w:hint="eastAsia"/>
          <w:color w:val="000000"/>
          <w:sz w:val="30"/>
          <w:szCs w:val="30"/>
        </w:rPr>
        <w:t>向相关职能部门了解情况等多种途径，深入了解</w:t>
      </w:r>
      <w:r>
        <w:rPr>
          <w:rFonts w:ascii="仿宋_GB2312" w:eastAsia="仿宋_GB2312" w:hAnsi="宋体"/>
          <w:color w:val="000000"/>
          <w:sz w:val="30"/>
          <w:szCs w:val="30"/>
        </w:rPr>
        <w:t>银行业</w:t>
      </w:r>
      <w:r>
        <w:rPr>
          <w:rFonts w:ascii="仿宋_GB2312" w:eastAsia="仿宋_GB2312" w:hAnsi="宋体" w:hint="eastAsia"/>
          <w:color w:val="000000"/>
          <w:sz w:val="30"/>
          <w:szCs w:val="30"/>
        </w:rPr>
        <w:t>内外部形势和本行的实际经营情况</w:t>
      </w:r>
      <w:r>
        <w:rPr>
          <w:rFonts w:ascii="仿宋_GB2312" w:eastAsia="仿宋_GB2312" w:hAnsi="宋体"/>
          <w:color w:val="000000"/>
          <w:sz w:val="30"/>
          <w:szCs w:val="30"/>
        </w:rPr>
        <w:t>，</w:t>
      </w:r>
      <w:r>
        <w:rPr>
          <w:rFonts w:ascii="仿宋_GB2312" w:eastAsia="仿宋_GB2312" w:hAnsi="宋体" w:hint="eastAsia"/>
          <w:color w:val="000000"/>
          <w:sz w:val="30"/>
          <w:szCs w:val="30"/>
        </w:rPr>
        <w:t>充分发挥自身的专业特长和不同领域的从业经验，就议案</w:t>
      </w:r>
      <w:r>
        <w:rPr>
          <w:rFonts w:ascii="仿宋_GB2312" w:eastAsia="仿宋_GB2312" w:hAnsi="宋体"/>
          <w:color w:val="000000"/>
          <w:sz w:val="30"/>
          <w:szCs w:val="30"/>
        </w:rPr>
        <w:t>进行严谨负责的表决</w:t>
      </w:r>
      <w:r>
        <w:rPr>
          <w:rFonts w:ascii="仿宋_GB2312" w:eastAsia="仿宋_GB2312" w:hAnsi="宋体" w:hint="eastAsia"/>
          <w:color w:val="000000"/>
          <w:sz w:val="30"/>
          <w:szCs w:val="30"/>
        </w:rPr>
        <w:t>，并就</w:t>
      </w:r>
      <w:r>
        <w:rPr>
          <w:rFonts w:ascii="仿宋_GB2312" w:eastAsia="仿宋_GB2312" w:hAnsi="宋体"/>
          <w:color w:val="000000"/>
          <w:sz w:val="30"/>
          <w:szCs w:val="30"/>
        </w:rPr>
        <w:t>提交审议</w:t>
      </w:r>
      <w:r>
        <w:rPr>
          <w:rFonts w:ascii="仿宋_GB2312" w:eastAsia="仿宋_GB2312" w:hAnsi="宋体" w:hint="eastAsia"/>
          <w:color w:val="000000"/>
          <w:sz w:val="30"/>
          <w:szCs w:val="30"/>
        </w:rPr>
        <w:t>或听取</w:t>
      </w:r>
      <w:r>
        <w:rPr>
          <w:rFonts w:ascii="仿宋_GB2312" w:eastAsia="仿宋_GB2312" w:hAnsi="宋体"/>
          <w:color w:val="000000"/>
          <w:sz w:val="30"/>
          <w:szCs w:val="30"/>
        </w:rPr>
        <w:t>的各项议案</w:t>
      </w:r>
      <w:r>
        <w:rPr>
          <w:rFonts w:ascii="仿宋_GB2312" w:eastAsia="仿宋_GB2312" w:hAnsi="宋体" w:hint="eastAsia"/>
          <w:color w:val="000000"/>
          <w:sz w:val="30"/>
          <w:szCs w:val="30"/>
        </w:rPr>
        <w:t>和报告</w:t>
      </w:r>
      <w:r>
        <w:rPr>
          <w:rFonts w:ascii="仿宋_GB2312" w:eastAsia="仿宋_GB2312" w:hAnsi="宋体"/>
          <w:color w:val="000000"/>
          <w:sz w:val="30"/>
          <w:szCs w:val="30"/>
        </w:rPr>
        <w:t>积极提出</w:t>
      </w:r>
      <w:r>
        <w:rPr>
          <w:rFonts w:ascii="仿宋_GB2312" w:eastAsia="仿宋_GB2312" w:hAnsi="宋体" w:hint="eastAsia"/>
          <w:color w:val="000000"/>
          <w:sz w:val="30"/>
          <w:szCs w:val="30"/>
        </w:rPr>
        <w:t>多项</w:t>
      </w:r>
      <w:r>
        <w:rPr>
          <w:rFonts w:ascii="仿宋_GB2312" w:eastAsia="仿宋_GB2312" w:hAnsi="宋体"/>
          <w:color w:val="000000"/>
          <w:sz w:val="30"/>
          <w:szCs w:val="30"/>
        </w:rPr>
        <w:t>建设性意见</w:t>
      </w:r>
      <w:r>
        <w:rPr>
          <w:rFonts w:ascii="仿宋_GB2312" w:eastAsia="仿宋_GB2312" w:hAnsi="宋体" w:hint="eastAsia"/>
          <w:color w:val="000000"/>
          <w:sz w:val="30"/>
          <w:szCs w:val="30"/>
        </w:rPr>
        <w:t>建议</w:t>
      </w:r>
      <w:r>
        <w:rPr>
          <w:rFonts w:ascii="仿宋_GB2312" w:eastAsia="仿宋_GB2312" w:hAnsi="宋体"/>
          <w:color w:val="000000"/>
          <w:sz w:val="30"/>
          <w:szCs w:val="30"/>
        </w:rPr>
        <w:t>，</w:t>
      </w:r>
      <w:r>
        <w:rPr>
          <w:rFonts w:ascii="仿宋_GB2312" w:eastAsia="仿宋_GB2312" w:hAnsi="宋体" w:hint="eastAsia"/>
          <w:color w:val="000000"/>
          <w:sz w:val="30"/>
          <w:szCs w:val="30"/>
        </w:rPr>
        <w:t>实现对本行经营管理重大事项的科学决策：一是持续完善并研究制订未来五年发展规划，主动对接国家“十四五”规划</w:t>
      </w:r>
      <w:r>
        <w:rPr>
          <w:rFonts w:ascii="仿宋_GB2312" w:eastAsia="仿宋_GB2312" w:hint="eastAsia"/>
          <w:sz w:val="30"/>
          <w:szCs w:val="28"/>
        </w:rPr>
        <w:t>，把握战略性机遇</w:t>
      </w:r>
      <w:r>
        <w:rPr>
          <w:rFonts w:ascii="仿宋_GB2312" w:eastAsia="仿宋_GB2312" w:hAnsi="宋体" w:hint="eastAsia"/>
          <w:color w:val="000000"/>
          <w:sz w:val="30"/>
          <w:szCs w:val="30"/>
        </w:rPr>
        <w:t>；二是剖析数字化转型痛点难点，强化科技赋能作用；三是充分评估疫情影响，前瞻性把握趋势变化和战略机会；四是关注重点风险领域，做实资产质量，提升风险防范和处置能力；五是加强子公司管理，提升集团化经营合力；六是统筹推进绿色金融与ESG发展，着力打造“绿色银行”；等等</w:t>
      </w:r>
      <w:r>
        <w:rPr>
          <w:rFonts w:ascii="仿宋_GB2312" w:eastAsia="仿宋_GB2312" w:hint="eastAsia"/>
          <w:sz w:val="30"/>
          <w:szCs w:val="28"/>
        </w:rPr>
        <w:t>。</w:t>
      </w:r>
    </w:p>
    <w:p w:rsidR="00092652" w:rsidRDefault="0039522B">
      <w:pPr>
        <w:spacing w:line="540" w:lineRule="exact"/>
        <w:ind w:firstLineChars="196" w:firstLine="588"/>
        <w:rPr>
          <w:rFonts w:ascii="仿宋_GB2312" w:eastAsia="仿宋_GB2312"/>
          <w:color w:val="000000"/>
          <w:sz w:val="30"/>
          <w:szCs w:val="30"/>
        </w:rPr>
      </w:pPr>
      <w:r>
        <w:rPr>
          <w:rFonts w:ascii="仿宋_GB2312" w:eastAsia="仿宋_GB2312" w:hint="eastAsia"/>
          <w:color w:val="000000"/>
          <w:sz w:val="30"/>
          <w:szCs w:val="30"/>
        </w:rPr>
        <w:t>第二，</w:t>
      </w:r>
      <w:r>
        <w:rPr>
          <w:rFonts w:ascii="仿宋_GB2312" w:eastAsia="仿宋_GB2312" w:hAnsi="宋体"/>
          <w:bCs/>
          <w:color w:val="000000"/>
          <w:sz w:val="30"/>
          <w:szCs w:val="28"/>
        </w:rPr>
        <w:t>积极开展调研</w:t>
      </w:r>
      <w:r>
        <w:rPr>
          <w:rFonts w:ascii="仿宋_GB2312" w:eastAsia="仿宋_GB2312" w:hAnsi="宋体" w:hint="eastAsia"/>
          <w:bCs/>
          <w:color w:val="000000"/>
          <w:sz w:val="30"/>
          <w:szCs w:val="28"/>
        </w:rPr>
        <w:t>、参加培训学习</w:t>
      </w:r>
      <w:r>
        <w:rPr>
          <w:rFonts w:ascii="仿宋_GB2312" w:eastAsia="仿宋_GB2312" w:hAnsi="宋体"/>
          <w:bCs/>
          <w:color w:val="000000"/>
          <w:sz w:val="30"/>
          <w:szCs w:val="28"/>
        </w:rPr>
        <w:t>，强化监督指导力度</w:t>
      </w:r>
      <w:r>
        <w:rPr>
          <w:rFonts w:ascii="仿宋_GB2312" w:eastAsia="仿宋_GB2312" w:hAnsi="宋体" w:hint="eastAsia"/>
          <w:bCs/>
          <w:color w:val="000000"/>
          <w:sz w:val="30"/>
          <w:szCs w:val="28"/>
        </w:rPr>
        <w:t>，加强履职能力建设</w:t>
      </w:r>
      <w:r>
        <w:rPr>
          <w:rFonts w:ascii="仿宋_GB2312" w:eastAsia="仿宋_GB2312" w:hAnsi="宋体"/>
          <w:bCs/>
          <w:color w:val="000000"/>
          <w:sz w:val="30"/>
          <w:szCs w:val="28"/>
        </w:rPr>
        <w:t>。</w:t>
      </w:r>
      <w:r>
        <w:rPr>
          <w:rFonts w:ascii="仿宋_GB2312" w:eastAsia="仿宋_GB2312" w:hAnsi="宋体" w:hint="eastAsia"/>
          <w:bCs/>
          <w:color w:val="000000"/>
          <w:sz w:val="30"/>
          <w:szCs w:val="28"/>
        </w:rPr>
        <w:t>2020年，</w:t>
      </w:r>
      <w:r>
        <w:rPr>
          <w:rFonts w:ascii="仿宋_GB2312" w:eastAsia="仿宋_GB2312" w:hint="eastAsia"/>
          <w:color w:val="000000"/>
          <w:sz w:val="30"/>
          <w:szCs w:val="30"/>
        </w:rPr>
        <w:t>各位董事克服疫情影响，积极参</w:t>
      </w:r>
      <w:r>
        <w:rPr>
          <w:rFonts w:ascii="仿宋_GB2312" w:eastAsia="仿宋_GB2312" w:hint="eastAsia"/>
          <w:color w:val="000000"/>
          <w:sz w:val="30"/>
          <w:szCs w:val="30"/>
        </w:rPr>
        <w:lastRenderedPageBreak/>
        <w:t>加董事会组织开展的专题调研与沟通活动，包括</w:t>
      </w:r>
      <w:r>
        <w:rPr>
          <w:rFonts w:ascii="仿宋_GB2312" w:eastAsia="仿宋_GB2312" w:hAnsi="宋体" w:hint="eastAsia"/>
          <w:color w:val="000000"/>
          <w:sz w:val="30"/>
          <w:szCs w:val="28"/>
        </w:rPr>
        <w:t>召开独立董事年报工作会议、</w:t>
      </w:r>
      <w:r>
        <w:rPr>
          <w:rFonts w:ascii="仿宋_GB2312" w:eastAsia="仿宋_GB2312" w:hint="eastAsia"/>
          <w:color w:val="000000"/>
          <w:sz w:val="30"/>
          <w:szCs w:val="30"/>
        </w:rPr>
        <w:t>与外部审计师沟通年审发现问题、开展总行信息科技指挥中心与福州分行智慧网点现场调研、赴宁波分行开展审计情况专题调研、赴福建海峡股权交易中心调研</w:t>
      </w:r>
      <w:r>
        <w:rPr>
          <w:rFonts w:ascii="仿宋_GB2312" w:eastAsia="仿宋_GB2312" w:hAnsi="宋体" w:hint="eastAsia"/>
          <w:color w:val="000000"/>
          <w:sz w:val="30"/>
          <w:szCs w:val="28"/>
        </w:rPr>
        <w:t>、参加各定期业绩发布会及投资者专题调研活动</w:t>
      </w:r>
      <w:r>
        <w:rPr>
          <w:rFonts w:ascii="仿宋_GB2312" w:eastAsia="仿宋_GB2312" w:hint="eastAsia"/>
          <w:color w:val="000000"/>
          <w:sz w:val="30"/>
          <w:szCs w:val="30"/>
        </w:rPr>
        <w:t>等。此外，部分董事还采用线上方式参加了福建证监局新《证券法》培训。</w:t>
      </w:r>
    </w:p>
    <w:p w:rsidR="00092652" w:rsidRDefault="0039522B">
      <w:pPr>
        <w:spacing w:line="540" w:lineRule="exact"/>
        <w:ind w:firstLineChars="200" w:firstLine="600"/>
        <w:rPr>
          <w:rFonts w:ascii="仿宋_GB2312" w:eastAsia="仿宋_GB2312" w:hAnsi="宋体"/>
          <w:color w:val="000000"/>
          <w:sz w:val="30"/>
          <w:szCs w:val="28"/>
        </w:rPr>
      </w:pPr>
      <w:r>
        <w:rPr>
          <w:rFonts w:ascii="仿宋_GB2312" w:eastAsia="仿宋_GB2312" w:hint="eastAsia"/>
          <w:color w:val="000000"/>
          <w:sz w:val="30"/>
          <w:szCs w:val="30"/>
        </w:rPr>
        <w:t>第三，</w:t>
      </w:r>
      <w:r>
        <w:rPr>
          <w:rFonts w:ascii="仿宋_GB2312" w:eastAsia="仿宋_GB2312"/>
          <w:color w:val="000000"/>
          <w:sz w:val="30"/>
          <w:szCs w:val="30"/>
        </w:rPr>
        <w:t>持续加强对高级管理层履职情况的指导和监督</w:t>
      </w:r>
      <w:r>
        <w:rPr>
          <w:rFonts w:ascii="仿宋_GB2312" w:eastAsia="仿宋_GB2312" w:hint="eastAsia"/>
          <w:color w:val="000000"/>
          <w:sz w:val="30"/>
          <w:szCs w:val="30"/>
        </w:rPr>
        <w:t>。</w:t>
      </w:r>
      <w:r>
        <w:rPr>
          <w:rFonts w:ascii="仿宋_GB2312" w:eastAsia="仿宋_GB2312" w:hAnsi="宋体"/>
          <w:color w:val="000000"/>
          <w:sz w:val="30"/>
          <w:szCs w:val="28"/>
        </w:rPr>
        <w:t>一是</w:t>
      </w:r>
      <w:r>
        <w:rPr>
          <w:rFonts w:ascii="仿宋_GB2312" w:eastAsia="仿宋_GB2312" w:hAnsi="宋体" w:hint="eastAsia"/>
          <w:color w:val="000000"/>
          <w:sz w:val="30"/>
          <w:szCs w:val="28"/>
        </w:rPr>
        <w:t>出席</w:t>
      </w:r>
      <w:r>
        <w:rPr>
          <w:rFonts w:ascii="仿宋_GB2312" w:eastAsia="仿宋_GB2312" w:hAnsi="宋体"/>
          <w:color w:val="000000"/>
          <w:sz w:val="30"/>
          <w:szCs w:val="28"/>
        </w:rPr>
        <w:t>董事会会议和各委员会会议</w:t>
      </w:r>
      <w:r>
        <w:rPr>
          <w:rFonts w:ascii="仿宋_GB2312" w:eastAsia="仿宋_GB2312" w:hAnsi="宋体" w:hint="eastAsia"/>
          <w:color w:val="000000"/>
          <w:sz w:val="30"/>
          <w:szCs w:val="28"/>
        </w:rPr>
        <w:t>，审议和</w:t>
      </w:r>
      <w:r>
        <w:rPr>
          <w:rFonts w:ascii="仿宋_GB2312" w:eastAsia="仿宋_GB2312" w:hAnsi="宋体"/>
          <w:color w:val="000000"/>
          <w:sz w:val="30"/>
          <w:szCs w:val="28"/>
        </w:rPr>
        <w:t>听取高级管理层关于</w:t>
      </w:r>
      <w:r>
        <w:rPr>
          <w:rFonts w:ascii="仿宋_GB2312" w:eastAsia="仿宋_GB2312" w:hAnsi="宋体" w:hint="eastAsia"/>
          <w:color w:val="000000"/>
          <w:sz w:val="30"/>
          <w:szCs w:val="28"/>
        </w:rPr>
        <w:t>经营计划落实情况、分支机构发展规划、</w:t>
      </w:r>
      <w:r>
        <w:rPr>
          <w:rFonts w:ascii="仿宋_GB2312" w:eastAsia="仿宋_GB2312" w:hAnsi="宋体"/>
          <w:color w:val="000000"/>
          <w:sz w:val="30"/>
          <w:szCs w:val="28"/>
        </w:rPr>
        <w:t>风险管</w:t>
      </w:r>
      <w:r>
        <w:rPr>
          <w:rFonts w:ascii="仿宋_GB2312" w:eastAsia="仿宋_GB2312" w:hAnsi="宋体" w:hint="eastAsia"/>
          <w:color w:val="000000"/>
          <w:sz w:val="30"/>
          <w:szCs w:val="28"/>
        </w:rPr>
        <w:t>控和资产质量情况</w:t>
      </w:r>
      <w:r>
        <w:rPr>
          <w:rFonts w:ascii="仿宋_GB2312" w:eastAsia="仿宋_GB2312" w:hAnsi="宋体"/>
          <w:color w:val="000000"/>
          <w:sz w:val="30"/>
          <w:szCs w:val="28"/>
        </w:rPr>
        <w:t>、内</w:t>
      </w:r>
      <w:r>
        <w:rPr>
          <w:rFonts w:ascii="仿宋_GB2312" w:eastAsia="仿宋_GB2312" w:hAnsi="宋体" w:hint="eastAsia"/>
          <w:color w:val="000000"/>
          <w:sz w:val="30"/>
          <w:szCs w:val="28"/>
        </w:rPr>
        <w:t>外</w:t>
      </w:r>
      <w:r>
        <w:rPr>
          <w:rFonts w:ascii="仿宋_GB2312" w:eastAsia="仿宋_GB2312" w:hAnsi="宋体"/>
          <w:color w:val="000000"/>
          <w:sz w:val="30"/>
          <w:szCs w:val="28"/>
        </w:rPr>
        <w:t>部审计</w:t>
      </w:r>
      <w:r>
        <w:rPr>
          <w:rFonts w:ascii="仿宋_GB2312" w:eastAsia="仿宋_GB2312" w:hAnsi="宋体" w:hint="eastAsia"/>
          <w:color w:val="000000"/>
          <w:sz w:val="30"/>
          <w:szCs w:val="28"/>
        </w:rPr>
        <w:t>发现问题及其整改情况</w:t>
      </w:r>
      <w:r>
        <w:rPr>
          <w:rFonts w:ascii="仿宋_GB2312" w:eastAsia="仿宋_GB2312" w:hAnsi="宋体"/>
          <w:color w:val="000000"/>
          <w:sz w:val="30"/>
          <w:szCs w:val="28"/>
        </w:rPr>
        <w:t>、</w:t>
      </w:r>
      <w:r>
        <w:rPr>
          <w:rFonts w:ascii="仿宋_GB2312" w:eastAsia="仿宋_GB2312" w:hAnsi="宋体" w:hint="eastAsia"/>
          <w:color w:val="000000"/>
          <w:sz w:val="30"/>
          <w:szCs w:val="28"/>
        </w:rPr>
        <w:t>特色业务发展、</w:t>
      </w:r>
      <w:r>
        <w:rPr>
          <w:rFonts w:ascii="仿宋_GB2312" w:eastAsia="仿宋_GB2312" w:hAnsi="宋体"/>
          <w:color w:val="000000"/>
          <w:sz w:val="30"/>
          <w:szCs w:val="28"/>
        </w:rPr>
        <w:t>关联交易等报告，科学指导经营管理各项工作</w:t>
      </w:r>
      <w:r>
        <w:rPr>
          <w:rFonts w:ascii="仿宋_GB2312" w:eastAsia="仿宋_GB2312" w:hAnsi="宋体" w:hint="eastAsia"/>
          <w:color w:val="000000"/>
          <w:sz w:val="30"/>
          <w:szCs w:val="28"/>
        </w:rPr>
        <w:t>。二是审阅</w:t>
      </w:r>
      <w:r>
        <w:rPr>
          <w:rFonts w:ascii="仿宋_GB2312" w:eastAsia="仿宋_GB2312" w:hAnsi="宋体"/>
          <w:color w:val="000000"/>
          <w:sz w:val="30"/>
          <w:szCs w:val="28"/>
        </w:rPr>
        <w:t>高级管理层定期提交的业务、财务、风险管理</w:t>
      </w:r>
      <w:r>
        <w:rPr>
          <w:rFonts w:ascii="仿宋_GB2312" w:eastAsia="仿宋_GB2312" w:hAnsi="宋体" w:hint="eastAsia"/>
          <w:color w:val="000000"/>
          <w:sz w:val="30"/>
          <w:szCs w:val="28"/>
        </w:rPr>
        <w:t>和资本管理</w:t>
      </w:r>
      <w:r>
        <w:rPr>
          <w:rFonts w:ascii="仿宋_GB2312" w:eastAsia="仿宋_GB2312" w:hAnsi="宋体"/>
          <w:color w:val="000000"/>
          <w:sz w:val="30"/>
          <w:szCs w:val="28"/>
        </w:rPr>
        <w:t>等专项报表及</w:t>
      </w:r>
      <w:r>
        <w:rPr>
          <w:rFonts w:ascii="仿宋_GB2312" w:eastAsia="仿宋_GB2312" w:hAnsi="宋体" w:hint="eastAsia"/>
          <w:color w:val="000000"/>
          <w:sz w:val="30"/>
          <w:szCs w:val="28"/>
        </w:rPr>
        <w:t>资本市场信息等</w:t>
      </w:r>
      <w:r>
        <w:rPr>
          <w:rFonts w:ascii="仿宋_GB2312" w:eastAsia="仿宋_GB2312" w:hAnsi="宋体"/>
          <w:color w:val="000000"/>
          <w:sz w:val="30"/>
          <w:szCs w:val="28"/>
        </w:rPr>
        <w:t>，深入了解本行经营管理情况和高级管理层履行职责情况。</w:t>
      </w:r>
      <w:r>
        <w:rPr>
          <w:rFonts w:ascii="仿宋_GB2312" w:eastAsia="仿宋_GB2312" w:hAnsi="宋体" w:hint="eastAsia"/>
          <w:color w:val="000000"/>
          <w:sz w:val="30"/>
          <w:szCs w:val="28"/>
        </w:rPr>
        <w:t>三</w:t>
      </w:r>
      <w:r>
        <w:rPr>
          <w:rFonts w:ascii="仿宋_GB2312" w:eastAsia="仿宋_GB2312" w:hAnsi="宋体"/>
          <w:color w:val="000000"/>
          <w:sz w:val="30"/>
          <w:szCs w:val="28"/>
        </w:rPr>
        <w:t>是</w:t>
      </w:r>
      <w:r>
        <w:rPr>
          <w:rFonts w:ascii="仿宋_GB2312" w:eastAsia="仿宋_GB2312" w:hAnsi="宋体" w:hint="eastAsia"/>
          <w:color w:val="000000"/>
          <w:sz w:val="30"/>
          <w:szCs w:val="28"/>
        </w:rPr>
        <w:t>通过</w:t>
      </w:r>
      <w:r>
        <w:rPr>
          <w:rFonts w:ascii="仿宋_GB2312" w:eastAsia="仿宋_GB2312" w:hAnsi="宋体"/>
          <w:color w:val="000000"/>
          <w:sz w:val="30"/>
          <w:szCs w:val="28"/>
        </w:rPr>
        <w:t>调研、座谈和投资者沟通活动，与</w:t>
      </w:r>
      <w:r>
        <w:rPr>
          <w:rFonts w:ascii="仿宋_GB2312" w:eastAsia="仿宋_GB2312" w:hAnsi="宋体" w:hint="eastAsia"/>
          <w:color w:val="000000"/>
          <w:sz w:val="30"/>
          <w:szCs w:val="28"/>
        </w:rPr>
        <w:t>管理干部、</w:t>
      </w:r>
      <w:r>
        <w:rPr>
          <w:rFonts w:ascii="仿宋_GB2312" w:eastAsia="仿宋_GB2312" w:hAnsi="宋体"/>
          <w:color w:val="000000"/>
          <w:sz w:val="30"/>
          <w:szCs w:val="28"/>
        </w:rPr>
        <w:t>基层员工和投资者进行互动交流，多方位了解本行</w:t>
      </w:r>
      <w:r>
        <w:rPr>
          <w:rFonts w:ascii="仿宋_GB2312" w:eastAsia="仿宋_GB2312" w:hAnsi="宋体" w:hint="eastAsia"/>
          <w:color w:val="000000"/>
          <w:sz w:val="30"/>
          <w:szCs w:val="28"/>
        </w:rPr>
        <w:t>情况</w:t>
      </w:r>
      <w:r>
        <w:rPr>
          <w:rFonts w:ascii="仿宋_GB2312" w:eastAsia="仿宋_GB2312" w:hAnsi="宋体"/>
          <w:color w:val="000000"/>
          <w:sz w:val="30"/>
          <w:szCs w:val="28"/>
        </w:rPr>
        <w:t>，向管理层</w:t>
      </w:r>
      <w:r>
        <w:rPr>
          <w:rFonts w:ascii="仿宋_GB2312" w:eastAsia="仿宋_GB2312" w:hAnsi="宋体" w:hint="eastAsia"/>
          <w:color w:val="000000"/>
          <w:sz w:val="30"/>
          <w:szCs w:val="28"/>
        </w:rPr>
        <w:t>提出改进相关工作的意见和建议</w:t>
      </w:r>
      <w:r>
        <w:rPr>
          <w:rFonts w:ascii="仿宋_GB2312" w:eastAsia="仿宋_GB2312" w:hAnsi="宋体"/>
          <w:color w:val="000000"/>
          <w:sz w:val="30"/>
          <w:szCs w:val="28"/>
        </w:rPr>
        <w:t>。</w:t>
      </w:r>
    </w:p>
    <w:p w:rsidR="00092652" w:rsidRDefault="0039522B">
      <w:pPr>
        <w:spacing w:line="540" w:lineRule="exact"/>
        <w:ind w:firstLineChars="200" w:firstLine="602"/>
        <w:rPr>
          <w:rFonts w:ascii="仿宋_GB2312" w:eastAsia="仿宋_GB2312"/>
          <w:b/>
          <w:color w:val="000000"/>
          <w:sz w:val="30"/>
          <w:szCs w:val="30"/>
        </w:rPr>
      </w:pPr>
      <w:r>
        <w:rPr>
          <w:rFonts w:ascii="仿宋_GB2312" w:eastAsia="仿宋_GB2312" w:hint="eastAsia"/>
          <w:b/>
          <w:color w:val="000000"/>
          <w:sz w:val="30"/>
          <w:szCs w:val="30"/>
        </w:rPr>
        <w:t>5、各类董事履职情况</w:t>
      </w:r>
    </w:p>
    <w:p w:rsidR="00092652" w:rsidRDefault="0039522B">
      <w:pPr>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2020年，执行董事能及时向董事会报告本行经营情况及相关信息，严格执行董事会决议，并能认真研究决议执行中出现的问题，提出科学可行的意见和建议供董事会讨论决策；非执行董事能重点关注高级管理层对董事会决议的落实情况以及股东与本行的关联交易情况，并做好本行与股东之间的沟通工作；独立董事未受主要股东和内部人控制或干预，独立自主决策、履职，注重维护存款人和中小股东权益，并按照有关规定对重大决策事项发表独立意见，未发现独立董事存在</w:t>
      </w:r>
      <w:r>
        <w:rPr>
          <w:rFonts w:ascii="仿宋_GB2312" w:eastAsia="仿宋_GB2312"/>
          <w:color w:val="000000"/>
          <w:sz w:val="30"/>
          <w:szCs w:val="30"/>
        </w:rPr>
        <w:t>法律、法规及本</w:t>
      </w:r>
      <w:r>
        <w:rPr>
          <w:rFonts w:ascii="仿宋_GB2312" w:eastAsia="仿宋_GB2312" w:hint="eastAsia"/>
          <w:color w:val="000000"/>
          <w:sz w:val="30"/>
          <w:szCs w:val="30"/>
        </w:rPr>
        <w:t>行</w:t>
      </w:r>
      <w:r>
        <w:rPr>
          <w:rFonts w:ascii="仿宋_GB2312" w:eastAsia="仿宋_GB2312"/>
          <w:color w:val="000000"/>
          <w:sz w:val="30"/>
          <w:szCs w:val="30"/>
        </w:rPr>
        <w:t>章程规</w:t>
      </w:r>
      <w:r>
        <w:rPr>
          <w:rFonts w:ascii="仿宋_GB2312" w:eastAsia="仿宋_GB2312"/>
          <w:color w:val="000000"/>
          <w:sz w:val="30"/>
          <w:szCs w:val="30"/>
        </w:rPr>
        <w:lastRenderedPageBreak/>
        <w:t>定</w:t>
      </w:r>
      <w:r>
        <w:rPr>
          <w:rFonts w:ascii="仿宋_GB2312" w:eastAsia="仿宋_GB2312" w:hint="eastAsia"/>
          <w:color w:val="000000"/>
          <w:sz w:val="30"/>
          <w:szCs w:val="30"/>
        </w:rPr>
        <w:t>的不得或不适合继续担任独立董事的情形。</w:t>
      </w:r>
    </w:p>
    <w:p w:rsidR="00092652" w:rsidRDefault="0039522B">
      <w:pPr>
        <w:spacing w:line="540" w:lineRule="exact"/>
        <w:ind w:firstLineChars="200" w:firstLine="602"/>
        <w:rPr>
          <w:rFonts w:ascii="仿宋_GB2312" w:eastAsia="仿宋_GB2312"/>
          <w:b/>
          <w:bCs/>
          <w:color w:val="000000"/>
          <w:kern w:val="0"/>
          <w:sz w:val="30"/>
          <w:szCs w:val="30"/>
        </w:rPr>
      </w:pPr>
      <w:r>
        <w:rPr>
          <w:rFonts w:ascii="仿宋_GB2312" w:eastAsia="仿宋_GB2312" w:hint="eastAsia"/>
          <w:b/>
          <w:bCs/>
          <w:color w:val="000000"/>
          <w:kern w:val="0"/>
          <w:sz w:val="30"/>
          <w:szCs w:val="30"/>
        </w:rPr>
        <w:t>（三）董事履职评价结果</w:t>
      </w:r>
    </w:p>
    <w:p w:rsidR="00092652" w:rsidRDefault="0039522B">
      <w:pPr>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监事会认为：2020年，各位董事严格遵守有关法律、法规和本行章程的规定，恪守职业道德，投入足够的时间和精力，诚实、</w:t>
      </w:r>
      <w:r>
        <w:rPr>
          <w:rFonts w:ascii="仿宋_GB2312" w:eastAsia="仿宋_GB2312"/>
          <w:color w:val="000000"/>
          <w:sz w:val="30"/>
          <w:szCs w:val="30"/>
        </w:rPr>
        <w:t>守信地</w:t>
      </w:r>
      <w:r>
        <w:rPr>
          <w:rFonts w:ascii="仿宋_GB2312" w:eastAsia="仿宋_GB2312" w:hint="eastAsia"/>
          <w:color w:val="000000"/>
          <w:sz w:val="30"/>
          <w:szCs w:val="30"/>
        </w:rPr>
        <w:t xml:space="preserve">行使本行章程赋予的权利，认真、勤勉地履行各项董事义务，在各董事履职过程中，未发现存在《商业银行董事履职评价办法（试行）》规定的不得评为称职或应当为不称职的情形，监事会对2020年度董事履行职责情况的评价结果全部为称职。 </w:t>
      </w:r>
    </w:p>
    <w:p w:rsidR="00092652" w:rsidRDefault="0039522B">
      <w:pPr>
        <w:spacing w:line="540" w:lineRule="exact"/>
        <w:ind w:firstLineChars="200" w:firstLine="602"/>
        <w:rPr>
          <w:rFonts w:ascii="仿宋_GB2312" w:eastAsia="仿宋_GB2312"/>
          <w:b/>
          <w:bCs/>
          <w:color w:val="000000"/>
          <w:kern w:val="0"/>
          <w:sz w:val="30"/>
          <w:szCs w:val="30"/>
        </w:rPr>
      </w:pPr>
      <w:r>
        <w:rPr>
          <w:rFonts w:ascii="仿宋_GB2312" w:eastAsia="仿宋_GB2312" w:hint="eastAsia"/>
          <w:b/>
          <w:bCs/>
          <w:color w:val="000000"/>
          <w:kern w:val="0"/>
          <w:sz w:val="30"/>
          <w:szCs w:val="30"/>
        </w:rPr>
        <w:t>二、2020年度高级管理人员履职评价</w:t>
      </w:r>
    </w:p>
    <w:p w:rsidR="00092652" w:rsidRDefault="0039522B">
      <w:pPr>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根据《商业银行公司治理指引》《商业银行监事会工作指引》以及本行章程的相关规定，本行监事会于2021年1月至2月组织开展了2020年度高级管理人员履职评价工作。</w:t>
      </w:r>
    </w:p>
    <w:p w:rsidR="00092652" w:rsidRDefault="0039522B">
      <w:pPr>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2021年1月，监事会向高管人员发出年度履职评价的通知，请各高管认真按照评价要求，完成年度述职、访谈等工作。监事会依据2020年高级管理层</w:t>
      </w:r>
      <w:r>
        <w:rPr>
          <w:rFonts w:ascii="仿宋_GB2312" w:eastAsia="仿宋_GB2312"/>
          <w:color w:val="000000"/>
          <w:sz w:val="30"/>
          <w:szCs w:val="30"/>
        </w:rPr>
        <w:t>执行董事会</w:t>
      </w:r>
      <w:r>
        <w:rPr>
          <w:rFonts w:ascii="仿宋_GB2312" w:eastAsia="仿宋_GB2312" w:hint="eastAsia"/>
          <w:color w:val="000000"/>
          <w:sz w:val="30"/>
          <w:szCs w:val="30"/>
        </w:rPr>
        <w:t>决议</w:t>
      </w:r>
      <w:r>
        <w:rPr>
          <w:rFonts w:ascii="仿宋_GB2312" w:eastAsia="仿宋_GB2312"/>
          <w:color w:val="000000"/>
          <w:sz w:val="30"/>
          <w:szCs w:val="30"/>
        </w:rPr>
        <w:t>的情况</w:t>
      </w:r>
      <w:r>
        <w:rPr>
          <w:rFonts w:ascii="仿宋_GB2312" w:eastAsia="仿宋_GB2312" w:hint="eastAsia"/>
          <w:color w:val="000000"/>
          <w:sz w:val="30"/>
          <w:szCs w:val="30"/>
        </w:rPr>
        <w:t>、本行经营管理情况、高管年度述职报告，并结合访谈、调研及日常监督等方式获取的信息，综合评估高管履职情况，形成监事会对高管的年度履职评价结果。</w:t>
      </w:r>
    </w:p>
    <w:p w:rsidR="00092652" w:rsidRDefault="0039522B">
      <w:pPr>
        <w:spacing w:line="540" w:lineRule="exact"/>
        <w:ind w:firstLineChars="200" w:firstLine="602"/>
        <w:rPr>
          <w:rFonts w:ascii="仿宋_GB2312" w:eastAsia="仿宋_GB2312"/>
          <w:b/>
          <w:bCs/>
          <w:color w:val="000000"/>
          <w:kern w:val="0"/>
          <w:sz w:val="30"/>
          <w:szCs w:val="30"/>
        </w:rPr>
      </w:pPr>
      <w:r>
        <w:rPr>
          <w:rFonts w:ascii="仿宋_GB2312" w:eastAsia="仿宋_GB2312" w:hint="eastAsia"/>
          <w:b/>
          <w:bCs/>
          <w:color w:val="000000"/>
          <w:kern w:val="0"/>
          <w:sz w:val="30"/>
          <w:szCs w:val="30"/>
        </w:rPr>
        <w:t>（一）高级管理人员履职情况</w:t>
      </w:r>
    </w:p>
    <w:p w:rsidR="00092652" w:rsidRDefault="0039522B">
      <w:pPr>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2020年，高级管理层及其成员严格依照法律法规、公司章程以及相关监管规定，全面履行有关经营管理、财务管理、利润分配、资本管理、风险管理、内部控制、关联交易、募集资金存放与使用、流动性管理、案件防控、反洗钱、消费者权益保护、并表管理、数据治理等职责，认真执行股东大会和董事会决议。面对疫情影响等复杂严峻的外部形势，高级管理层积极贯彻国家</w:t>
      </w:r>
      <w:r>
        <w:rPr>
          <w:rFonts w:ascii="仿宋_GB2312" w:eastAsia="仿宋_GB2312" w:hint="eastAsia"/>
          <w:color w:val="000000"/>
          <w:sz w:val="30"/>
          <w:szCs w:val="30"/>
        </w:rPr>
        <w:lastRenderedPageBreak/>
        <w:t>政策和金融监管要求，有效应对市场变化，坚持保安全、稳发展两手抓，凝心聚力，攻坚克难，带领本行各项业务持续稳健发展，经营转型成果显著，经营效率和资产质量位居同类型银行前列。</w:t>
      </w:r>
    </w:p>
    <w:p w:rsidR="00092652" w:rsidRDefault="0039522B">
      <w:pPr>
        <w:spacing w:line="540" w:lineRule="exact"/>
        <w:ind w:firstLineChars="200" w:firstLine="602"/>
        <w:rPr>
          <w:rFonts w:ascii="仿宋_GB2312" w:eastAsia="仿宋_GB2312"/>
          <w:b/>
          <w:bCs/>
          <w:color w:val="000000"/>
          <w:kern w:val="0"/>
          <w:sz w:val="30"/>
          <w:szCs w:val="30"/>
        </w:rPr>
      </w:pPr>
      <w:r>
        <w:rPr>
          <w:rFonts w:ascii="仿宋_GB2312" w:eastAsia="仿宋_GB2312" w:hint="eastAsia"/>
          <w:b/>
          <w:bCs/>
          <w:color w:val="000000"/>
          <w:kern w:val="0"/>
          <w:sz w:val="30"/>
          <w:szCs w:val="30"/>
        </w:rPr>
        <w:t>（二）高级管理人员履职评价结果</w:t>
      </w:r>
    </w:p>
    <w:p w:rsidR="00092652" w:rsidRDefault="0039522B">
      <w:pPr>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监事会认为：2020年，各位高级管理人员严格遵守有关法律、法规和本行章程的规定，认真执行董事会决策，接受监事会监督，未发现高级管理人员存在违反</w:t>
      </w:r>
      <w:r>
        <w:rPr>
          <w:rFonts w:ascii="仿宋_GB2312" w:eastAsia="仿宋_GB2312"/>
          <w:color w:val="000000"/>
          <w:sz w:val="30"/>
          <w:szCs w:val="30"/>
        </w:rPr>
        <w:t>法律、法规及本</w:t>
      </w:r>
      <w:r>
        <w:rPr>
          <w:rFonts w:ascii="仿宋_GB2312" w:eastAsia="仿宋_GB2312" w:hint="eastAsia"/>
          <w:color w:val="000000"/>
          <w:sz w:val="30"/>
          <w:szCs w:val="30"/>
        </w:rPr>
        <w:t>行</w:t>
      </w:r>
      <w:r>
        <w:rPr>
          <w:rFonts w:ascii="仿宋_GB2312" w:eastAsia="仿宋_GB2312"/>
          <w:color w:val="000000"/>
          <w:sz w:val="30"/>
          <w:szCs w:val="30"/>
        </w:rPr>
        <w:t>章程规定</w:t>
      </w:r>
      <w:r>
        <w:rPr>
          <w:rFonts w:ascii="仿宋_GB2312" w:eastAsia="仿宋_GB2312" w:hint="eastAsia"/>
          <w:color w:val="000000"/>
          <w:sz w:val="30"/>
          <w:szCs w:val="30"/>
        </w:rPr>
        <w:t>的忠实义务和勤勉</w:t>
      </w:r>
      <w:r>
        <w:rPr>
          <w:rFonts w:ascii="仿宋_GB2312" w:eastAsia="仿宋_GB2312"/>
          <w:color w:val="000000"/>
          <w:sz w:val="30"/>
          <w:szCs w:val="30"/>
        </w:rPr>
        <w:t>义务</w:t>
      </w:r>
      <w:r>
        <w:rPr>
          <w:rFonts w:ascii="仿宋_GB2312" w:eastAsia="仿宋_GB2312" w:hint="eastAsia"/>
          <w:color w:val="000000"/>
          <w:sz w:val="30"/>
          <w:szCs w:val="30"/>
        </w:rPr>
        <w:t>，利用其在本行的职务和权力为自己谋取私利或其他损害本行及股东利益的行为。监事会对2020年度高级管理人员履行职责情况的评价结果全部为称职。</w:t>
      </w:r>
    </w:p>
    <w:p w:rsidR="00092652" w:rsidRDefault="0039522B">
      <w:pPr>
        <w:spacing w:line="540" w:lineRule="exact"/>
        <w:ind w:firstLineChars="200" w:firstLine="600"/>
        <w:rPr>
          <w:rFonts w:ascii="仿宋_GB2312" w:eastAsia="仿宋_GB2312"/>
          <w:color w:val="C00000"/>
          <w:sz w:val="30"/>
          <w:szCs w:val="30"/>
        </w:rPr>
      </w:pPr>
      <w:r>
        <w:rPr>
          <w:rFonts w:ascii="仿宋_GB2312" w:eastAsia="仿宋_GB2312" w:hint="eastAsia"/>
          <w:color w:val="000000"/>
          <w:sz w:val="30"/>
          <w:szCs w:val="30"/>
        </w:rPr>
        <w:t>上述董事、高级管理人员年度履职评价结果经监事会审议通过后，将向股东大会和监管部门报告。</w:t>
      </w:r>
    </w:p>
    <w:p w:rsidR="00092652" w:rsidRDefault="0039522B">
      <w:pPr>
        <w:spacing w:line="54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专此报告。</w:t>
      </w:r>
    </w:p>
    <w:p w:rsidR="00092652" w:rsidRDefault="00092652">
      <w:pPr>
        <w:spacing w:line="520" w:lineRule="exact"/>
        <w:ind w:firstLineChars="200" w:firstLine="600"/>
        <w:rPr>
          <w:rFonts w:ascii="仿宋_GB2312" w:eastAsia="仿宋_GB2312"/>
          <w:color w:val="000000"/>
          <w:sz w:val="30"/>
          <w:szCs w:val="30"/>
        </w:rPr>
      </w:pPr>
    </w:p>
    <w:p w:rsidR="00092652" w:rsidRDefault="00092652">
      <w:pPr>
        <w:spacing w:line="520" w:lineRule="exact"/>
        <w:ind w:firstLineChars="200" w:firstLine="600"/>
        <w:rPr>
          <w:rFonts w:ascii="仿宋_GB2312" w:eastAsia="仿宋_GB2312" w:hAnsi="仿宋" w:cs="Courier New"/>
          <w:sz w:val="30"/>
          <w:szCs w:val="30"/>
        </w:rPr>
      </w:pPr>
    </w:p>
    <w:p w:rsidR="00092652" w:rsidRDefault="00092652">
      <w:pPr>
        <w:widowControl/>
        <w:spacing w:line="520" w:lineRule="exact"/>
        <w:jc w:val="left"/>
        <w:rPr>
          <w:rFonts w:eastAsia="仿宋_GB2312"/>
          <w:sz w:val="30"/>
          <w:szCs w:val="30"/>
        </w:rPr>
      </w:pPr>
    </w:p>
    <w:p w:rsidR="00092652" w:rsidRDefault="0039522B">
      <w:pPr>
        <w:widowControl/>
        <w:jc w:val="left"/>
        <w:rPr>
          <w:rFonts w:ascii="黑体" w:eastAsia="黑体"/>
          <w:sz w:val="32"/>
          <w:szCs w:val="32"/>
        </w:rPr>
      </w:pPr>
      <w:r>
        <w:rPr>
          <w:rFonts w:ascii="黑体" w:eastAsia="黑体"/>
          <w:sz w:val="32"/>
          <w:szCs w:val="32"/>
        </w:rPr>
        <w:br w:type="page"/>
      </w:r>
    </w:p>
    <w:p w:rsidR="00092652" w:rsidRDefault="00C4392E">
      <w:pPr>
        <w:tabs>
          <w:tab w:val="left" w:pos="416"/>
          <w:tab w:val="left" w:pos="1086"/>
          <w:tab w:val="center" w:pos="4156"/>
        </w:tabs>
        <w:spacing w:line="500" w:lineRule="exact"/>
        <w:ind w:firstLineChars="200" w:firstLine="640"/>
      </w:pPr>
      <w:r>
        <w:rPr>
          <w:rFonts w:ascii="黑体" w:eastAsia="黑体"/>
          <w:noProof/>
          <w:sz w:val="32"/>
          <w:szCs w:val="32"/>
        </w:rPr>
        <w:lastRenderedPageBreak/>
        <mc:AlternateContent>
          <mc:Choice Requires="wps">
            <w:drawing>
              <wp:anchor distT="0" distB="0" distL="114300" distR="114300" simplePos="0" relativeHeight="251669504" behindDoc="0" locked="0" layoutInCell="1" allowOverlap="1" wp14:anchorId="0E5CB311" wp14:editId="154E3BF1">
                <wp:simplePos x="0" y="0"/>
                <wp:positionH relativeFrom="column">
                  <wp:posOffset>-15875</wp:posOffset>
                </wp:positionH>
                <wp:positionV relativeFrom="paragraph">
                  <wp:posOffset>0</wp:posOffset>
                </wp:positionV>
                <wp:extent cx="1526540" cy="594360"/>
                <wp:effectExtent l="0" t="0" r="0" b="0"/>
                <wp:wrapSquare wrapText="bothSides"/>
                <wp:docPr id="1" name="文本框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6540"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15BAA" w:rsidRDefault="00115BAA">
                            <w:pPr>
                              <w:spacing w:line="400" w:lineRule="exact"/>
                              <w:jc w:val="center"/>
                              <w:rPr>
                                <w:rFonts w:ascii="宋体"/>
                                <w:color w:val="000000"/>
                                <w:szCs w:val="21"/>
                              </w:rPr>
                            </w:pPr>
                            <w:r>
                              <w:rPr>
                                <w:rFonts w:ascii="宋体" w:hint="eastAsia"/>
                                <w:color w:val="000000"/>
                                <w:szCs w:val="21"/>
                              </w:rPr>
                              <w:t>2020年年度股东大会</w:t>
                            </w:r>
                          </w:p>
                          <w:p w:rsidR="00115BAA" w:rsidRDefault="00115BAA">
                            <w:pPr>
                              <w:spacing w:line="400" w:lineRule="exact"/>
                              <w:jc w:val="center"/>
                              <w:rPr>
                                <w:rFonts w:ascii="宋体"/>
                                <w:color w:val="000000"/>
                                <w:szCs w:val="21"/>
                              </w:rPr>
                            </w:pPr>
                            <w:r>
                              <w:rPr>
                                <w:rFonts w:ascii="宋体" w:hint="eastAsia"/>
                                <w:color w:val="000000"/>
                                <w:szCs w:val="21"/>
                              </w:rPr>
                              <w:t>文件二十三　听取报告</w:t>
                            </w:r>
                          </w:p>
                          <w:p w:rsidR="00115BAA" w:rsidRDefault="00115BAA">
                            <w:pPr>
                              <w:rPr>
                                <w:szCs w:val="21"/>
                              </w:rPr>
                            </w:pPr>
                          </w:p>
                        </w:txbxContent>
                      </wps:txbx>
                      <wps:bodyPr wrap="none"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_x0000_s1049" type="#_x0000_t202" style="position:absolute;left:0;text-align:left;margin-left:-1.25pt;margin-top:0;width:120.2pt;height:46.8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">
                <v:path arrowok="t"/>
                <v:textbox>
                  <w:txbxContent>
                    <w:p w:rsidR="00115BAA" w:rsidRDefault="00115BAA">
                      <w:pPr>
                        <w:spacing w:line="400" w:lineRule="exact"/>
                        <w:jc w:val="center"/>
                        <w:rPr>
                          <w:rFonts w:ascii="宋体"/>
                          <w:color w:val="000000"/>
                          <w:szCs w:val="21"/>
                        </w:rPr>
                      </w:pPr>
                      <w:r>
                        <w:rPr>
                          <w:rFonts w:ascii="宋体" w:hint="eastAsia"/>
                          <w:color w:val="000000"/>
                          <w:szCs w:val="21"/>
                        </w:rPr>
                        <w:t>2020年年度股东大会</w:t>
                      </w:r>
                    </w:p>
                    <w:p w:rsidR="00115BAA" w:rsidRDefault="00115BAA">
                      <w:pPr>
                        <w:spacing w:line="400" w:lineRule="exact"/>
                        <w:jc w:val="center"/>
                        <w:rPr>
                          <w:rFonts w:ascii="宋体"/>
                          <w:color w:val="000000"/>
                          <w:szCs w:val="21"/>
                        </w:rPr>
                      </w:pPr>
                      <w:r>
                        <w:rPr>
                          <w:rFonts w:ascii="宋体" w:hint="eastAsia"/>
                          <w:color w:val="000000"/>
                          <w:szCs w:val="21"/>
                        </w:rPr>
                        <w:t>文件二十三　听取报告</w:t>
                      </w:r>
                    </w:p>
                    <w:p w:rsidR="00115BAA" w:rsidRDefault="00115BAA">
                      <w:pPr>
                        <w:rPr>
                          <w:szCs w:val="21"/>
                        </w:rPr>
                      </w:pPr>
                    </w:p>
                  </w:txbxContent>
                </v:textbox>
                <w10:wrap type="square"/>
              </v:shape>
            </w:pict>
          </mc:Fallback>
        </mc:AlternateContent>
      </w:r>
    </w:p>
    <w:p w:rsidR="00092652" w:rsidRDefault="00092652">
      <w:pPr>
        <w:widowControl/>
        <w:spacing w:line="560" w:lineRule="exact"/>
        <w:jc w:val="center"/>
        <w:rPr>
          <w:rFonts w:ascii="黑体" w:eastAsia="黑体"/>
          <w:sz w:val="32"/>
          <w:szCs w:val="32"/>
        </w:rPr>
      </w:pPr>
    </w:p>
    <w:p w:rsidR="00092652" w:rsidRDefault="0039522B">
      <w:pPr>
        <w:widowControl/>
        <w:spacing w:line="520" w:lineRule="exact"/>
        <w:jc w:val="center"/>
        <w:rPr>
          <w:rFonts w:ascii="黑体" w:eastAsia="黑体"/>
          <w:sz w:val="32"/>
          <w:szCs w:val="32"/>
        </w:rPr>
      </w:pPr>
      <w:r>
        <w:rPr>
          <w:rFonts w:ascii="黑体" w:eastAsia="黑体" w:hint="eastAsia"/>
          <w:sz w:val="32"/>
          <w:szCs w:val="32"/>
        </w:rPr>
        <w:t>兴业银行股份有限公司</w:t>
      </w:r>
    </w:p>
    <w:p w:rsidR="00092652" w:rsidRDefault="0039522B">
      <w:pPr>
        <w:pStyle w:val="1"/>
        <w:spacing w:before="0" w:after="0" w:line="520" w:lineRule="exact"/>
        <w:rPr>
          <w:szCs w:val="32"/>
        </w:rPr>
      </w:pPr>
      <w:bookmarkStart w:id="36" w:name="_Toc72437670"/>
      <w:r>
        <w:rPr>
          <w:rFonts w:hint="eastAsia"/>
          <w:szCs w:val="32"/>
        </w:rPr>
        <w:t>2020年度关联交易情况报告</w:t>
      </w:r>
      <w:bookmarkEnd w:id="36"/>
    </w:p>
    <w:p w:rsidR="00092652" w:rsidRDefault="0039522B">
      <w:pPr>
        <w:overflowPunct w:val="0"/>
        <w:snapToGrid w:val="0"/>
        <w:spacing w:line="520" w:lineRule="exact"/>
        <w:jc w:val="center"/>
        <w:rPr>
          <w:rFonts w:ascii="仿宋_GB2312" w:eastAsia="仿宋_GB2312"/>
          <w:sz w:val="30"/>
          <w:szCs w:val="28"/>
        </w:rPr>
      </w:pPr>
      <w:r>
        <w:rPr>
          <w:rFonts w:ascii="仿宋_GB2312" w:eastAsia="仿宋_GB2312" w:hint="eastAsia"/>
          <w:sz w:val="30"/>
          <w:szCs w:val="28"/>
        </w:rPr>
        <w:t>报告人：华 兵</w:t>
      </w:r>
    </w:p>
    <w:p w:rsidR="00092652" w:rsidRDefault="00092652">
      <w:pPr>
        <w:overflowPunct w:val="0"/>
        <w:snapToGrid w:val="0"/>
        <w:spacing w:line="520" w:lineRule="exact"/>
        <w:jc w:val="center"/>
        <w:rPr>
          <w:rFonts w:ascii="仿宋_GB2312" w:eastAsia="仿宋_GB2312"/>
          <w:sz w:val="30"/>
          <w:szCs w:val="28"/>
        </w:rPr>
      </w:pPr>
    </w:p>
    <w:p w:rsidR="00092652" w:rsidRDefault="0039522B">
      <w:pPr>
        <w:spacing w:line="520" w:lineRule="exact"/>
        <w:rPr>
          <w:rFonts w:ascii="仿宋_GB2312" w:eastAsia="仿宋_GB2312"/>
          <w:sz w:val="30"/>
          <w:szCs w:val="28"/>
        </w:rPr>
      </w:pPr>
      <w:r>
        <w:rPr>
          <w:rFonts w:ascii="仿宋_GB2312" w:eastAsia="仿宋_GB2312" w:hint="eastAsia"/>
          <w:sz w:val="30"/>
          <w:szCs w:val="28"/>
        </w:rPr>
        <w:t>各位股东：</w:t>
      </w:r>
    </w:p>
    <w:p w:rsidR="00092652" w:rsidRDefault="0039522B">
      <w:pPr>
        <w:spacing w:line="520" w:lineRule="exact"/>
        <w:ind w:firstLineChars="200" w:firstLine="600"/>
        <w:rPr>
          <w:rFonts w:ascii="仿宋_GB2312" w:eastAsia="仿宋_GB2312" w:hAnsi="华文中宋"/>
          <w:sz w:val="30"/>
          <w:szCs w:val="30"/>
        </w:rPr>
      </w:pPr>
      <w:r>
        <w:rPr>
          <w:rFonts w:ascii="仿宋_GB2312" w:eastAsia="仿宋_GB2312" w:hAnsi="华文中宋" w:hint="eastAsia"/>
          <w:sz w:val="30"/>
          <w:szCs w:val="30"/>
        </w:rPr>
        <w:t>2020年，本行严格遵循中国银行保险监督管理委员会（以下简称“银保监会”）、中国证券监督管理委员会（以下简称“证监会”）、上海证券交易所（以下简称“上交所”）等监管规定，通过强化关联方信息规范化管理、加强主要股东行为规范、建立常态化关联交易检查监督机制、推动关联交易信息化建设等各项工作，确保关联交易管理机制有效运行。根据银保监会《商业银行与内部人和股东关联交易管理办法》、证监会《公开发行证券的公司信息披露编报规则第26号—商业银行信息披露特别规定》以及本行《章程》《关联交易管理办法》等有关规定，现将本行2020年度关联交易管理的具体情况报告如下：</w:t>
      </w:r>
    </w:p>
    <w:p w:rsidR="00092652" w:rsidRDefault="0039522B">
      <w:pPr>
        <w:autoSpaceDE w:val="0"/>
        <w:autoSpaceDN w:val="0"/>
        <w:adjustRightInd w:val="0"/>
        <w:spacing w:line="520" w:lineRule="exact"/>
        <w:ind w:firstLine="555"/>
        <w:rPr>
          <w:rFonts w:ascii="仿宋_GB2312" w:eastAsia="仿宋_GB2312" w:hAnsi="华文中宋"/>
          <w:b/>
          <w:sz w:val="30"/>
          <w:szCs w:val="30"/>
        </w:rPr>
      </w:pPr>
      <w:r>
        <w:rPr>
          <w:rFonts w:ascii="仿宋_GB2312" w:eastAsia="仿宋_GB2312" w:hAnsi="华文中宋" w:hint="eastAsia"/>
          <w:b/>
          <w:sz w:val="30"/>
          <w:szCs w:val="30"/>
        </w:rPr>
        <w:t>一、关联交易管理情况</w:t>
      </w:r>
    </w:p>
    <w:p w:rsidR="00092652" w:rsidRDefault="0039522B">
      <w:pPr>
        <w:spacing w:line="520" w:lineRule="exact"/>
        <w:ind w:firstLine="570"/>
        <w:rPr>
          <w:rFonts w:ascii="仿宋_GB2312" w:eastAsia="仿宋_GB2312" w:hAnsi="微软雅黑"/>
          <w:color w:val="2E3033"/>
          <w:sz w:val="30"/>
          <w:szCs w:val="30"/>
        </w:rPr>
      </w:pPr>
      <w:r>
        <w:rPr>
          <w:rFonts w:ascii="仿宋_GB2312" w:eastAsia="仿宋_GB2312" w:hAnsi="华文中宋" w:hint="eastAsia"/>
          <w:b/>
          <w:sz w:val="30"/>
          <w:szCs w:val="30"/>
        </w:rPr>
        <w:t>（一）董事会及其审计与关联交易控制委员会尽职履责，确保关联交易公允、合规开展。</w:t>
      </w:r>
    </w:p>
    <w:p w:rsidR="00092652" w:rsidRDefault="0039522B">
      <w:pPr>
        <w:spacing w:line="520" w:lineRule="exact"/>
        <w:ind w:firstLineChars="200" w:firstLine="600"/>
        <w:rPr>
          <w:rFonts w:ascii="仿宋_GB2312" w:eastAsia="仿宋_GB2312" w:hAnsi="华文中宋"/>
          <w:sz w:val="30"/>
          <w:szCs w:val="30"/>
        </w:rPr>
      </w:pPr>
      <w:r>
        <w:rPr>
          <w:rFonts w:ascii="仿宋_GB2312" w:eastAsia="仿宋_GB2312" w:hAnsi="华文中宋" w:hint="eastAsia"/>
          <w:sz w:val="30"/>
          <w:szCs w:val="30"/>
        </w:rPr>
        <w:t>2020年，本行董事会审计与关联交易控制委员会共召开涉及关联交易审议事项3次，审议通过了《兴业银行2019年度关联交易情况报告》《关于给予浙江省能源集团有限公司系列关联交易额度的议案》《关于追加龙岩市汇金集团系列关联交易额度的议案》等，确保本行与关联方的交易合规、定价公允，不存在利益输送，不损害公司及股东尤其是中小股东利益。同时，根据</w:t>
      </w:r>
      <w:r>
        <w:rPr>
          <w:rFonts w:ascii="仿宋_GB2312" w:eastAsia="仿宋_GB2312" w:hAnsi="华文中宋" w:hint="eastAsia"/>
          <w:sz w:val="30"/>
          <w:szCs w:val="30"/>
        </w:rPr>
        <w:lastRenderedPageBreak/>
        <w:t>监管规定，委员会及时审核确认本行关联方清单，确保关联方认定有效合规。</w:t>
      </w:r>
    </w:p>
    <w:p w:rsidR="00092652" w:rsidRDefault="0039522B">
      <w:pPr>
        <w:autoSpaceDE w:val="0"/>
        <w:autoSpaceDN w:val="0"/>
        <w:adjustRightInd w:val="0"/>
        <w:spacing w:line="520" w:lineRule="exact"/>
        <w:ind w:firstLine="555"/>
        <w:rPr>
          <w:rFonts w:ascii="仿宋_GB2312" w:eastAsia="仿宋_GB2312" w:hAnsi="宋体"/>
          <w:sz w:val="30"/>
          <w:szCs w:val="30"/>
        </w:rPr>
      </w:pPr>
      <w:r>
        <w:rPr>
          <w:rFonts w:ascii="仿宋_GB2312" w:eastAsia="仿宋_GB2312" w:hAnsi="宋体" w:hint="eastAsia"/>
          <w:sz w:val="30"/>
          <w:szCs w:val="30"/>
        </w:rPr>
        <w:t>报告期内，董事会审计与关联交易控制委员会高效、专业、独立地运作，各位委员勤勉履行董事会赋予的关联交易事前审核职责，为董事会审议相关议案提供决策依据。在表决议案时，关联董事均回避表决，独立董事对关联交易议案均发表了独立意见。各位董事通过充分履行关联交易事前审核和事后监督职责，确保本行关联交易事项符合监管合规要求。</w:t>
      </w:r>
    </w:p>
    <w:p w:rsidR="00092652" w:rsidRDefault="0039522B">
      <w:pPr>
        <w:spacing w:line="520" w:lineRule="exact"/>
        <w:ind w:firstLine="570"/>
        <w:rPr>
          <w:rFonts w:ascii="仿宋_GB2312" w:eastAsia="仿宋_GB2312" w:hAnsi="黑体"/>
          <w:b/>
          <w:sz w:val="30"/>
          <w:szCs w:val="30"/>
        </w:rPr>
      </w:pPr>
      <w:r>
        <w:rPr>
          <w:rFonts w:ascii="仿宋_GB2312" w:eastAsia="仿宋_GB2312" w:hAnsi="华文中宋" w:hint="eastAsia"/>
          <w:b/>
          <w:sz w:val="30"/>
          <w:szCs w:val="30"/>
        </w:rPr>
        <w:t>（二）持续健全关联方定期更新和动态维护机制</w:t>
      </w:r>
      <w:r>
        <w:rPr>
          <w:rFonts w:ascii="仿宋_GB2312" w:eastAsia="仿宋_GB2312" w:hAnsi="黑体" w:hint="eastAsia"/>
          <w:b/>
          <w:sz w:val="30"/>
          <w:szCs w:val="30"/>
        </w:rPr>
        <w:t>，夯实关联交易管理基础。</w:t>
      </w:r>
    </w:p>
    <w:p w:rsidR="00092652" w:rsidRDefault="0039522B">
      <w:pPr>
        <w:spacing w:line="520" w:lineRule="exact"/>
        <w:ind w:firstLine="570"/>
        <w:rPr>
          <w:rFonts w:ascii="仿宋_GB2312" w:eastAsia="仿宋_GB2312" w:hAnsi="华文中宋"/>
          <w:sz w:val="30"/>
          <w:szCs w:val="30"/>
        </w:rPr>
      </w:pPr>
      <w:r>
        <w:rPr>
          <w:rFonts w:ascii="仿宋_GB2312" w:eastAsia="仿宋_GB2312" w:hAnsi="黑体" w:hint="eastAsia"/>
          <w:sz w:val="30"/>
          <w:szCs w:val="30"/>
        </w:rPr>
        <w:t>2020年本行从“关联方主动申报”和“经营机构关联方尽调申报”两个渠道双管齐下，进一步强化关联方认定的准确性和完整性</w:t>
      </w:r>
      <w:r>
        <w:rPr>
          <w:rFonts w:ascii="仿宋_GB2312" w:eastAsia="仿宋_GB2312" w:hAnsi="华文中宋" w:hint="eastAsia"/>
          <w:sz w:val="30"/>
          <w:szCs w:val="30"/>
        </w:rPr>
        <w:t>。</w:t>
      </w:r>
      <w:r>
        <w:rPr>
          <w:rFonts w:ascii="仿宋_GB2312" w:eastAsia="仿宋_GB2312" w:hAnsi="黑体" w:hint="eastAsia"/>
          <w:b/>
          <w:sz w:val="30"/>
          <w:szCs w:val="30"/>
        </w:rPr>
        <w:t>一是</w:t>
      </w:r>
      <w:r>
        <w:rPr>
          <w:rFonts w:ascii="仿宋_GB2312" w:eastAsia="仿宋_GB2312" w:hAnsi="黑体" w:hint="eastAsia"/>
          <w:sz w:val="30"/>
          <w:szCs w:val="30"/>
        </w:rPr>
        <w:t>开展新一轮主要股东关联方征询工作。在征询过程中，</w:t>
      </w:r>
      <w:r>
        <w:rPr>
          <w:rFonts w:ascii="仿宋_GB2312" w:eastAsia="仿宋_GB2312" w:hAnsi="Calibri" w:cs="宋体" w:hint="eastAsia"/>
          <w:color w:val="000000"/>
          <w:kern w:val="0"/>
          <w:sz w:val="30"/>
          <w:szCs w:val="30"/>
        </w:rPr>
        <w:t>着重</w:t>
      </w:r>
      <w:r>
        <w:rPr>
          <w:rFonts w:ascii="仿宋_GB2312" w:eastAsia="仿宋_GB2312" w:hAnsi="宋体" w:hint="eastAsia"/>
          <w:sz w:val="30"/>
          <w:szCs w:val="30"/>
        </w:rPr>
        <w:t>向主要股东等关联方传导关联方申报义务、关联交易规范化管理要求以及未如实说明股权结构、滥用股东权利谋取不正当利益需要承担的法律责任，进一步提高了关联方申报信息质量。</w:t>
      </w:r>
      <w:r>
        <w:rPr>
          <w:rFonts w:ascii="仿宋_GB2312" w:eastAsia="仿宋_GB2312" w:hAnsi="Calibri" w:hint="eastAsia"/>
          <w:b/>
          <w:sz w:val="30"/>
          <w:szCs w:val="30"/>
        </w:rPr>
        <w:t>二是</w:t>
      </w:r>
      <w:r>
        <w:rPr>
          <w:rFonts w:ascii="仿宋_GB2312" w:eastAsia="仿宋_GB2312" w:hAnsi="黑体" w:hint="eastAsia"/>
          <w:sz w:val="30"/>
          <w:szCs w:val="30"/>
        </w:rPr>
        <w:t>开展内部人关联方信息专项梳理。根据监管新要求完成存量内部人关联方信息梳理与查漏补缺，并积极利用内外部信息，强化内部人关联方申报材料的核实查验。</w:t>
      </w:r>
      <w:r>
        <w:rPr>
          <w:rFonts w:ascii="仿宋_GB2312" w:eastAsia="仿宋_GB2312" w:hAnsi="黑体" w:hint="eastAsia"/>
          <w:b/>
          <w:sz w:val="30"/>
          <w:szCs w:val="30"/>
        </w:rPr>
        <w:t>三是</w:t>
      </w:r>
      <w:r>
        <w:rPr>
          <w:rFonts w:ascii="仿宋_GB2312" w:eastAsia="仿宋_GB2312" w:hAnsi="华文中宋" w:hint="eastAsia"/>
          <w:sz w:val="30"/>
          <w:szCs w:val="30"/>
        </w:rPr>
        <w:t>各级机构主动履行关联方尽职调查职责。</w:t>
      </w:r>
      <w:r>
        <w:rPr>
          <w:rFonts w:ascii="仿宋_GB2312" w:eastAsia="仿宋_GB2312" w:hAnsi="Calibri" w:hint="eastAsia"/>
          <w:sz w:val="30"/>
          <w:szCs w:val="30"/>
        </w:rPr>
        <w:t>按照“实质重于形式”和“穿透性”原则，各级机构</w:t>
      </w:r>
      <w:r>
        <w:rPr>
          <w:rFonts w:ascii="仿宋_GB2312" w:eastAsia="仿宋_GB2312" w:hAnsi="华文中宋" w:hint="eastAsia"/>
          <w:sz w:val="30"/>
          <w:szCs w:val="30"/>
        </w:rPr>
        <w:t>在日常业务开展过程中均主动收集、识别与核实符合关联交易内外部规定的本行关联方信息，及时报告并完成关联方名单维护。</w:t>
      </w:r>
      <w:r>
        <w:rPr>
          <w:rFonts w:ascii="仿宋_GB2312" w:eastAsia="仿宋_GB2312" w:hAnsi="华文中宋" w:hint="eastAsia"/>
          <w:b/>
          <w:sz w:val="30"/>
          <w:szCs w:val="30"/>
        </w:rPr>
        <w:t>四是</w:t>
      </w:r>
      <w:r>
        <w:rPr>
          <w:rFonts w:ascii="仿宋_GB2312" w:eastAsia="仿宋_GB2312" w:hAnsi="黑体" w:hint="eastAsia"/>
          <w:sz w:val="30"/>
          <w:szCs w:val="30"/>
        </w:rPr>
        <w:t>建立关联关系图谱。根据银保监会关联交易监管系统关联方报送新要求，按穿透原则将主要股东的控股股东、实际控制人、关联方、一致行动人、最终受益人纳入关联方管理的同时，新增建立关联关系图谱表，进一步明确相关法人或其他组织构成</w:t>
      </w:r>
      <w:r>
        <w:rPr>
          <w:rFonts w:ascii="仿宋_GB2312" w:eastAsia="仿宋_GB2312" w:hAnsi="黑体" w:hint="eastAsia"/>
          <w:sz w:val="30"/>
          <w:szCs w:val="30"/>
        </w:rPr>
        <w:lastRenderedPageBreak/>
        <w:t>本行关联方的原因和路径。</w:t>
      </w:r>
    </w:p>
    <w:p w:rsidR="00092652" w:rsidRDefault="0039522B">
      <w:pPr>
        <w:spacing w:line="520" w:lineRule="exact"/>
        <w:ind w:firstLineChars="200" w:firstLine="602"/>
        <w:rPr>
          <w:rFonts w:ascii="仿宋_GB2312" w:eastAsia="仿宋_GB2312" w:hAnsi="华文中宋"/>
          <w:b/>
          <w:sz w:val="30"/>
          <w:szCs w:val="30"/>
        </w:rPr>
      </w:pPr>
      <w:r>
        <w:rPr>
          <w:rFonts w:ascii="仿宋_GB2312" w:eastAsia="仿宋_GB2312" w:hAnsi="华文中宋" w:hint="eastAsia"/>
          <w:b/>
          <w:sz w:val="30"/>
          <w:szCs w:val="30"/>
        </w:rPr>
        <w:t>（三）重点抓好主要股东行为规范和重大关联交易管理，切实保障全体股东合法权益。</w:t>
      </w:r>
    </w:p>
    <w:p w:rsidR="00092652" w:rsidRDefault="0039522B">
      <w:pPr>
        <w:spacing w:line="520" w:lineRule="exact"/>
        <w:ind w:firstLineChars="200" w:firstLine="600"/>
        <w:rPr>
          <w:rFonts w:ascii="仿宋_GB2312" w:eastAsia="仿宋_GB2312" w:hAnsi="Calibri"/>
          <w:sz w:val="30"/>
          <w:szCs w:val="30"/>
        </w:rPr>
      </w:pPr>
      <w:r>
        <w:rPr>
          <w:rFonts w:ascii="仿宋_GB2312" w:eastAsia="仿宋_GB2312" w:hAnsi="华文中宋" w:hint="eastAsia"/>
          <w:sz w:val="30"/>
          <w:szCs w:val="30"/>
        </w:rPr>
        <w:t>在当前银保监会重点整治股权关系不清、股东行为不当等突出问题的背景下，报告期内本行从风险为本、分类管理原则出发，通过强化主要股东行为规范、落实主要股东关联方重大关联交易额度管控等措施，确保各项交易公允、合规、可持续开展。</w:t>
      </w:r>
      <w:r>
        <w:rPr>
          <w:rFonts w:ascii="仿宋_GB2312" w:eastAsia="仿宋_GB2312" w:hAnsi="华文中宋" w:hint="eastAsia"/>
          <w:b/>
          <w:sz w:val="30"/>
          <w:szCs w:val="30"/>
        </w:rPr>
        <w:t>一是</w:t>
      </w:r>
      <w:r>
        <w:rPr>
          <w:rFonts w:ascii="仿宋_GB2312" w:eastAsia="仿宋_GB2312" w:hAnsi="黑体" w:hint="eastAsia"/>
          <w:sz w:val="30"/>
          <w:szCs w:val="30"/>
        </w:rPr>
        <w:t>开展主要股东关联交易管理情况摸排。经排查，本行与主要股东关联方涉及的重大交易均严格按照监管要求履行重大关联交易审批和信息披露程序，在程序上合法、合规；各项交易均严格遵循诚实信用、公允原则和商业原则，不存在不当利益输送；相关关联交易集中度较低且严格控制在监管要求范围之内，本行对主要股东未产生实质性依赖。</w:t>
      </w:r>
      <w:r>
        <w:rPr>
          <w:rFonts w:ascii="仿宋_GB2312" w:eastAsia="仿宋_GB2312" w:hAnsi="黑体" w:hint="eastAsia"/>
          <w:b/>
          <w:sz w:val="30"/>
          <w:szCs w:val="30"/>
        </w:rPr>
        <w:t>二是</w:t>
      </w:r>
      <w:r>
        <w:rPr>
          <w:rFonts w:ascii="仿宋_GB2312" w:eastAsia="仿宋_GB2312" w:hAnsi="宋体" w:hint="eastAsia"/>
          <w:color w:val="000000"/>
          <w:sz w:val="30"/>
          <w:szCs w:val="30"/>
        </w:rPr>
        <w:t>严格按照</w:t>
      </w:r>
      <w:r>
        <w:rPr>
          <w:rFonts w:ascii="仿宋_GB2312" w:eastAsia="仿宋_GB2312" w:hAnsi="Calibri" w:hint="eastAsia"/>
          <w:sz w:val="30"/>
          <w:szCs w:val="30"/>
        </w:rPr>
        <w:t>银保监会、上交所等外部监管规定，做好重大关联交易额度审批和信息披露工作。</w:t>
      </w:r>
      <w:r>
        <w:rPr>
          <w:rFonts w:ascii="仿宋_GB2312" w:eastAsia="仿宋_GB2312" w:hAnsi="宋体" w:hint="eastAsia"/>
          <w:color w:val="000000"/>
          <w:sz w:val="30"/>
          <w:szCs w:val="30"/>
        </w:rPr>
        <w:t>报告期内，本行完成了</w:t>
      </w:r>
      <w:r>
        <w:rPr>
          <w:rFonts w:ascii="仿宋_GB2312" w:eastAsia="仿宋_GB2312" w:hAnsi="宋体" w:hint="eastAsia"/>
          <w:sz w:val="30"/>
          <w:szCs w:val="30"/>
        </w:rPr>
        <w:t>浙江省能源集团系列、龙岩市汇金集团系列</w:t>
      </w:r>
      <w:r>
        <w:rPr>
          <w:rFonts w:ascii="仿宋_GB2312" w:eastAsia="仿宋_GB2312" w:hAnsi="Calibri" w:hint="eastAsia"/>
          <w:color w:val="000000"/>
          <w:sz w:val="30"/>
          <w:szCs w:val="30"/>
        </w:rPr>
        <w:t>重大</w:t>
      </w:r>
      <w:r>
        <w:rPr>
          <w:rFonts w:ascii="仿宋_GB2312" w:eastAsia="仿宋_GB2312" w:hAnsi="宋体" w:hint="eastAsia"/>
          <w:color w:val="000000"/>
          <w:sz w:val="30"/>
          <w:szCs w:val="30"/>
        </w:rPr>
        <w:t>关联交易额度</w:t>
      </w:r>
      <w:r>
        <w:rPr>
          <w:rFonts w:ascii="仿宋_GB2312" w:eastAsia="仿宋_GB2312" w:hAnsi="Calibri" w:hint="eastAsia"/>
          <w:color w:val="000000"/>
          <w:sz w:val="30"/>
          <w:szCs w:val="30"/>
        </w:rPr>
        <w:t>组织</w:t>
      </w:r>
      <w:r>
        <w:rPr>
          <w:rFonts w:ascii="仿宋_GB2312" w:eastAsia="仿宋_GB2312" w:hAnsi="宋体" w:hint="eastAsia"/>
          <w:color w:val="000000"/>
          <w:sz w:val="30"/>
          <w:szCs w:val="30"/>
        </w:rPr>
        <w:t>申报工作，</w:t>
      </w:r>
      <w:r>
        <w:rPr>
          <w:rFonts w:ascii="仿宋_GB2312" w:eastAsia="仿宋_GB2312" w:hAnsi="华文中宋" w:hint="eastAsia"/>
          <w:sz w:val="30"/>
          <w:szCs w:val="30"/>
        </w:rPr>
        <w:t>相关</w:t>
      </w:r>
      <w:r>
        <w:rPr>
          <w:rFonts w:ascii="仿宋_GB2312" w:eastAsia="仿宋_GB2312" w:hAnsi="宋体" w:hint="eastAsia"/>
          <w:color w:val="000000"/>
          <w:sz w:val="30"/>
          <w:szCs w:val="30"/>
        </w:rPr>
        <w:t>议案经本行董事会审批通过</w:t>
      </w:r>
      <w:r>
        <w:rPr>
          <w:rFonts w:ascii="仿宋_GB2312" w:eastAsia="仿宋_GB2312" w:hAnsi="Calibri" w:hint="eastAsia"/>
          <w:color w:val="000000"/>
          <w:sz w:val="30"/>
          <w:szCs w:val="30"/>
        </w:rPr>
        <w:t>后，及时向银保监会履行报备程序，并在上交所发布重大关联交易公告进行信息</w:t>
      </w:r>
      <w:r>
        <w:rPr>
          <w:rFonts w:ascii="仿宋_GB2312" w:eastAsia="仿宋_GB2312" w:hAnsi="宋体" w:hint="eastAsia"/>
          <w:color w:val="000000"/>
          <w:sz w:val="30"/>
          <w:szCs w:val="30"/>
        </w:rPr>
        <w:t>披露</w:t>
      </w:r>
      <w:r>
        <w:rPr>
          <w:rFonts w:ascii="仿宋_GB2312" w:eastAsia="仿宋_GB2312" w:hAnsi="华文中宋" w:hint="eastAsia"/>
          <w:sz w:val="30"/>
          <w:szCs w:val="30"/>
        </w:rPr>
        <w:t>。</w:t>
      </w:r>
      <w:r>
        <w:rPr>
          <w:rFonts w:ascii="仿宋_GB2312" w:eastAsia="仿宋_GB2312" w:hAnsi="华文中宋" w:hint="eastAsia"/>
          <w:b/>
          <w:sz w:val="30"/>
          <w:szCs w:val="30"/>
        </w:rPr>
        <w:t>三是</w:t>
      </w:r>
      <w:r>
        <w:rPr>
          <w:rFonts w:ascii="仿宋_GB2312" w:eastAsia="仿宋_GB2312" w:hAnsi="宋体" w:hint="eastAsia"/>
          <w:color w:val="000000"/>
          <w:sz w:val="30"/>
          <w:szCs w:val="30"/>
        </w:rPr>
        <w:t>持续加强重大关联交易额度管理。总行额度主管部门按照“总量控制、切块管理”要求，进一步规范重大关联交易额度管理流程，细化额度管理措施，确保重大额度申请、切分、管理、统计等要求得到切实落地。报告期内本行与人保、中烟、阳光、龙岩市汇金集团、浙江省能源集团等主要股东关联方开展的各项交易均严格控制在董事会或股东大会已审批的重大额度范围内公平公允开展。</w:t>
      </w:r>
    </w:p>
    <w:p w:rsidR="00092652" w:rsidRDefault="0039522B">
      <w:pPr>
        <w:spacing w:line="520" w:lineRule="exact"/>
        <w:ind w:firstLineChars="200" w:firstLine="602"/>
        <w:rPr>
          <w:rFonts w:ascii="仿宋_GB2312" w:eastAsia="仿宋_GB2312" w:hAnsi="华文中宋"/>
          <w:b/>
          <w:sz w:val="30"/>
          <w:szCs w:val="30"/>
        </w:rPr>
      </w:pPr>
      <w:r>
        <w:rPr>
          <w:rFonts w:ascii="仿宋_GB2312" w:eastAsia="仿宋_GB2312" w:hAnsi="华文中宋" w:hint="eastAsia"/>
          <w:b/>
          <w:sz w:val="30"/>
          <w:szCs w:val="30"/>
        </w:rPr>
        <w:t>（四）严格对标监管系统报送新要求，持续推动关联交易信息化建设。</w:t>
      </w:r>
    </w:p>
    <w:p w:rsidR="00092652" w:rsidRDefault="0039522B">
      <w:pPr>
        <w:spacing w:line="520" w:lineRule="exact"/>
        <w:ind w:firstLineChars="200" w:firstLine="600"/>
        <w:rPr>
          <w:rFonts w:ascii="仿宋_GB2312" w:eastAsia="仿宋_GB2312" w:hAnsi="华文中宋"/>
          <w:sz w:val="30"/>
          <w:szCs w:val="30"/>
        </w:rPr>
      </w:pPr>
      <w:r>
        <w:rPr>
          <w:rFonts w:ascii="仿宋_GB2312" w:eastAsia="仿宋_GB2312" w:hAnsi="华文中宋" w:hint="eastAsia"/>
          <w:sz w:val="30"/>
          <w:szCs w:val="30"/>
        </w:rPr>
        <w:lastRenderedPageBreak/>
        <w:t>为符合关联交易监管系统关于信息报送频率和数据颗粒度细化要求，报告期内本行对关联交易管理系统平台进行了升级改造，并持续推进关联交易管理要求的系统硬控制。</w:t>
      </w:r>
      <w:r>
        <w:rPr>
          <w:rFonts w:ascii="仿宋_GB2312" w:eastAsia="仿宋_GB2312" w:hAnsi="华文中宋" w:hint="eastAsia"/>
          <w:b/>
          <w:sz w:val="30"/>
          <w:szCs w:val="30"/>
        </w:rPr>
        <w:t>一是</w:t>
      </w:r>
      <w:r>
        <w:rPr>
          <w:rFonts w:ascii="仿宋_GB2312" w:eastAsia="仿宋_GB2312" w:hAnsi="华文中宋" w:hint="eastAsia"/>
          <w:sz w:val="30"/>
          <w:szCs w:val="30"/>
        </w:rPr>
        <w:t>完善关联方管理模块，</w:t>
      </w:r>
      <w:r>
        <w:rPr>
          <w:rFonts w:ascii="仿宋_GB2312" w:eastAsia="仿宋_GB2312" w:hAnsi="Calibri" w:hint="eastAsia"/>
          <w:sz w:val="30"/>
          <w:szCs w:val="30"/>
        </w:rPr>
        <w:t>新增关键信息导入校验等功能</w:t>
      </w:r>
      <w:r>
        <w:rPr>
          <w:rFonts w:ascii="仿宋_GB2312" w:eastAsia="仿宋_GB2312" w:hAnsi="黑体" w:hint="eastAsia"/>
          <w:sz w:val="30"/>
          <w:szCs w:val="30"/>
        </w:rPr>
        <w:t>，强化关联方信息的导入规范和痕迹化管理。</w:t>
      </w:r>
      <w:r>
        <w:rPr>
          <w:rFonts w:ascii="仿宋_GB2312" w:eastAsia="仿宋_GB2312" w:hAnsi="黑体" w:hint="eastAsia"/>
          <w:b/>
          <w:sz w:val="30"/>
          <w:szCs w:val="30"/>
        </w:rPr>
        <w:t>二是</w:t>
      </w:r>
      <w:r>
        <w:rPr>
          <w:rFonts w:ascii="仿宋_GB2312" w:eastAsia="仿宋_GB2312" w:hAnsi="华文中宋" w:hint="eastAsia"/>
          <w:sz w:val="30"/>
          <w:szCs w:val="30"/>
        </w:rPr>
        <w:t>新增</w:t>
      </w:r>
      <w:r>
        <w:rPr>
          <w:rFonts w:ascii="仿宋_GB2312" w:eastAsia="仿宋_GB2312" w:hAnsi="Calibri" w:cs="宋体" w:hint="eastAsia"/>
          <w:color w:val="000000"/>
          <w:kern w:val="0"/>
          <w:sz w:val="30"/>
          <w:szCs w:val="30"/>
        </w:rPr>
        <w:t>上线关联交易数据报送模块，实现关联交</w:t>
      </w:r>
      <w:r>
        <w:rPr>
          <w:rFonts w:ascii="仿宋_GB2312" w:eastAsia="仿宋_GB2312" w:hAnsi="黑体" w:hint="eastAsia"/>
          <w:sz w:val="30"/>
          <w:szCs w:val="30"/>
        </w:rPr>
        <w:t>易数据在线报送、数据报送规范性系统校验、关联交易报表自动生成等功能，避免线下报送统计可能产生的操作风险，促进关联交易监管数据质量提高。</w:t>
      </w:r>
      <w:r>
        <w:rPr>
          <w:rFonts w:ascii="仿宋_GB2312" w:eastAsia="仿宋_GB2312" w:hAnsi="黑体" w:hint="eastAsia"/>
          <w:b/>
          <w:sz w:val="30"/>
          <w:szCs w:val="30"/>
        </w:rPr>
        <w:t>三是</w:t>
      </w:r>
      <w:r>
        <w:rPr>
          <w:rFonts w:ascii="仿宋_GB2312" w:eastAsia="仿宋_GB2312" w:hAnsi="黑体" w:hint="eastAsia"/>
          <w:sz w:val="30"/>
          <w:szCs w:val="30"/>
        </w:rPr>
        <w:t>强化交联交易事前控制，持续推动关联交易合规性管理要求在业务系统中的内嵌和完善工作。目前本行已在统一授信作业系统、零售信贷工厂系统、新一代零售网络信贷系统等系统中实现关联方的自动识别以及对不发放信用贷款进行系统刚性控制。</w:t>
      </w:r>
    </w:p>
    <w:p w:rsidR="00092652" w:rsidRDefault="0039522B">
      <w:pPr>
        <w:spacing w:line="500" w:lineRule="exact"/>
        <w:ind w:firstLineChars="200" w:firstLine="602"/>
        <w:rPr>
          <w:rFonts w:ascii="仿宋_GB2312" w:eastAsia="仿宋_GB2312" w:hAnsi="宋体"/>
          <w:b/>
          <w:color w:val="000000"/>
          <w:sz w:val="30"/>
          <w:szCs w:val="30"/>
        </w:rPr>
      </w:pPr>
      <w:r>
        <w:rPr>
          <w:rFonts w:ascii="仿宋_GB2312" w:eastAsia="仿宋_GB2312" w:hAnsi="华文中宋" w:hint="eastAsia"/>
          <w:b/>
          <w:sz w:val="30"/>
          <w:szCs w:val="30"/>
        </w:rPr>
        <w:t>（五）加强关联交易合规宣贯与检查监督，</w:t>
      </w:r>
      <w:r>
        <w:rPr>
          <w:rFonts w:ascii="仿宋_GB2312" w:eastAsia="仿宋_GB2312" w:hAnsi="宋体" w:hint="eastAsia"/>
          <w:b/>
          <w:color w:val="000000"/>
          <w:sz w:val="30"/>
          <w:szCs w:val="30"/>
        </w:rPr>
        <w:t>防范关联交易合规风险。</w:t>
      </w:r>
    </w:p>
    <w:p w:rsidR="00092652" w:rsidRDefault="0039522B">
      <w:pPr>
        <w:spacing w:line="500" w:lineRule="exact"/>
        <w:ind w:firstLineChars="200" w:firstLine="600"/>
        <w:rPr>
          <w:rFonts w:ascii="仿宋_GB2312" w:eastAsia="仿宋_GB2312" w:hAnsi="Calibri" w:cs="宋体"/>
          <w:color w:val="000000"/>
          <w:kern w:val="0"/>
          <w:sz w:val="30"/>
          <w:szCs w:val="30"/>
        </w:rPr>
      </w:pPr>
      <w:r>
        <w:rPr>
          <w:rFonts w:ascii="仿宋_GB2312" w:eastAsia="仿宋_GB2312" w:hAnsi="黑体" w:hint="eastAsia"/>
          <w:sz w:val="30"/>
          <w:szCs w:val="30"/>
        </w:rPr>
        <w:t>报告期内本行兼顾重点和全流程覆盖要求，将关联交易检查和整治作为一项常态化工作来抓，做到实时监控和动态纠偏。</w:t>
      </w:r>
      <w:r>
        <w:rPr>
          <w:rFonts w:ascii="仿宋_GB2312" w:eastAsia="仿宋_GB2312" w:hAnsi="黑体" w:hint="eastAsia"/>
          <w:b/>
          <w:sz w:val="30"/>
          <w:szCs w:val="30"/>
        </w:rPr>
        <w:t>一是</w:t>
      </w:r>
      <w:r>
        <w:rPr>
          <w:rFonts w:ascii="仿宋_GB2312" w:eastAsia="仿宋_GB2312" w:hAnsi="黑体" w:hint="eastAsia"/>
          <w:sz w:val="30"/>
          <w:szCs w:val="30"/>
        </w:rPr>
        <w:t>结合银保监会</w:t>
      </w:r>
      <w:r>
        <w:rPr>
          <w:rFonts w:ascii="仿宋_GB2312" w:eastAsia="仿宋_GB2312" w:hAnsi="Calibri" w:cs="宋体" w:hint="eastAsia"/>
          <w:color w:val="000000"/>
          <w:kern w:val="0"/>
          <w:sz w:val="30"/>
          <w:szCs w:val="30"/>
        </w:rPr>
        <w:t>“市场乱象整治回头看”“股权和关联交易专项整治回头看”“公司治理自评估”等检查要求，在集团范围内部署开展关联交易专项整治工作，评估重检前期整改成效、</w:t>
      </w:r>
      <w:r>
        <w:rPr>
          <w:rFonts w:ascii="仿宋_GB2312" w:eastAsia="仿宋_GB2312" w:hAnsi="黑体" w:hint="eastAsia"/>
          <w:sz w:val="30"/>
          <w:szCs w:val="30"/>
        </w:rPr>
        <w:t>查找关联交易管理不足，并从制度、流程、系统等方面推动管理改进。</w:t>
      </w:r>
      <w:r>
        <w:rPr>
          <w:rFonts w:ascii="仿宋_GB2312" w:eastAsia="仿宋_GB2312" w:hAnsi="黑体" w:hint="eastAsia"/>
          <w:b/>
          <w:sz w:val="30"/>
          <w:szCs w:val="30"/>
        </w:rPr>
        <w:t>二是</w:t>
      </w:r>
      <w:r>
        <w:rPr>
          <w:rFonts w:ascii="仿宋_GB2312" w:eastAsia="仿宋_GB2312" w:hAnsi="Calibri" w:cs="宋体" w:hint="eastAsia"/>
          <w:color w:val="000000"/>
          <w:kern w:val="0"/>
          <w:sz w:val="30"/>
          <w:szCs w:val="30"/>
        </w:rPr>
        <w:t>开展关联交易专项审计工作，</w:t>
      </w:r>
      <w:r>
        <w:rPr>
          <w:rFonts w:ascii="仿宋_GB2312" w:eastAsia="仿宋_GB2312" w:hAnsi="Calibri" w:hint="eastAsia"/>
          <w:sz w:val="30"/>
          <w:szCs w:val="30"/>
        </w:rPr>
        <w:t>从集团层面对关联交易管理的组织架构、制度建设、关联方识别与维护、关联交易信息统计与披露等工作进行了全方位评价，有效促进了关联交易规范化管理。</w:t>
      </w:r>
      <w:r>
        <w:rPr>
          <w:rFonts w:ascii="仿宋_GB2312" w:eastAsia="仿宋_GB2312" w:hAnsi="Calibri" w:hint="eastAsia"/>
          <w:b/>
          <w:sz w:val="30"/>
          <w:szCs w:val="30"/>
        </w:rPr>
        <w:t>三是</w:t>
      </w:r>
      <w:r>
        <w:rPr>
          <w:rFonts w:ascii="仿宋_GB2312" w:eastAsia="仿宋_GB2312" w:hAnsi="宋体" w:hint="eastAsia"/>
          <w:color w:val="000000"/>
          <w:sz w:val="30"/>
          <w:szCs w:val="30"/>
        </w:rPr>
        <w:t>持续加强关联交易日常监测力度，及时揭示关联交易管理中存在的合规风险点并积极落实整改，将关联交易合规管理要求转化为日常管理自觉行为。</w:t>
      </w:r>
      <w:r>
        <w:rPr>
          <w:rFonts w:ascii="仿宋_GB2312" w:eastAsia="仿宋_GB2312" w:hAnsi="宋体" w:hint="eastAsia"/>
          <w:b/>
          <w:color w:val="000000"/>
          <w:sz w:val="30"/>
          <w:szCs w:val="30"/>
        </w:rPr>
        <w:t>四是</w:t>
      </w:r>
      <w:r>
        <w:rPr>
          <w:rFonts w:ascii="仿宋_GB2312" w:eastAsia="仿宋_GB2312" w:hAnsi="宋体" w:hint="eastAsia"/>
          <w:color w:val="000000"/>
          <w:sz w:val="30"/>
          <w:szCs w:val="30"/>
        </w:rPr>
        <w:t>组织</w:t>
      </w:r>
      <w:r>
        <w:rPr>
          <w:rFonts w:ascii="仿宋_GB2312" w:eastAsia="仿宋_GB2312" w:hAnsi="Calibri" w:cs="宋体" w:hint="eastAsia"/>
          <w:color w:val="000000"/>
          <w:kern w:val="0"/>
          <w:sz w:val="30"/>
          <w:szCs w:val="30"/>
        </w:rPr>
        <w:t>开展关联交易管理培训，分析研判当前银行关联交易管理面临的新形势，积极传导监管关于关</w:t>
      </w:r>
      <w:r>
        <w:rPr>
          <w:rFonts w:ascii="仿宋_GB2312" w:eastAsia="仿宋_GB2312" w:hAnsi="Calibri" w:cs="宋体" w:hint="eastAsia"/>
          <w:color w:val="000000"/>
          <w:kern w:val="0"/>
          <w:sz w:val="30"/>
          <w:szCs w:val="30"/>
        </w:rPr>
        <w:lastRenderedPageBreak/>
        <w:t>联交易管理方面的新要求，并明确下阶段加强关联交易管理的工作措施，促进全行员工关联交易合规管理意识和履职能力提升。</w:t>
      </w:r>
    </w:p>
    <w:p w:rsidR="00092652" w:rsidRDefault="0039522B">
      <w:pPr>
        <w:spacing w:line="500" w:lineRule="exact"/>
        <w:ind w:firstLineChars="200" w:firstLine="602"/>
        <w:rPr>
          <w:rFonts w:ascii="仿宋_GB2312" w:eastAsia="仿宋_GB2312" w:hAnsi="Calibri" w:cs="宋体"/>
          <w:b/>
          <w:color w:val="000000"/>
          <w:kern w:val="0"/>
          <w:sz w:val="30"/>
          <w:szCs w:val="30"/>
        </w:rPr>
      </w:pPr>
      <w:r>
        <w:rPr>
          <w:rFonts w:ascii="仿宋_GB2312" w:eastAsia="仿宋_GB2312" w:hAnsi="Calibri" w:cs="宋体" w:hint="eastAsia"/>
          <w:b/>
          <w:color w:val="000000"/>
          <w:kern w:val="0"/>
          <w:sz w:val="30"/>
          <w:szCs w:val="30"/>
        </w:rPr>
        <w:t>（六）严格按照监管要求，做好关联交易统计报告和信息披露工作。</w:t>
      </w:r>
    </w:p>
    <w:p w:rsidR="00092652" w:rsidRDefault="0039522B">
      <w:pPr>
        <w:spacing w:line="500" w:lineRule="exact"/>
        <w:ind w:firstLineChars="200" w:firstLine="602"/>
        <w:rPr>
          <w:rFonts w:ascii="仿宋_GB2312" w:eastAsia="仿宋_GB2312" w:hAnsi="宋体"/>
          <w:sz w:val="30"/>
          <w:szCs w:val="30"/>
        </w:rPr>
      </w:pPr>
      <w:r>
        <w:rPr>
          <w:rFonts w:ascii="仿宋_GB2312" w:eastAsia="仿宋_GB2312" w:hAnsi="Calibri" w:cs="宋体" w:hint="eastAsia"/>
          <w:b/>
          <w:color w:val="000000"/>
          <w:kern w:val="0"/>
          <w:sz w:val="30"/>
          <w:szCs w:val="30"/>
        </w:rPr>
        <w:t>一是</w:t>
      </w:r>
      <w:r>
        <w:rPr>
          <w:rFonts w:ascii="仿宋_GB2312" w:eastAsia="仿宋_GB2312" w:hAnsi="宋体" w:hint="eastAsia"/>
          <w:sz w:val="30"/>
          <w:szCs w:val="30"/>
        </w:rPr>
        <w:t>完成《兴业银行2019年度关联交易情况报告》，对本行关联交易管理工作进行全面梳理与总结，提交董事会审议并报股东大会听取。</w:t>
      </w:r>
      <w:r>
        <w:rPr>
          <w:rFonts w:ascii="仿宋_GB2312" w:eastAsia="仿宋_GB2312" w:hAnsi="宋体" w:hint="eastAsia"/>
          <w:b/>
          <w:sz w:val="30"/>
          <w:szCs w:val="30"/>
        </w:rPr>
        <w:t>二是</w:t>
      </w:r>
      <w:r>
        <w:rPr>
          <w:rFonts w:ascii="仿宋_GB2312" w:eastAsia="仿宋_GB2312" w:hAnsi="Calibri" w:cs="宋体" w:hint="eastAsia"/>
          <w:color w:val="000000"/>
          <w:kern w:val="0"/>
          <w:sz w:val="30"/>
          <w:szCs w:val="30"/>
        </w:rPr>
        <w:t>根据监管数据报送要求，每</w:t>
      </w:r>
      <w:r>
        <w:rPr>
          <w:rFonts w:ascii="仿宋_GB2312" w:eastAsia="仿宋_GB2312" w:hAnsi="宋体" w:hint="eastAsia"/>
          <w:sz w:val="30"/>
          <w:szCs w:val="30"/>
        </w:rPr>
        <w:t>季度向银保监会报送《G15最大十家关联方关联交易情况表》，并从2020年第二季度开始，在新上线的关联交</w:t>
      </w:r>
      <w:r>
        <w:rPr>
          <w:rFonts w:ascii="仿宋_GB2312" w:eastAsia="仿宋_GB2312" w:hAnsi="Calibri" w:cs="宋体" w:hint="eastAsia"/>
          <w:color w:val="000000"/>
          <w:kern w:val="0"/>
          <w:sz w:val="30"/>
          <w:szCs w:val="30"/>
        </w:rPr>
        <w:t>易监管系统中按时完成关联方档案及授信明细、用信明细、非授信明细、关联交易余额表等关联交易季报报送工作。</w:t>
      </w:r>
      <w:r>
        <w:rPr>
          <w:rFonts w:ascii="仿宋_GB2312" w:eastAsia="仿宋_GB2312" w:hAnsi="Calibri" w:cs="宋体" w:hint="eastAsia"/>
          <w:b/>
          <w:color w:val="000000"/>
          <w:kern w:val="0"/>
          <w:sz w:val="30"/>
          <w:szCs w:val="30"/>
        </w:rPr>
        <w:t>三是</w:t>
      </w:r>
      <w:r>
        <w:rPr>
          <w:rFonts w:ascii="仿宋_GB2312" w:eastAsia="仿宋_GB2312" w:hAnsi="宋体" w:hint="eastAsia"/>
          <w:sz w:val="30"/>
          <w:szCs w:val="30"/>
        </w:rPr>
        <w:t>严格遵循监管机构关于关联</w:t>
      </w:r>
      <w:r>
        <w:rPr>
          <w:rFonts w:ascii="仿宋_GB2312" w:eastAsia="仿宋_GB2312" w:hAnsi="宋体" w:hint="eastAsia"/>
          <w:color w:val="000000"/>
          <w:sz w:val="30"/>
          <w:szCs w:val="30"/>
        </w:rPr>
        <w:t>交易信息披露的相关规定，报告期内本行在上交所累计发布两项重大关联交易公告，并通过半年报和年报对关联交易情况进行披露，切实保障了全体股东对关联交易的知情权。</w:t>
      </w:r>
    </w:p>
    <w:p w:rsidR="00092652" w:rsidRDefault="0039522B">
      <w:pPr>
        <w:spacing w:line="50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二、年度关联交易情况</w:t>
      </w:r>
    </w:p>
    <w:p w:rsidR="00092652" w:rsidRDefault="0039522B">
      <w:pPr>
        <w:autoSpaceDE w:val="0"/>
        <w:autoSpaceDN w:val="0"/>
        <w:adjustRightInd w:val="0"/>
        <w:spacing w:line="500" w:lineRule="exact"/>
        <w:ind w:firstLineChars="200" w:firstLine="600"/>
        <w:jc w:val="left"/>
        <w:rPr>
          <w:rFonts w:ascii="仿宋_GB2312" w:eastAsia="仿宋_GB2312" w:hAnsi="宋体"/>
          <w:sz w:val="30"/>
          <w:szCs w:val="30"/>
        </w:rPr>
      </w:pPr>
      <w:r>
        <w:rPr>
          <w:rFonts w:ascii="仿宋_GB2312" w:eastAsia="仿宋_GB2312" w:hAnsi="Calibri" w:hint="eastAsia"/>
          <w:sz w:val="30"/>
          <w:szCs w:val="30"/>
        </w:rPr>
        <w:t>2020年，本行对关联交易均坚持一般商业原则，交易的条件及利率均执行本行业务管理的相关规定，以不优于对非关联方同类交易的条件进行，交易定价公允，交易的付款方式和时间参照商业惯例确定，交易需求由正常</w:t>
      </w:r>
      <w:r>
        <w:rPr>
          <w:rFonts w:ascii="仿宋_GB2312" w:eastAsia="仿宋_GB2312" w:hAnsi="华文中宋" w:hint="eastAsia"/>
          <w:sz w:val="30"/>
          <w:szCs w:val="30"/>
        </w:rPr>
        <w:t>经营</w:t>
      </w:r>
      <w:r>
        <w:rPr>
          <w:rFonts w:ascii="仿宋_GB2312" w:eastAsia="仿宋_GB2312" w:hAnsi="Calibri" w:hint="eastAsia"/>
          <w:sz w:val="30"/>
          <w:szCs w:val="30"/>
        </w:rPr>
        <w:t>活动需要产生，符合本行和股东的整体利益。截至报告期末，本行对各关联方</w:t>
      </w:r>
      <w:r>
        <w:rPr>
          <w:rFonts w:ascii="仿宋_GB2312" w:eastAsia="仿宋_GB2312" w:hAnsi="Calibri" w:hint="eastAsia"/>
          <w:sz w:val="30"/>
          <w:szCs w:val="30"/>
          <w:vertAlign w:val="superscript"/>
        </w:rPr>
        <w:footnoteReference w:id="1"/>
      </w:r>
      <w:r>
        <w:rPr>
          <w:rFonts w:ascii="仿宋_GB2312" w:eastAsia="仿宋_GB2312" w:hAnsi="Calibri" w:hint="eastAsia"/>
          <w:sz w:val="30"/>
          <w:szCs w:val="30"/>
        </w:rPr>
        <w:t>的贷款余额81.87亿元、表外项目余额（含银行承兑汇票、保函、信用证）29.74亿元。（具体情况详见附件：2020年度本行与各关联方主要交易情况）</w:t>
      </w:r>
    </w:p>
    <w:p w:rsidR="00092652" w:rsidRDefault="0039522B">
      <w:pPr>
        <w:autoSpaceDE w:val="0"/>
        <w:autoSpaceDN w:val="0"/>
        <w:adjustRightInd w:val="0"/>
        <w:spacing w:line="500" w:lineRule="exact"/>
        <w:ind w:firstLineChars="200" w:firstLine="600"/>
        <w:jc w:val="left"/>
        <w:rPr>
          <w:rFonts w:ascii="仿宋_GB2312" w:eastAsia="仿宋_GB2312" w:cs="仿宋_GB2312"/>
          <w:color w:val="000000"/>
          <w:kern w:val="0"/>
          <w:sz w:val="30"/>
          <w:szCs w:val="30"/>
        </w:rPr>
      </w:pPr>
      <w:r>
        <w:rPr>
          <w:rFonts w:ascii="仿宋_GB2312" w:eastAsia="仿宋_GB2312" w:cs="仿宋_GB2312" w:hint="eastAsia"/>
          <w:color w:val="000000"/>
          <w:kern w:val="0"/>
          <w:sz w:val="30"/>
          <w:szCs w:val="30"/>
        </w:rPr>
        <w:t>专此报告。</w:t>
      </w:r>
    </w:p>
    <w:p w:rsidR="00092652" w:rsidRDefault="00092652">
      <w:pPr>
        <w:autoSpaceDE w:val="0"/>
        <w:autoSpaceDN w:val="0"/>
        <w:adjustRightInd w:val="0"/>
        <w:spacing w:line="500" w:lineRule="exact"/>
        <w:ind w:firstLineChars="200" w:firstLine="600"/>
        <w:jc w:val="left"/>
        <w:rPr>
          <w:rFonts w:ascii="仿宋_GB2312" w:eastAsia="仿宋_GB2312" w:cs="仿宋_GB2312"/>
          <w:color w:val="000000"/>
          <w:kern w:val="0"/>
          <w:sz w:val="30"/>
          <w:szCs w:val="30"/>
        </w:rPr>
      </w:pPr>
    </w:p>
    <w:p w:rsidR="00092652" w:rsidRDefault="0039522B">
      <w:pPr>
        <w:autoSpaceDE w:val="0"/>
        <w:autoSpaceDN w:val="0"/>
        <w:adjustRightInd w:val="0"/>
        <w:spacing w:line="500" w:lineRule="exact"/>
        <w:ind w:firstLineChars="200" w:firstLine="600"/>
        <w:jc w:val="left"/>
        <w:rPr>
          <w:rFonts w:ascii="仿宋_GB2312" w:eastAsia="仿宋_GB2312" w:hAnsi="宋体"/>
          <w:sz w:val="30"/>
          <w:szCs w:val="30"/>
        </w:rPr>
      </w:pPr>
      <w:r>
        <w:rPr>
          <w:rFonts w:ascii="仿宋_GB2312" w:eastAsia="仿宋_GB2312" w:cs="仿宋_GB2312" w:hint="eastAsia"/>
          <w:color w:val="000000"/>
          <w:kern w:val="0"/>
          <w:sz w:val="30"/>
          <w:szCs w:val="30"/>
        </w:rPr>
        <w:t>附件：2020年度本行与各关联方主要交易情况</w:t>
      </w:r>
    </w:p>
    <w:p w:rsidR="00092652" w:rsidRDefault="0039522B">
      <w:pPr>
        <w:spacing w:line="500" w:lineRule="exact"/>
        <w:jc w:val="left"/>
        <w:rPr>
          <w:rFonts w:ascii="仿宋_GB2312" w:eastAsia="仿宋_GB2312" w:hAnsi="宋体"/>
          <w:sz w:val="30"/>
          <w:szCs w:val="30"/>
        </w:rPr>
      </w:pPr>
      <w:r>
        <w:br w:type="page"/>
      </w:r>
      <w:r>
        <w:rPr>
          <w:rFonts w:ascii="仿宋_GB2312" w:eastAsia="仿宋_GB2312" w:hAnsi="宋体" w:hint="eastAsia"/>
          <w:sz w:val="30"/>
          <w:szCs w:val="30"/>
        </w:rPr>
        <w:lastRenderedPageBreak/>
        <w:t>附件</w:t>
      </w:r>
      <w:r>
        <w:rPr>
          <w:rFonts w:ascii="仿宋_GB2312" w:eastAsia="仿宋_GB2312" w:hAnsi="宋体"/>
          <w:sz w:val="30"/>
          <w:szCs w:val="30"/>
        </w:rPr>
        <w:t xml:space="preserve">                                   </w:t>
      </w:r>
    </w:p>
    <w:p w:rsidR="00092652" w:rsidRDefault="0039522B">
      <w:pPr>
        <w:spacing w:line="500" w:lineRule="exact"/>
        <w:ind w:left="480" w:hangingChars="150" w:hanging="480"/>
        <w:jc w:val="center"/>
        <w:rPr>
          <w:rFonts w:ascii="黑体" w:eastAsia="黑体" w:hAnsi="黑体"/>
          <w:sz w:val="32"/>
          <w:szCs w:val="32"/>
        </w:rPr>
      </w:pPr>
      <w:r>
        <w:rPr>
          <w:rFonts w:ascii="黑体" w:eastAsia="黑体" w:hAnsi="黑体" w:hint="eastAsia"/>
          <w:sz w:val="32"/>
          <w:szCs w:val="32"/>
        </w:rPr>
        <w:t xml:space="preserve"> 2020年度本行与各关联方</w:t>
      </w:r>
      <w:r>
        <w:rPr>
          <w:rStyle w:val="aff0"/>
          <w:rFonts w:ascii="黑体" w:eastAsia="黑体" w:hAnsi="黑体"/>
          <w:sz w:val="32"/>
          <w:szCs w:val="32"/>
        </w:rPr>
        <w:footnoteReference w:id="2"/>
      </w:r>
      <w:r>
        <w:rPr>
          <w:rFonts w:ascii="黑体" w:eastAsia="黑体" w:hAnsi="黑体" w:hint="eastAsia"/>
          <w:sz w:val="32"/>
          <w:szCs w:val="32"/>
        </w:rPr>
        <w:t>主要交易情况</w:t>
      </w:r>
    </w:p>
    <w:p w:rsidR="00092652" w:rsidRDefault="00092652">
      <w:pPr>
        <w:spacing w:line="500" w:lineRule="exact"/>
        <w:ind w:left="420" w:hangingChars="150" w:hanging="420"/>
        <w:jc w:val="right"/>
        <w:rPr>
          <w:rFonts w:ascii="仿宋_GB2312" w:eastAsia="仿宋_GB2312" w:hAnsi="宋体"/>
          <w:sz w:val="28"/>
          <w:szCs w:val="28"/>
        </w:rPr>
      </w:pPr>
    </w:p>
    <w:p w:rsidR="00092652" w:rsidRDefault="0039522B">
      <w:pPr>
        <w:spacing w:line="500" w:lineRule="exact"/>
        <w:ind w:left="420" w:hangingChars="150" w:hanging="420"/>
        <w:jc w:val="right"/>
        <w:rPr>
          <w:rFonts w:ascii="仿宋_GB2312" w:eastAsia="仿宋_GB2312" w:hAnsi="宋体"/>
          <w:sz w:val="28"/>
          <w:szCs w:val="28"/>
        </w:rPr>
      </w:pPr>
      <w:r>
        <w:rPr>
          <w:rFonts w:ascii="仿宋_GB2312" w:eastAsia="仿宋_GB2312" w:hAnsi="宋体"/>
          <w:sz w:val="28"/>
          <w:szCs w:val="28"/>
        </w:rPr>
        <w:t xml:space="preserve"> </w:t>
      </w:r>
      <w:r>
        <w:rPr>
          <w:rFonts w:ascii="仿宋_GB2312" w:eastAsia="仿宋_GB2312" w:hAnsi="宋体" w:cs="宋体" w:hint="eastAsia"/>
          <w:kern w:val="0"/>
          <w:sz w:val="28"/>
          <w:szCs w:val="28"/>
        </w:rPr>
        <w:t>单位：百万元人民币</w:t>
      </w:r>
    </w:p>
    <w:p w:rsidR="00092652" w:rsidRDefault="0039522B">
      <w:pPr>
        <w:spacing w:line="500" w:lineRule="exact"/>
        <w:ind w:firstLineChars="200" w:firstLine="560"/>
        <w:rPr>
          <w:rFonts w:ascii="仿宋_GB2312" w:eastAsia="仿宋_GB2312" w:hAnsi="宋体" w:cs="宋体"/>
          <w:kern w:val="0"/>
          <w:sz w:val="28"/>
          <w:szCs w:val="28"/>
        </w:rPr>
      </w:pPr>
      <w:r>
        <w:rPr>
          <w:rFonts w:ascii="仿宋_GB2312" w:eastAsia="仿宋_GB2312" w:hAnsi="宋体" w:cs="宋体"/>
          <w:kern w:val="0"/>
          <w:sz w:val="28"/>
          <w:szCs w:val="28"/>
        </w:rPr>
        <w:t>1</w:t>
      </w:r>
      <w:r>
        <w:rPr>
          <w:rFonts w:ascii="仿宋_GB2312" w:eastAsia="仿宋_GB2312" w:hAnsi="宋体" w:cs="宋体" w:hint="eastAsia"/>
          <w:kern w:val="0"/>
          <w:sz w:val="28"/>
          <w:szCs w:val="28"/>
        </w:rPr>
        <w:t>.利息收入和支出</w:t>
      </w:r>
    </w:p>
    <w:tbl>
      <w:tblPr>
        <w:tblStyle w:val="af8"/>
        <w:tblW w:w="0" w:type="auto"/>
        <w:tblInd w:w="392" w:type="dxa"/>
        <w:tblLook w:val="04A0" w:firstRow="1" w:lastRow="0" w:firstColumn="1" w:lastColumn="0" w:noHBand="0" w:noVBand="1"/>
      </w:tblPr>
      <w:tblGrid>
        <w:gridCol w:w="3402"/>
        <w:gridCol w:w="2268"/>
        <w:gridCol w:w="2268"/>
      </w:tblGrid>
      <w:tr w:rsidR="00092652">
        <w:tc>
          <w:tcPr>
            <w:tcW w:w="3402" w:type="dxa"/>
            <w:vAlign w:val="center"/>
          </w:tcPr>
          <w:p w:rsidR="00092652" w:rsidRDefault="0039522B">
            <w:pPr>
              <w:spacing w:line="300" w:lineRule="exact"/>
              <w:ind w:left="361" w:hangingChars="150" w:hanging="361"/>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关联方</w:t>
            </w:r>
          </w:p>
        </w:tc>
        <w:tc>
          <w:tcPr>
            <w:tcW w:w="2268" w:type="dxa"/>
            <w:vAlign w:val="center"/>
          </w:tcPr>
          <w:p w:rsidR="00092652" w:rsidRDefault="0039522B">
            <w:pPr>
              <w:spacing w:line="300" w:lineRule="exact"/>
              <w:ind w:left="361" w:hangingChars="150" w:hanging="361"/>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利息收入</w:t>
            </w:r>
          </w:p>
          <w:p w:rsidR="00092652" w:rsidRDefault="0039522B">
            <w:pPr>
              <w:spacing w:line="300" w:lineRule="exact"/>
              <w:ind w:left="361" w:hangingChars="150" w:hanging="361"/>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（2020年度）</w:t>
            </w:r>
          </w:p>
        </w:tc>
        <w:tc>
          <w:tcPr>
            <w:tcW w:w="2268" w:type="dxa"/>
            <w:vAlign w:val="center"/>
          </w:tcPr>
          <w:p w:rsidR="00092652" w:rsidRDefault="0039522B">
            <w:pPr>
              <w:spacing w:line="300" w:lineRule="exact"/>
              <w:ind w:left="361" w:hangingChars="150" w:hanging="361"/>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利息支出</w:t>
            </w:r>
          </w:p>
          <w:p w:rsidR="00092652" w:rsidRDefault="0039522B">
            <w:pPr>
              <w:spacing w:line="300" w:lineRule="exact"/>
              <w:ind w:left="361" w:hangingChars="150" w:hanging="361"/>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（2020年度）</w:t>
            </w:r>
          </w:p>
        </w:tc>
      </w:tr>
      <w:tr w:rsidR="00092652">
        <w:tc>
          <w:tcPr>
            <w:tcW w:w="3402" w:type="dxa"/>
            <w:vAlign w:val="center"/>
          </w:tcPr>
          <w:p w:rsidR="00092652" w:rsidRDefault="0039522B">
            <w:pPr>
              <w:spacing w:line="3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福建省财政厅及下属事业单位</w:t>
            </w:r>
          </w:p>
        </w:tc>
        <w:tc>
          <w:tcPr>
            <w:tcW w:w="2268"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w:t>
            </w:r>
          </w:p>
        </w:tc>
        <w:tc>
          <w:tcPr>
            <w:tcW w:w="2268"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20</w:t>
            </w:r>
          </w:p>
        </w:tc>
      </w:tr>
      <w:tr w:rsidR="00092652">
        <w:tc>
          <w:tcPr>
            <w:tcW w:w="3402" w:type="dxa"/>
            <w:vAlign w:val="center"/>
          </w:tcPr>
          <w:p w:rsidR="00092652" w:rsidRDefault="0039522B">
            <w:pPr>
              <w:spacing w:line="3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中国人民保险集团股份有限公司及其关联企业</w:t>
            </w:r>
          </w:p>
        </w:tc>
        <w:tc>
          <w:tcPr>
            <w:tcW w:w="2268"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w:t>
            </w:r>
          </w:p>
        </w:tc>
        <w:tc>
          <w:tcPr>
            <w:tcW w:w="2268"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870</w:t>
            </w:r>
          </w:p>
        </w:tc>
      </w:tr>
      <w:tr w:rsidR="00092652">
        <w:trPr>
          <w:trHeight w:val="359"/>
        </w:trPr>
        <w:tc>
          <w:tcPr>
            <w:tcW w:w="3402" w:type="dxa"/>
            <w:vAlign w:val="center"/>
          </w:tcPr>
          <w:p w:rsidR="00092652" w:rsidRDefault="0039522B">
            <w:pPr>
              <w:spacing w:line="3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中国烟草总公司及其关联企业</w:t>
            </w:r>
          </w:p>
        </w:tc>
        <w:tc>
          <w:tcPr>
            <w:tcW w:w="2268"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19</w:t>
            </w:r>
          </w:p>
        </w:tc>
        <w:tc>
          <w:tcPr>
            <w:tcW w:w="2268"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1,130</w:t>
            </w:r>
          </w:p>
        </w:tc>
      </w:tr>
      <w:tr w:rsidR="00092652">
        <w:tc>
          <w:tcPr>
            <w:tcW w:w="3402" w:type="dxa"/>
            <w:vAlign w:val="center"/>
          </w:tcPr>
          <w:p w:rsidR="00092652" w:rsidRDefault="0039522B">
            <w:pPr>
              <w:spacing w:line="3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福建阳光集团有限公司</w:t>
            </w:r>
          </w:p>
          <w:p w:rsidR="00092652" w:rsidRDefault="0039522B">
            <w:pPr>
              <w:spacing w:line="3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及其关联企业</w:t>
            </w:r>
          </w:p>
        </w:tc>
        <w:tc>
          <w:tcPr>
            <w:tcW w:w="2268"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201</w:t>
            </w:r>
          </w:p>
        </w:tc>
        <w:tc>
          <w:tcPr>
            <w:tcW w:w="2268"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15</w:t>
            </w:r>
          </w:p>
        </w:tc>
      </w:tr>
      <w:tr w:rsidR="00092652">
        <w:tc>
          <w:tcPr>
            <w:tcW w:w="3402" w:type="dxa"/>
            <w:vAlign w:val="center"/>
          </w:tcPr>
          <w:p w:rsidR="00092652" w:rsidRDefault="0039522B">
            <w:pPr>
              <w:spacing w:line="3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浙江省能源集团有限公司</w:t>
            </w:r>
          </w:p>
          <w:p w:rsidR="00092652" w:rsidRDefault="0039522B">
            <w:pPr>
              <w:spacing w:line="3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及其关联企业</w:t>
            </w:r>
          </w:p>
        </w:tc>
        <w:tc>
          <w:tcPr>
            <w:tcW w:w="2268"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6</w:t>
            </w:r>
          </w:p>
        </w:tc>
        <w:tc>
          <w:tcPr>
            <w:tcW w:w="2268"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21</w:t>
            </w:r>
          </w:p>
        </w:tc>
      </w:tr>
      <w:tr w:rsidR="00092652">
        <w:tc>
          <w:tcPr>
            <w:tcW w:w="3402" w:type="dxa"/>
            <w:vAlign w:val="center"/>
          </w:tcPr>
          <w:p w:rsidR="00092652" w:rsidRDefault="0039522B">
            <w:pPr>
              <w:spacing w:line="3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龙岩市汇金发展集团有限公司及其关联企业</w:t>
            </w:r>
          </w:p>
        </w:tc>
        <w:tc>
          <w:tcPr>
            <w:tcW w:w="2268"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42</w:t>
            </w:r>
          </w:p>
        </w:tc>
        <w:tc>
          <w:tcPr>
            <w:tcW w:w="2268"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w:t>
            </w:r>
          </w:p>
        </w:tc>
      </w:tr>
      <w:tr w:rsidR="00092652">
        <w:tc>
          <w:tcPr>
            <w:tcW w:w="3402" w:type="dxa"/>
            <w:vAlign w:val="center"/>
          </w:tcPr>
          <w:p w:rsidR="00092652" w:rsidRDefault="0039522B">
            <w:pPr>
              <w:spacing w:line="3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其他</w:t>
            </w:r>
          </w:p>
        </w:tc>
        <w:tc>
          <w:tcPr>
            <w:tcW w:w="2268"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12</w:t>
            </w:r>
          </w:p>
        </w:tc>
        <w:tc>
          <w:tcPr>
            <w:tcW w:w="2268"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w:t>
            </w:r>
          </w:p>
        </w:tc>
      </w:tr>
      <w:tr w:rsidR="00092652">
        <w:tc>
          <w:tcPr>
            <w:tcW w:w="3402" w:type="dxa"/>
            <w:vAlign w:val="center"/>
          </w:tcPr>
          <w:p w:rsidR="00092652" w:rsidRDefault="0039522B">
            <w:pPr>
              <w:spacing w:line="300" w:lineRule="exact"/>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合计：</w:t>
            </w:r>
          </w:p>
        </w:tc>
        <w:tc>
          <w:tcPr>
            <w:tcW w:w="2268" w:type="dxa"/>
          </w:tcPr>
          <w:p w:rsidR="00092652" w:rsidRDefault="0039522B">
            <w:pPr>
              <w:spacing w:line="540" w:lineRule="exact"/>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280</w:t>
            </w:r>
          </w:p>
        </w:tc>
        <w:tc>
          <w:tcPr>
            <w:tcW w:w="2268" w:type="dxa"/>
          </w:tcPr>
          <w:p w:rsidR="00092652" w:rsidRDefault="0039522B">
            <w:pPr>
              <w:spacing w:line="540" w:lineRule="exact"/>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2,057</w:t>
            </w:r>
          </w:p>
        </w:tc>
      </w:tr>
    </w:tbl>
    <w:p w:rsidR="00092652" w:rsidRDefault="0039522B">
      <w:pPr>
        <w:spacing w:line="540" w:lineRule="exact"/>
        <w:ind w:firstLineChars="200" w:firstLine="560"/>
        <w:rPr>
          <w:rFonts w:ascii="仿宋_GB2312" w:eastAsia="仿宋_GB2312" w:hAnsi="宋体" w:cs="宋体"/>
          <w:kern w:val="0"/>
          <w:sz w:val="28"/>
          <w:szCs w:val="28"/>
        </w:rPr>
      </w:pPr>
      <w:r>
        <w:rPr>
          <w:rFonts w:ascii="仿宋_GB2312" w:eastAsia="仿宋_GB2312" w:hAnsi="宋体" w:cs="宋体"/>
          <w:kern w:val="0"/>
          <w:sz w:val="28"/>
          <w:szCs w:val="28"/>
        </w:rPr>
        <w:t>2</w:t>
      </w:r>
      <w:r>
        <w:rPr>
          <w:rFonts w:ascii="仿宋_GB2312" w:eastAsia="仿宋_GB2312" w:hAnsi="宋体" w:cs="宋体" w:hint="eastAsia"/>
          <w:kern w:val="0"/>
          <w:sz w:val="28"/>
          <w:szCs w:val="28"/>
        </w:rPr>
        <w:t>.手续费佣金收入和支出</w:t>
      </w:r>
    </w:p>
    <w:tbl>
      <w:tblPr>
        <w:tblStyle w:val="af8"/>
        <w:tblW w:w="0" w:type="auto"/>
        <w:tblInd w:w="392" w:type="dxa"/>
        <w:tblLook w:val="04A0" w:firstRow="1" w:lastRow="0" w:firstColumn="1" w:lastColumn="0" w:noHBand="0" w:noVBand="1"/>
      </w:tblPr>
      <w:tblGrid>
        <w:gridCol w:w="3402"/>
        <w:gridCol w:w="2268"/>
        <w:gridCol w:w="2268"/>
      </w:tblGrid>
      <w:tr w:rsidR="00092652">
        <w:tc>
          <w:tcPr>
            <w:tcW w:w="3402" w:type="dxa"/>
            <w:vAlign w:val="center"/>
          </w:tcPr>
          <w:p w:rsidR="00092652" w:rsidRDefault="0039522B">
            <w:pPr>
              <w:spacing w:line="300" w:lineRule="exact"/>
              <w:ind w:firstLineChars="450" w:firstLine="1084"/>
              <w:rPr>
                <w:rFonts w:ascii="仿宋_GB2312" w:eastAsia="仿宋_GB2312" w:hAnsi="宋体" w:cs="宋体"/>
                <w:b/>
                <w:kern w:val="0"/>
                <w:sz w:val="24"/>
                <w:szCs w:val="24"/>
              </w:rPr>
            </w:pPr>
            <w:r>
              <w:rPr>
                <w:rFonts w:ascii="仿宋_GB2312" w:eastAsia="仿宋_GB2312" w:hAnsi="宋体" w:cs="宋体" w:hint="eastAsia"/>
                <w:b/>
                <w:kern w:val="0"/>
                <w:sz w:val="24"/>
                <w:szCs w:val="24"/>
              </w:rPr>
              <w:t>关联方</w:t>
            </w:r>
          </w:p>
        </w:tc>
        <w:tc>
          <w:tcPr>
            <w:tcW w:w="2268" w:type="dxa"/>
            <w:vAlign w:val="center"/>
          </w:tcPr>
          <w:p w:rsidR="00092652" w:rsidRDefault="0039522B">
            <w:pPr>
              <w:spacing w:line="300" w:lineRule="exact"/>
              <w:ind w:left="361" w:hangingChars="150" w:hanging="361"/>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手续费及佣金收入（2020年度）</w:t>
            </w:r>
          </w:p>
        </w:tc>
        <w:tc>
          <w:tcPr>
            <w:tcW w:w="2268" w:type="dxa"/>
            <w:vAlign w:val="center"/>
          </w:tcPr>
          <w:p w:rsidR="00092652" w:rsidRDefault="0039522B">
            <w:pPr>
              <w:spacing w:line="300" w:lineRule="exact"/>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手续费及佣金支出（2020年度）</w:t>
            </w:r>
          </w:p>
        </w:tc>
      </w:tr>
      <w:tr w:rsidR="00092652">
        <w:tc>
          <w:tcPr>
            <w:tcW w:w="3402" w:type="dxa"/>
            <w:vAlign w:val="center"/>
          </w:tcPr>
          <w:p w:rsidR="00092652" w:rsidRDefault="0039522B">
            <w:pPr>
              <w:spacing w:line="3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福建省财政厅及下属事业单位</w:t>
            </w:r>
          </w:p>
        </w:tc>
        <w:tc>
          <w:tcPr>
            <w:tcW w:w="2268"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w:t>
            </w:r>
          </w:p>
        </w:tc>
        <w:tc>
          <w:tcPr>
            <w:tcW w:w="2268"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w:t>
            </w:r>
          </w:p>
        </w:tc>
      </w:tr>
      <w:tr w:rsidR="00092652">
        <w:tc>
          <w:tcPr>
            <w:tcW w:w="3402" w:type="dxa"/>
            <w:vAlign w:val="center"/>
          </w:tcPr>
          <w:p w:rsidR="00092652" w:rsidRDefault="0039522B">
            <w:pPr>
              <w:spacing w:line="3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中国人民保险集团股份有限公司及其关联企业</w:t>
            </w:r>
          </w:p>
        </w:tc>
        <w:tc>
          <w:tcPr>
            <w:tcW w:w="2268"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59</w:t>
            </w:r>
          </w:p>
        </w:tc>
        <w:tc>
          <w:tcPr>
            <w:tcW w:w="2268"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5</w:t>
            </w:r>
          </w:p>
        </w:tc>
      </w:tr>
      <w:tr w:rsidR="00092652">
        <w:tc>
          <w:tcPr>
            <w:tcW w:w="3402" w:type="dxa"/>
            <w:vAlign w:val="center"/>
          </w:tcPr>
          <w:p w:rsidR="00092652" w:rsidRDefault="0039522B">
            <w:pPr>
              <w:spacing w:line="3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福建阳光集团有限公司</w:t>
            </w:r>
          </w:p>
          <w:p w:rsidR="00092652" w:rsidRDefault="0039522B">
            <w:pPr>
              <w:spacing w:line="3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及其关联企业</w:t>
            </w:r>
          </w:p>
        </w:tc>
        <w:tc>
          <w:tcPr>
            <w:tcW w:w="2268"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24</w:t>
            </w:r>
          </w:p>
        </w:tc>
        <w:tc>
          <w:tcPr>
            <w:tcW w:w="2268"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w:t>
            </w:r>
          </w:p>
        </w:tc>
      </w:tr>
      <w:tr w:rsidR="00092652">
        <w:tc>
          <w:tcPr>
            <w:tcW w:w="3402" w:type="dxa"/>
            <w:vAlign w:val="center"/>
          </w:tcPr>
          <w:p w:rsidR="00092652" w:rsidRDefault="0039522B">
            <w:pPr>
              <w:spacing w:line="3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浙江省能源集团有限公司</w:t>
            </w:r>
          </w:p>
          <w:p w:rsidR="00092652" w:rsidRDefault="0039522B">
            <w:pPr>
              <w:spacing w:line="3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及其关联企业</w:t>
            </w:r>
          </w:p>
        </w:tc>
        <w:tc>
          <w:tcPr>
            <w:tcW w:w="2268"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10</w:t>
            </w:r>
          </w:p>
        </w:tc>
        <w:tc>
          <w:tcPr>
            <w:tcW w:w="2268"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w:t>
            </w:r>
          </w:p>
        </w:tc>
      </w:tr>
      <w:tr w:rsidR="00092652">
        <w:tc>
          <w:tcPr>
            <w:tcW w:w="3402" w:type="dxa"/>
            <w:vAlign w:val="center"/>
          </w:tcPr>
          <w:p w:rsidR="00092652" w:rsidRDefault="0039522B">
            <w:pPr>
              <w:spacing w:line="3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龙岩市汇金发展集团有限公司及其关联企业</w:t>
            </w:r>
          </w:p>
        </w:tc>
        <w:tc>
          <w:tcPr>
            <w:tcW w:w="2268"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w:t>
            </w:r>
          </w:p>
        </w:tc>
        <w:tc>
          <w:tcPr>
            <w:tcW w:w="2268"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w:t>
            </w:r>
          </w:p>
        </w:tc>
      </w:tr>
      <w:tr w:rsidR="00092652">
        <w:tc>
          <w:tcPr>
            <w:tcW w:w="3402" w:type="dxa"/>
            <w:vAlign w:val="center"/>
          </w:tcPr>
          <w:p w:rsidR="00092652" w:rsidRDefault="0039522B">
            <w:pPr>
              <w:spacing w:line="3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其他</w:t>
            </w:r>
          </w:p>
        </w:tc>
        <w:tc>
          <w:tcPr>
            <w:tcW w:w="2268"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17</w:t>
            </w:r>
          </w:p>
        </w:tc>
        <w:tc>
          <w:tcPr>
            <w:tcW w:w="2268"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w:t>
            </w:r>
          </w:p>
        </w:tc>
      </w:tr>
      <w:tr w:rsidR="00092652">
        <w:tc>
          <w:tcPr>
            <w:tcW w:w="3402" w:type="dxa"/>
            <w:vAlign w:val="center"/>
          </w:tcPr>
          <w:p w:rsidR="00092652" w:rsidRDefault="0039522B">
            <w:pPr>
              <w:spacing w:line="300" w:lineRule="exact"/>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合计：</w:t>
            </w:r>
          </w:p>
        </w:tc>
        <w:tc>
          <w:tcPr>
            <w:tcW w:w="2268" w:type="dxa"/>
          </w:tcPr>
          <w:p w:rsidR="00092652" w:rsidRDefault="0039522B">
            <w:pPr>
              <w:spacing w:line="540" w:lineRule="exact"/>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112</w:t>
            </w:r>
          </w:p>
        </w:tc>
        <w:tc>
          <w:tcPr>
            <w:tcW w:w="2268" w:type="dxa"/>
          </w:tcPr>
          <w:p w:rsidR="00092652" w:rsidRDefault="0039522B">
            <w:pPr>
              <w:spacing w:line="540" w:lineRule="exact"/>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8</w:t>
            </w:r>
          </w:p>
        </w:tc>
      </w:tr>
    </w:tbl>
    <w:p w:rsidR="00092652" w:rsidRDefault="0039522B">
      <w:pPr>
        <w:spacing w:line="540" w:lineRule="exact"/>
        <w:ind w:firstLineChars="200" w:firstLine="560"/>
        <w:rPr>
          <w:rFonts w:ascii="仿宋_GB2312" w:eastAsia="仿宋_GB2312" w:hAnsi="宋体" w:cs="宋体"/>
          <w:kern w:val="0"/>
          <w:sz w:val="28"/>
          <w:szCs w:val="28"/>
        </w:rPr>
      </w:pPr>
      <w:r>
        <w:rPr>
          <w:rFonts w:ascii="仿宋_GB2312" w:eastAsia="仿宋_GB2312" w:hAnsi="宋体" w:cs="宋体"/>
          <w:kern w:val="0"/>
          <w:sz w:val="28"/>
          <w:szCs w:val="28"/>
        </w:rPr>
        <w:lastRenderedPageBreak/>
        <w:t>3</w:t>
      </w:r>
      <w:r>
        <w:rPr>
          <w:rFonts w:ascii="仿宋_GB2312" w:eastAsia="仿宋_GB2312" w:hAnsi="宋体" w:cs="宋体" w:hint="eastAsia"/>
          <w:kern w:val="0"/>
          <w:sz w:val="28"/>
          <w:szCs w:val="28"/>
        </w:rPr>
        <w:t>.投资收益</w:t>
      </w:r>
    </w:p>
    <w:tbl>
      <w:tblPr>
        <w:tblStyle w:val="af8"/>
        <w:tblW w:w="0" w:type="auto"/>
        <w:tblInd w:w="392" w:type="dxa"/>
        <w:tblLook w:val="04A0" w:firstRow="1" w:lastRow="0" w:firstColumn="1" w:lastColumn="0" w:noHBand="0" w:noVBand="1"/>
      </w:tblPr>
      <w:tblGrid>
        <w:gridCol w:w="3402"/>
        <w:gridCol w:w="4536"/>
      </w:tblGrid>
      <w:tr w:rsidR="00092652">
        <w:trPr>
          <w:trHeight w:val="505"/>
        </w:trPr>
        <w:tc>
          <w:tcPr>
            <w:tcW w:w="3402" w:type="dxa"/>
            <w:vAlign w:val="center"/>
          </w:tcPr>
          <w:p w:rsidR="00092652" w:rsidRDefault="0039522B">
            <w:pPr>
              <w:spacing w:line="300" w:lineRule="exact"/>
              <w:ind w:firstLineChars="450" w:firstLine="1084"/>
              <w:rPr>
                <w:rFonts w:ascii="仿宋_GB2312" w:eastAsia="仿宋_GB2312" w:hAnsi="宋体" w:cs="宋体"/>
                <w:b/>
                <w:kern w:val="0"/>
                <w:sz w:val="24"/>
                <w:szCs w:val="24"/>
              </w:rPr>
            </w:pPr>
            <w:r>
              <w:rPr>
                <w:rFonts w:ascii="仿宋_GB2312" w:eastAsia="仿宋_GB2312" w:hAnsi="宋体" w:cs="宋体" w:hint="eastAsia"/>
                <w:b/>
                <w:kern w:val="0"/>
                <w:sz w:val="24"/>
                <w:szCs w:val="24"/>
              </w:rPr>
              <w:t>关联方</w:t>
            </w:r>
          </w:p>
        </w:tc>
        <w:tc>
          <w:tcPr>
            <w:tcW w:w="4536" w:type="dxa"/>
            <w:vAlign w:val="center"/>
          </w:tcPr>
          <w:p w:rsidR="00092652" w:rsidRDefault="0039522B">
            <w:pPr>
              <w:spacing w:line="300" w:lineRule="exact"/>
              <w:ind w:left="361" w:hangingChars="150" w:hanging="361"/>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2020</w:t>
            </w:r>
            <w:r>
              <w:rPr>
                <w:rFonts w:ascii="仿宋_GB2312" w:eastAsia="仿宋_GB2312" w:hAnsi="宋体" w:cs="宋体"/>
                <w:b/>
                <w:kern w:val="0"/>
                <w:sz w:val="24"/>
                <w:szCs w:val="24"/>
              </w:rPr>
              <w:t>年</w:t>
            </w:r>
            <w:r>
              <w:rPr>
                <w:rFonts w:ascii="仿宋_GB2312" w:eastAsia="仿宋_GB2312" w:hAnsi="宋体" w:cs="宋体" w:hint="eastAsia"/>
                <w:b/>
                <w:kern w:val="0"/>
                <w:sz w:val="24"/>
                <w:szCs w:val="24"/>
              </w:rPr>
              <w:t>度</w:t>
            </w:r>
          </w:p>
        </w:tc>
      </w:tr>
      <w:tr w:rsidR="00092652">
        <w:tc>
          <w:tcPr>
            <w:tcW w:w="3402" w:type="dxa"/>
            <w:vAlign w:val="center"/>
          </w:tcPr>
          <w:p w:rsidR="00092652" w:rsidRDefault="0039522B">
            <w:pPr>
              <w:spacing w:line="3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龙岩市汇金发展集团有限公司及其关联企业</w:t>
            </w:r>
          </w:p>
        </w:tc>
        <w:tc>
          <w:tcPr>
            <w:tcW w:w="4536"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168</w:t>
            </w:r>
          </w:p>
        </w:tc>
      </w:tr>
      <w:tr w:rsidR="00092652">
        <w:tc>
          <w:tcPr>
            <w:tcW w:w="3402" w:type="dxa"/>
            <w:vAlign w:val="center"/>
          </w:tcPr>
          <w:p w:rsidR="00092652" w:rsidRDefault="0039522B">
            <w:pPr>
              <w:spacing w:line="300" w:lineRule="exact"/>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合计：</w:t>
            </w:r>
          </w:p>
        </w:tc>
        <w:tc>
          <w:tcPr>
            <w:tcW w:w="4536" w:type="dxa"/>
          </w:tcPr>
          <w:p w:rsidR="00092652" w:rsidRDefault="0039522B">
            <w:pPr>
              <w:spacing w:line="540" w:lineRule="exact"/>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168</w:t>
            </w:r>
          </w:p>
        </w:tc>
      </w:tr>
    </w:tbl>
    <w:p w:rsidR="00092652" w:rsidRDefault="0039522B">
      <w:pPr>
        <w:spacing w:line="540" w:lineRule="exact"/>
        <w:ind w:firstLineChars="200" w:firstLine="560"/>
        <w:rPr>
          <w:rFonts w:ascii="仿宋_GB2312" w:eastAsia="仿宋_GB2312" w:hAnsi="宋体" w:cs="宋体"/>
          <w:color w:val="000000" w:themeColor="text1"/>
          <w:kern w:val="0"/>
          <w:sz w:val="28"/>
          <w:szCs w:val="28"/>
        </w:rPr>
      </w:pPr>
      <w:r>
        <w:rPr>
          <w:rFonts w:ascii="仿宋_GB2312" w:eastAsia="仿宋_GB2312" w:hAnsi="宋体" w:cs="宋体"/>
          <w:kern w:val="0"/>
          <w:sz w:val="28"/>
          <w:szCs w:val="28"/>
        </w:rPr>
        <w:t>4</w:t>
      </w:r>
      <w:r>
        <w:rPr>
          <w:rFonts w:ascii="仿宋_GB2312" w:eastAsia="仿宋_GB2312" w:hAnsi="宋体" w:cs="宋体" w:hint="eastAsia"/>
          <w:kern w:val="0"/>
          <w:sz w:val="28"/>
          <w:szCs w:val="28"/>
        </w:rPr>
        <w:t>.</w:t>
      </w:r>
      <w:r>
        <w:rPr>
          <w:rFonts w:ascii="仿宋_GB2312" w:eastAsia="仿宋_GB2312" w:hAnsi="宋体" w:cs="宋体"/>
          <w:kern w:val="0"/>
          <w:sz w:val="28"/>
          <w:szCs w:val="28"/>
        </w:rPr>
        <w:t>业务及管理</w:t>
      </w:r>
      <w:r>
        <w:rPr>
          <w:rFonts w:ascii="仿宋_GB2312" w:eastAsia="仿宋_GB2312" w:hAnsi="宋体" w:cs="宋体"/>
          <w:color w:val="000000" w:themeColor="text1"/>
          <w:kern w:val="0"/>
          <w:sz w:val="28"/>
          <w:szCs w:val="28"/>
        </w:rPr>
        <w:t>费-保险费</w:t>
      </w:r>
    </w:p>
    <w:tbl>
      <w:tblPr>
        <w:tblStyle w:val="af8"/>
        <w:tblW w:w="0" w:type="auto"/>
        <w:tblInd w:w="392" w:type="dxa"/>
        <w:tblLook w:val="04A0" w:firstRow="1" w:lastRow="0" w:firstColumn="1" w:lastColumn="0" w:noHBand="0" w:noVBand="1"/>
      </w:tblPr>
      <w:tblGrid>
        <w:gridCol w:w="3402"/>
        <w:gridCol w:w="4536"/>
      </w:tblGrid>
      <w:tr w:rsidR="00092652">
        <w:trPr>
          <w:trHeight w:val="505"/>
        </w:trPr>
        <w:tc>
          <w:tcPr>
            <w:tcW w:w="3402" w:type="dxa"/>
            <w:vAlign w:val="center"/>
          </w:tcPr>
          <w:p w:rsidR="00092652" w:rsidRDefault="0039522B">
            <w:pPr>
              <w:spacing w:line="300" w:lineRule="exact"/>
              <w:ind w:firstLineChars="450" w:firstLine="1084"/>
              <w:rPr>
                <w:rFonts w:ascii="仿宋_GB2312" w:eastAsia="仿宋_GB2312" w:hAnsi="宋体" w:cs="宋体"/>
                <w:b/>
                <w:kern w:val="0"/>
                <w:sz w:val="24"/>
                <w:szCs w:val="24"/>
              </w:rPr>
            </w:pPr>
            <w:r>
              <w:rPr>
                <w:rFonts w:ascii="仿宋_GB2312" w:eastAsia="仿宋_GB2312" w:hAnsi="宋体" w:cs="宋体" w:hint="eastAsia"/>
                <w:b/>
                <w:kern w:val="0"/>
                <w:sz w:val="24"/>
                <w:szCs w:val="24"/>
              </w:rPr>
              <w:t>关联方</w:t>
            </w:r>
          </w:p>
        </w:tc>
        <w:tc>
          <w:tcPr>
            <w:tcW w:w="4536" w:type="dxa"/>
            <w:vAlign w:val="center"/>
          </w:tcPr>
          <w:p w:rsidR="00092652" w:rsidRDefault="0039522B">
            <w:pPr>
              <w:spacing w:line="300" w:lineRule="exact"/>
              <w:ind w:left="361" w:hangingChars="150" w:hanging="361"/>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2020</w:t>
            </w:r>
            <w:r>
              <w:rPr>
                <w:rFonts w:ascii="仿宋_GB2312" w:eastAsia="仿宋_GB2312" w:hAnsi="宋体" w:cs="宋体"/>
                <w:b/>
                <w:kern w:val="0"/>
                <w:sz w:val="24"/>
                <w:szCs w:val="24"/>
              </w:rPr>
              <w:t>年</w:t>
            </w:r>
            <w:r>
              <w:rPr>
                <w:rFonts w:ascii="仿宋_GB2312" w:eastAsia="仿宋_GB2312" w:hAnsi="宋体" w:cs="宋体" w:hint="eastAsia"/>
                <w:b/>
                <w:kern w:val="0"/>
                <w:sz w:val="24"/>
                <w:szCs w:val="24"/>
              </w:rPr>
              <w:t>度</w:t>
            </w:r>
          </w:p>
        </w:tc>
      </w:tr>
      <w:tr w:rsidR="00092652">
        <w:tc>
          <w:tcPr>
            <w:tcW w:w="3402" w:type="dxa"/>
            <w:vAlign w:val="center"/>
          </w:tcPr>
          <w:p w:rsidR="00092652" w:rsidRDefault="0039522B">
            <w:pPr>
              <w:spacing w:line="3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中国人民保险集团股份有限公司及其关联企业</w:t>
            </w:r>
          </w:p>
        </w:tc>
        <w:tc>
          <w:tcPr>
            <w:tcW w:w="4536"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377</w:t>
            </w:r>
          </w:p>
        </w:tc>
      </w:tr>
      <w:tr w:rsidR="00092652">
        <w:tc>
          <w:tcPr>
            <w:tcW w:w="3402" w:type="dxa"/>
            <w:vAlign w:val="center"/>
          </w:tcPr>
          <w:p w:rsidR="00092652" w:rsidRDefault="0039522B">
            <w:pPr>
              <w:spacing w:line="300" w:lineRule="exact"/>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合计：</w:t>
            </w:r>
          </w:p>
        </w:tc>
        <w:tc>
          <w:tcPr>
            <w:tcW w:w="4536" w:type="dxa"/>
          </w:tcPr>
          <w:p w:rsidR="00092652" w:rsidRDefault="0039522B">
            <w:pPr>
              <w:spacing w:line="540" w:lineRule="exact"/>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377</w:t>
            </w:r>
          </w:p>
        </w:tc>
      </w:tr>
    </w:tbl>
    <w:p w:rsidR="00092652" w:rsidRDefault="0039522B">
      <w:pPr>
        <w:spacing w:line="540" w:lineRule="exact"/>
        <w:ind w:firstLineChars="200" w:firstLine="420"/>
        <w:rPr>
          <w:rFonts w:ascii="仿宋_GB2312" w:eastAsia="仿宋_GB2312" w:hAnsi="宋体" w:cs="宋体"/>
          <w:kern w:val="0"/>
          <w:szCs w:val="21"/>
        </w:rPr>
      </w:pPr>
      <w:r>
        <w:rPr>
          <w:rFonts w:ascii="仿宋_GB2312" w:eastAsia="仿宋_GB2312" w:hAnsi="宋体" w:cs="宋体" w:hint="eastAsia"/>
          <w:kern w:val="0"/>
          <w:szCs w:val="21"/>
        </w:rPr>
        <w:t>其中：2020年本行收到中国人民财产保险股份有限公司的赔付金额为人民币0.01亿元。</w:t>
      </w:r>
    </w:p>
    <w:p w:rsidR="00092652" w:rsidRDefault="0039522B">
      <w:pPr>
        <w:spacing w:line="540" w:lineRule="exact"/>
        <w:ind w:firstLineChars="200" w:firstLine="560"/>
        <w:rPr>
          <w:rFonts w:ascii="仿宋_GB2312" w:eastAsia="仿宋_GB2312" w:hAnsi="宋体" w:cs="宋体"/>
          <w:kern w:val="0"/>
          <w:sz w:val="28"/>
          <w:szCs w:val="28"/>
        </w:rPr>
      </w:pPr>
      <w:r>
        <w:rPr>
          <w:rFonts w:ascii="仿宋_GB2312" w:eastAsia="仿宋_GB2312" w:hAnsi="宋体" w:cs="宋体"/>
          <w:kern w:val="0"/>
          <w:sz w:val="28"/>
          <w:szCs w:val="28"/>
        </w:rPr>
        <w:t>5</w:t>
      </w:r>
      <w:r>
        <w:rPr>
          <w:rFonts w:ascii="仿宋_GB2312" w:eastAsia="仿宋_GB2312" w:hAnsi="宋体" w:cs="宋体" w:hint="eastAsia"/>
          <w:kern w:val="0"/>
          <w:sz w:val="28"/>
          <w:szCs w:val="28"/>
        </w:rPr>
        <w:t>.业务及管理费</w:t>
      </w:r>
      <w:r>
        <w:rPr>
          <w:rFonts w:ascii="仿宋_GB2312" w:eastAsia="仿宋_GB2312" w:hAnsi="宋体" w:cs="宋体"/>
          <w:kern w:val="0"/>
          <w:sz w:val="28"/>
          <w:szCs w:val="28"/>
        </w:rPr>
        <w:t>-物业租金支出</w:t>
      </w:r>
    </w:p>
    <w:tbl>
      <w:tblPr>
        <w:tblStyle w:val="af8"/>
        <w:tblW w:w="0" w:type="auto"/>
        <w:tblInd w:w="392" w:type="dxa"/>
        <w:tblLook w:val="04A0" w:firstRow="1" w:lastRow="0" w:firstColumn="1" w:lastColumn="0" w:noHBand="0" w:noVBand="1"/>
      </w:tblPr>
      <w:tblGrid>
        <w:gridCol w:w="3402"/>
        <w:gridCol w:w="4536"/>
      </w:tblGrid>
      <w:tr w:rsidR="00092652">
        <w:trPr>
          <w:trHeight w:val="505"/>
        </w:trPr>
        <w:tc>
          <w:tcPr>
            <w:tcW w:w="3402" w:type="dxa"/>
            <w:vAlign w:val="center"/>
          </w:tcPr>
          <w:p w:rsidR="00092652" w:rsidRDefault="0039522B">
            <w:pPr>
              <w:spacing w:line="300" w:lineRule="exact"/>
              <w:ind w:firstLineChars="450" w:firstLine="1084"/>
              <w:rPr>
                <w:rFonts w:ascii="仿宋_GB2312" w:eastAsia="仿宋_GB2312" w:hAnsi="宋体" w:cs="宋体"/>
                <w:b/>
                <w:kern w:val="0"/>
                <w:sz w:val="24"/>
                <w:szCs w:val="24"/>
              </w:rPr>
            </w:pPr>
            <w:r>
              <w:rPr>
                <w:rFonts w:ascii="仿宋_GB2312" w:eastAsia="仿宋_GB2312" w:hAnsi="宋体" w:cs="宋体" w:hint="eastAsia"/>
                <w:b/>
                <w:kern w:val="0"/>
                <w:sz w:val="24"/>
                <w:szCs w:val="24"/>
              </w:rPr>
              <w:t>关联方</w:t>
            </w:r>
          </w:p>
        </w:tc>
        <w:tc>
          <w:tcPr>
            <w:tcW w:w="4536" w:type="dxa"/>
            <w:vAlign w:val="center"/>
          </w:tcPr>
          <w:p w:rsidR="00092652" w:rsidRDefault="0039522B">
            <w:pPr>
              <w:spacing w:line="300" w:lineRule="exact"/>
              <w:ind w:left="361" w:hangingChars="150" w:hanging="361"/>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2020</w:t>
            </w:r>
            <w:r>
              <w:rPr>
                <w:rFonts w:ascii="仿宋_GB2312" w:eastAsia="仿宋_GB2312" w:hAnsi="宋体" w:cs="宋体"/>
                <w:b/>
                <w:kern w:val="0"/>
                <w:sz w:val="24"/>
                <w:szCs w:val="24"/>
              </w:rPr>
              <w:t>年</w:t>
            </w:r>
            <w:r>
              <w:rPr>
                <w:rFonts w:ascii="仿宋_GB2312" w:eastAsia="仿宋_GB2312" w:hAnsi="宋体" w:cs="宋体" w:hint="eastAsia"/>
                <w:b/>
                <w:kern w:val="0"/>
                <w:sz w:val="24"/>
                <w:szCs w:val="24"/>
              </w:rPr>
              <w:t>度</w:t>
            </w:r>
          </w:p>
        </w:tc>
      </w:tr>
      <w:tr w:rsidR="00092652">
        <w:tc>
          <w:tcPr>
            <w:tcW w:w="3402" w:type="dxa"/>
            <w:vAlign w:val="center"/>
          </w:tcPr>
          <w:p w:rsidR="00092652" w:rsidRDefault="0039522B">
            <w:pPr>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中国烟草总公司及其关联企业</w:t>
            </w:r>
          </w:p>
        </w:tc>
        <w:tc>
          <w:tcPr>
            <w:tcW w:w="4536"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21</w:t>
            </w:r>
          </w:p>
        </w:tc>
      </w:tr>
      <w:tr w:rsidR="00092652">
        <w:tc>
          <w:tcPr>
            <w:tcW w:w="3402" w:type="dxa"/>
            <w:vAlign w:val="center"/>
          </w:tcPr>
          <w:p w:rsidR="00092652" w:rsidRDefault="0039522B">
            <w:pPr>
              <w:spacing w:line="300" w:lineRule="exact"/>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合计：</w:t>
            </w:r>
          </w:p>
        </w:tc>
        <w:tc>
          <w:tcPr>
            <w:tcW w:w="4536" w:type="dxa"/>
          </w:tcPr>
          <w:p w:rsidR="00092652" w:rsidRDefault="0039522B">
            <w:pPr>
              <w:spacing w:line="540" w:lineRule="exact"/>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21</w:t>
            </w:r>
          </w:p>
        </w:tc>
      </w:tr>
    </w:tbl>
    <w:p w:rsidR="00092652" w:rsidRDefault="0039522B">
      <w:pPr>
        <w:spacing w:line="54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6.业务及管理费-其他</w:t>
      </w:r>
    </w:p>
    <w:tbl>
      <w:tblPr>
        <w:tblStyle w:val="af8"/>
        <w:tblW w:w="0" w:type="auto"/>
        <w:tblInd w:w="392" w:type="dxa"/>
        <w:tblLook w:val="04A0" w:firstRow="1" w:lastRow="0" w:firstColumn="1" w:lastColumn="0" w:noHBand="0" w:noVBand="1"/>
      </w:tblPr>
      <w:tblGrid>
        <w:gridCol w:w="3402"/>
        <w:gridCol w:w="4536"/>
      </w:tblGrid>
      <w:tr w:rsidR="00092652">
        <w:trPr>
          <w:trHeight w:val="505"/>
        </w:trPr>
        <w:tc>
          <w:tcPr>
            <w:tcW w:w="3402" w:type="dxa"/>
            <w:vAlign w:val="center"/>
          </w:tcPr>
          <w:p w:rsidR="00092652" w:rsidRDefault="0039522B">
            <w:pPr>
              <w:spacing w:line="300" w:lineRule="exact"/>
              <w:ind w:firstLineChars="450" w:firstLine="1084"/>
              <w:rPr>
                <w:rFonts w:ascii="仿宋_GB2312" w:eastAsia="仿宋_GB2312" w:hAnsi="宋体" w:cs="宋体"/>
                <w:b/>
                <w:kern w:val="0"/>
                <w:sz w:val="24"/>
                <w:szCs w:val="24"/>
              </w:rPr>
            </w:pPr>
            <w:r>
              <w:rPr>
                <w:rFonts w:ascii="仿宋_GB2312" w:eastAsia="仿宋_GB2312" w:hAnsi="宋体" w:cs="宋体" w:hint="eastAsia"/>
                <w:b/>
                <w:kern w:val="0"/>
                <w:sz w:val="24"/>
                <w:szCs w:val="24"/>
              </w:rPr>
              <w:t>关联方</w:t>
            </w:r>
          </w:p>
        </w:tc>
        <w:tc>
          <w:tcPr>
            <w:tcW w:w="4536" w:type="dxa"/>
            <w:vAlign w:val="center"/>
          </w:tcPr>
          <w:p w:rsidR="00092652" w:rsidRDefault="0039522B">
            <w:pPr>
              <w:spacing w:line="300" w:lineRule="exact"/>
              <w:ind w:left="361" w:hangingChars="150" w:hanging="361"/>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2020</w:t>
            </w:r>
            <w:r>
              <w:rPr>
                <w:rFonts w:ascii="仿宋_GB2312" w:eastAsia="仿宋_GB2312" w:hAnsi="宋体" w:cs="宋体"/>
                <w:b/>
                <w:kern w:val="0"/>
                <w:sz w:val="24"/>
                <w:szCs w:val="24"/>
              </w:rPr>
              <w:t>年</w:t>
            </w:r>
            <w:r>
              <w:rPr>
                <w:rFonts w:ascii="仿宋_GB2312" w:eastAsia="仿宋_GB2312" w:hAnsi="宋体" w:cs="宋体" w:hint="eastAsia"/>
                <w:b/>
                <w:kern w:val="0"/>
                <w:sz w:val="24"/>
                <w:szCs w:val="24"/>
              </w:rPr>
              <w:t>度</w:t>
            </w:r>
          </w:p>
        </w:tc>
      </w:tr>
      <w:tr w:rsidR="00092652">
        <w:tc>
          <w:tcPr>
            <w:tcW w:w="3402" w:type="dxa"/>
            <w:vAlign w:val="center"/>
          </w:tcPr>
          <w:p w:rsidR="00092652" w:rsidRDefault="0039522B">
            <w:pPr>
              <w:spacing w:line="3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其他</w:t>
            </w:r>
          </w:p>
        </w:tc>
        <w:tc>
          <w:tcPr>
            <w:tcW w:w="4536"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20</w:t>
            </w:r>
          </w:p>
        </w:tc>
      </w:tr>
      <w:tr w:rsidR="00092652">
        <w:tc>
          <w:tcPr>
            <w:tcW w:w="3402" w:type="dxa"/>
            <w:vAlign w:val="center"/>
          </w:tcPr>
          <w:p w:rsidR="00092652" w:rsidRDefault="0039522B">
            <w:pPr>
              <w:spacing w:line="300" w:lineRule="exact"/>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合计：</w:t>
            </w:r>
          </w:p>
        </w:tc>
        <w:tc>
          <w:tcPr>
            <w:tcW w:w="4536" w:type="dxa"/>
          </w:tcPr>
          <w:p w:rsidR="00092652" w:rsidRDefault="0039522B">
            <w:pPr>
              <w:spacing w:line="540" w:lineRule="exact"/>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20</w:t>
            </w:r>
          </w:p>
        </w:tc>
      </w:tr>
    </w:tbl>
    <w:p w:rsidR="00092652" w:rsidRDefault="0039522B">
      <w:pPr>
        <w:spacing w:line="54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7.发放贷款和垫款</w:t>
      </w:r>
    </w:p>
    <w:tbl>
      <w:tblPr>
        <w:tblStyle w:val="af8"/>
        <w:tblW w:w="0" w:type="auto"/>
        <w:tblInd w:w="392" w:type="dxa"/>
        <w:tblLook w:val="04A0" w:firstRow="1" w:lastRow="0" w:firstColumn="1" w:lastColumn="0" w:noHBand="0" w:noVBand="1"/>
      </w:tblPr>
      <w:tblGrid>
        <w:gridCol w:w="3544"/>
        <w:gridCol w:w="4394"/>
      </w:tblGrid>
      <w:tr w:rsidR="00092652">
        <w:trPr>
          <w:trHeight w:val="505"/>
        </w:trPr>
        <w:tc>
          <w:tcPr>
            <w:tcW w:w="3544" w:type="dxa"/>
            <w:vAlign w:val="center"/>
          </w:tcPr>
          <w:p w:rsidR="00092652" w:rsidRDefault="0039522B">
            <w:pPr>
              <w:spacing w:line="300" w:lineRule="exact"/>
              <w:ind w:firstLineChars="450" w:firstLine="1084"/>
              <w:rPr>
                <w:rFonts w:ascii="仿宋_GB2312" w:eastAsia="仿宋_GB2312" w:hAnsi="宋体" w:cs="宋体"/>
                <w:b/>
                <w:kern w:val="0"/>
                <w:sz w:val="24"/>
                <w:szCs w:val="24"/>
              </w:rPr>
            </w:pPr>
            <w:r>
              <w:rPr>
                <w:rFonts w:ascii="仿宋_GB2312" w:eastAsia="仿宋_GB2312" w:hAnsi="宋体" w:cs="宋体" w:hint="eastAsia"/>
                <w:b/>
                <w:kern w:val="0"/>
                <w:sz w:val="24"/>
                <w:szCs w:val="24"/>
              </w:rPr>
              <w:t>关联方</w:t>
            </w:r>
          </w:p>
        </w:tc>
        <w:tc>
          <w:tcPr>
            <w:tcW w:w="4394" w:type="dxa"/>
            <w:vAlign w:val="center"/>
          </w:tcPr>
          <w:p w:rsidR="00092652" w:rsidRDefault="0039522B">
            <w:pPr>
              <w:spacing w:line="300" w:lineRule="exact"/>
              <w:ind w:left="361" w:hangingChars="150" w:hanging="361"/>
              <w:jc w:val="center"/>
              <w:rPr>
                <w:rFonts w:ascii="仿宋_GB2312" w:eastAsia="仿宋_GB2312" w:hAnsi="宋体" w:cs="宋体"/>
                <w:b/>
                <w:kern w:val="0"/>
                <w:sz w:val="24"/>
                <w:szCs w:val="24"/>
              </w:rPr>
            </w:pPr>
            <w:r>
              <w:rPr>
                <w:rFonts w:ascii="仿宋_GB2312" w:eastAsia="仿宋_GB2312" w:hAnsi="宋体" w:cs="宋体"/>
                <w:b/>
                <w:kern w:val="0"/>
                <w:sz w:val="24"/>
                <w:szCs w:val="24"/>
              </w:rPr>
              <w:t>20</w:t>
            </w:r>
            <w:r>
              <w:rPr>
                <w:rFonts w:ascii="仿宋_GB2312" w:eastAsia="仿宋_GB2312" w:hAnsi="宋体" w:cs="宋体" w:hint="eastAsia"/>
                <w:b/>
                <w:kern w:val="0"/>
                <w:sz w:val="24"/>
                <w:szCs w:val="24"/>
              </w:rPr>
              <w:t>20年</w:t>
            </w:r>
            <w:r>
              <w:rPr>
                <w:rFonts w:ascii="仿宋_GB2312" w:eastAsia="仿宋_GB2312" w:hAnsi="宋体" w:cs="宋体"/>
                <w:b/>
                <w:kern w:val="0"/>
                <w:sz w:val="24"/>
                <w:szCs w:val="24"/>
              </w:rPr>
              <w:t>12月31日</w:t>
            </w:r>
          </w:p>
        </w:tc>
      </w:tr>
      <w:tr w:rsidR="00092652">
        <w:tc>
          <w:tcPr>
            <w:tcW w:w="3544" w:type="dxa"/>
            <w:vAlign w:val="center"/>
          </w:tcPr>
          <w:p w:rsidR="00092652" w:rsidRDefault="0039522B">
            <w:pPr>
              <w:spacing w:line="3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中国烟草总公司及其关联企业</w:t>
            </w:r>
          </w:p>
        </w:tc>
        <w:tc>
          <w:tcPr>
            <w:tcW w:w="4394" w:type="dxa"/>
          </w:tcPr>
          <w:p w:rsidR="00092652" w:rsidRDefault="0039522B">
            <w:pPr>
              <w:spacing w:line="540" w:lineRule="exact"/>
              <w:ind w:firstLineChars="800" w:firstLine="1920"/>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197 </w:t>
            </w:r>
          </w:p>
        </w:tc>
      </w:tr>
      <w:tr w:rsidR="00092652">
        <w:tc>
          <w:tcPr>
            <w:tcW w:w="3544" w:type="dxa"/>
            <w:vAlign w:val="center"/>
          </w:tcPr>
          <w:p w:rsidR="00092652" w:rsidRDefault="0039522B">
            <w:pPr>
              <w:spacing w:line="3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福建阳光集团有限公司</w:t>
            </w:r>
          </w:p>
          <w:p w:rsidR="00092652" w:rsidRDefault="0039522B">
            <w:pPr>
              <w:spacing w:line="3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及其关联企业</w:t>
            </w:r>
          </w:p>
        </w:tc>
        <w:tc>
          <w:tcPr>
            <w:tcW w:w="4394"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6,592</w:t>
            </w:r>
          </w:p>
        </w:tc>
      </w:tr>
      <w:tr w:rsidR="00092652">
        <w:tc>
          <w:tcPr>
            <w:tcW w:w="3544" w:type="dxa"/>
            <w:vAlign w:val="center"/>
          </w:tcPr>
          <w:p w:rsidR="00092652" w:rsidRDefault="0039522B">
            <w:pPr>
              <w:spacing w:line="3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浙江省能源集团有限公司</w:t>
            </w:r>
          </w:p>
          <w:p w:rsidR="00092652" w:rsidRDefault="0039522B">
            <w:pPr>
              <w:tabs>
                <w:tab w:val="center" w:pos="3924"/>
                <w:tab w:val="decimal" w:pos="5364"/>
                <w:tab w:val="decimal" w:pos="6804"/>
                <w:tab w:val="decimal" w:pos="8244"/>
                <w:tab w:val="decimal" w:pos="9684"/>
              </w:tabs>
              <w:ind w:right="2" w:firstLineChars="50" w:firstLine="120"/>
              <w:jc w:val="left"/>
              <w:rPr>
                <w:rFonts w:ascii="仿宋_GB2312" w:eastAsia="仿宋_GB2312" w:hAnsi="宋体" w:cs="宋体"/>
                <w:kern w:val="0"/>
                <w:sz w:val="24"/>
                <w:szCs w:val="24"/>
              </w:rPr>
            </w:pPr>
            <w:r>
              <w:rPr>
                <w:rFonts w:ascii="仿宋_GB2312" w:eastAsia="仿宋_GB2312" w:hAnsi="宋体" w:cs="宋体" w:hint="eastAsia"/>
                <w:kern w:val="0"/>
                <w:sz w:val="24"/>
                <w:szCs w:val="24"/>
              </w:rPr>
              <w:t>及其关联企业</w:t>
            </w:r>
          </w:p>
        </w:tc>
        <w:tc>
          <w:tcPr>
            <w:tcW w:w="4394"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522</w:t>
            </w:r>
          </w:p>
        </w:tc>
      </w:tr>
      <w:tr w:rsidR="00092652">
        <w:tc>
          <w:tcPr>
            <w:tcW w:w="3544" w:type="dxa"/>
            <w:vAlign w:val="center"/>
          </w:tcPr>
          <w:p w:rsidR="00092652" w:rsidRDefault="0039522B">
            <w:pPr>
              <w:spacing w:line="3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龙岩市汇金发展集团有限公司及其关联企业</w:t>
            </w:r>
          </w:p>
        </w:tc>
        <w:tc>
          <w:tcPr>
            <w:tcW w:w="4394"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867</w:t>
            </w:r>
          </w:p>
        </w:tc>
      </w:tr>
      <w:tr w:rsidR="00092652">
        <w:tc>
          <w:tcPr>
            <w:tcW w:w="3544" w:type="dxa"/>
            <w:vAlign w:val="center"/>
          </w:tcPr>
          <w:p w:rsidR="00092652" w:rsidRDefault="0039522B">
            <w:pPr>
              <w:spacing w:line="3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其他</w:t>
            </w:r>
          </w:p>
        </w:tc>
        <w:tc>
          <w:tcPr>
            <w:tcW w:w="4394"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9</w:t>
            </w:r>
          </w:p>
        </w:tc>
      </w:tr>
      <w:tr w:rsidR="00092652">
        <w:tc>
          <w:tcPr>
            <w:tcW w:w="3544" w:type="dxa"/>
            <w:vAlign w:val="center"/>
          </w:tcPr>
          <w:p w:rsidR="00092652" w:rsidRDefault="0039522B">
            <w:pPr>
              <w:spacing w:line="300" w:lineRule="exact"/>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合计：</w:t>
            </w:r>
          </w:p>
        </w:tc>
        <w:tc>
          <w:tcPr>
            <w:tcW w:w="4394" w:type="dxa"/>
          </w:tcPr>
          <w:p w:rsidR="00092652" w:rsidRDefault="0039522B">
            <w:pPr>
              <w:spacing w:line="540" w:lineRule="exact"/>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8,187</w:t>
            </w:r>
          </w:p>
        </w:tc>
      </w:tr>
    </w:tbl>
    <w:p w:rsidR="00092652" w:rsidRDefault="0039522B">
      <w:pPr>
        <w:spacing w:line="54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8.其他债权投资</w:t>
      </w:r>
    </w:p>
    <w:tbl>
      <w:tblPr>
        <w:tblStyle w:val="af8"/>
        <w:tblW w:w="0" w:type="auto"/>
        <w:tblInd w:w="392" w:type="dxa"/>
        <w:tblLook w:val="04A0" w:firstRow="1" w:lastRow="0" w:firstColumn="1" w:lastColumn="0" w:noHBand="0" w:noVBand="1"/>
      </w:tblPr>
      <w:tblGrid>
        <w:gridCol w:w="3544"/>
        <w:gridCol w:w="4394"/>
      </w:tblGrid>
      <w:tr w:rsidR="00092652">
        <w:trPr>
          <w:trHeight w:val="505"/>
        </w:trPr>
        <w:tc>
          <w:tcPr>
            <w:tcW w:w="3544" w:type="dxa"/>
            <w:vAlign w:val="center"/>
          </w:tcPr>
          <w:p w:rsidR="00092652" w:rsidRDefault="0039522B">
            <w:pPr>
              <w:spacing w:line="300" w:lineRule="exact"/>
              <w:ind w:firstLineChars="450" w:firstLine="1084"/>
              <w:rPr>
                <w:rFonts w:ascii="仿宋_GB2312" w:eastAsia="仿宋_GB2312" w:hAnsi="宋体" w:cs="宋体"/>
                <w:b/>
                <w:kern w:val="0"/>
                <w:sz w:val="24"/>
                <w:szCs w:val="24"/>
              </w:rPr>
            </w:pPr>
            <w:r>
              <w:rPr>
                <w:rFonts w:ascii="仿宋_GB2312" w:eastAsia="仿宋_GB2312" w:hAnsi="宋体" w:cs="宋体" w:hint="eastAsia"/>
                <w:b/>
                <w:kern w:val="0"/>
                <w:sz w:val="24"/>
                <w:szCs w:val="24"/>
              </w:rPr>
              <w:t>关联方</w:t>
            </w:r>
          </w:p>
        </w:tc>
        <w:tc>
          <w:tcPr>
            <w:tcW w:w="4394" w:type="dxa"/>
            <w:vAlign w:val="center"/>
          </w:tcPr>
          <w:p w:rsidR="00092652" w:rsidRDefault="0039522B">
            <w:pPr>
              <w:spacing w:line="300" w:lineRule="exact"/>
              <w:ind w:left="361" w:hangingChars="150" w:hanging="361"/>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2020年</w:t>
            </w:r>
            <w:r>
              <w:rPr>
                <w:rFonts w:ascii="仿宋_GB2312" w:eastAsia="仿宋_GB2312" w:hAnsi="宋体" w:cs="宋体"/>
                <w:b/>
                <w:kern w:val="0"/>
                <w:sz w:val="24"/>
                <w:szCs w:val="24"/>
              </w:rPr>
              <w:t>12月31日</w:t>
            </w:r>
          </w:p>
        </w:tc>
      </w:tr>
      <w:tr w:rsidR="00092652">
        <w:tc>
          <w:tcPr>
            <w:tcW w:w="3544" w:type="dxa"/>
            <w:vAlign w:val="center"/>
          </w:tcPr>
          <w:p w:rsidR="00092652" w:rsidRDefault="0039522B">
            <w:pPr>
              <w:spacing w:line="3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龙岩市汇金发展集团有限公司及其关联企业</w:t>
            </w:r>
          </w:p>
        </w:tc>
        <w:tc>
          <w:tcPr>
            <w:tcW w:w="4394"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100</w:t>
            </w:r>
          </w:p>
        </w:tc>
      </w:tr>
      <w:tr w:rsidR="00092652">
        <w:tc>
          <w:tcPr>
            <w:tcW w:w="3544" w:type="dxa"/>
            <w:vAlign w:val="center"/>
          </w:tcPr>
          <w:p w:rsidR="00092652" w:rsidRDefault="0039522B">
            <w:pPr>
              <w:spacing w:line="300" w:lineRule="exact"/>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合计：</w:t>
            </w:r>
          </w:p>
        </w:tc>
        <w:tc>
          <w:tcPr>
            <w:tcW w:w="4394" w:type="dxa"/>
          </w:tcPr>
          <w:p w:rsidR="00092652" w:rsidRDefault="0039522B">
            <w:pPr>
              <w:spacing w:line="540" w:lineRule="exact"/>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100</w:t>
            </w:r>
          </w:p>
        </w:tc>
      </w:tr>
    </w:tbl>
    <w:p w:rsidR="00092652" w:rsidRDefault="0039522B">
      <w:pPr>
        <w:spacing w:line="54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9.债权投资</w:t>
      </w:r>
    </w:p>
    <w:tbl>
      <w:tblPr>
        <w:tblStyle w:val="af8"/>
        <w:tblW w:w="0" w:type="auto"/>
        <w:tblInd w:w="392" w:type="dxa"/>
        <w:tblLook w:val="04A0" w:firstRow="1" w:lastRow="0" w:firstColumn="1" w:lastColumn="0" w:noHBand="0" w:noVBand="1"/>
      </w:tblPr>
      <w:tblGrid>
        <w:gridCol w:w="3544"/>
        <w:gridCol w:w="4394"/>
      </w:tblGrid>
      <w:tr w:rsidR="00092652">
        <w:trPr>
          <w:trHeight w:val="505"/>
        </w:trPr>
        <w:tc>
          <w:tcPr>
            <w:tcW w:w="3544" w:type="dxa"/>
            <w:vAlign w:val="center"/>
          </w:tcPr>
          <w:p w:rsidR="00092652" w:rsidRDefault="0039522B">
            <w:pPr>
              <w:spacing w:line="300" w:lineRule="exact"/>
              <w:ind w:firstLineChars="450" w:firstLine="1084"/>
              <w:rPr>
                <w:rFonts w:ascii="仿宋_GB2312" w:eastAsia="仿宋_GB2312" w:hAnsi="宋体" w:cs="宋体"/>
                <w:b/>
                <w:kern w:val="0"/>
                <w:sz w:val="24"/>
                <w:szCs w:val="24"/>
              </w:rPr>
            </w:pPr>
            <w:r>
              <w:rPr>
                <w:rFonts w:ascii="仿宋_GB2312" w:eastAsia="仿宋_GB2312" w:hAnsi="宋体" w:cs="宋体" w:hint="eastAsia"/>
                <w:b/>
                <w:kern w:val="0"/>
                <w:sz w:val="24"/>
                <w:szCs w:val="24"/>
              </w:rPr>
              <w:t>关联方</w:t>
            </w:r>
          </w:p>
        </w:tc>
        <w:tc>
          <w:tcPr>
            <w:tcW w:w="4394" w:type="dxa"/>
            <w:vAlign w:val="center"/>
          </w:tcPr>
          <w:p w:rsidR="00092652" w:rsidRDefault="0039522B">
            <w:pPr>
              <w:spacing w:line="300" w:lineRule="exact"/>
              <w:ind w:left="361" w:hangingChars="150" w:hanging="361"/>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2020年</w:t>
            </w:r>
            <w:r>
              <w:rPr>
                <w:rFonts w:ascii="仿宋_GB2312" w:eastAsia="仿宋_GB2312" w:hAnsi="宋体" w:cs="宋体"/>
                <w:b/>
                <w:kern w:val="0"/>
                <w:sz w:val="24"/>
                <w:szCs w:val="24"/>
              </w:rPr>
              <w:t>12月31日</w:t>
            </w:r>
          </w:p>
        </w:tc>
      </w:tr>
      <w:tr w:rsidR="00092652">
        <w:tc>
          <w:tcPr>
            <w:tcW w:w="3544" w:type="dxa"/>
            <w:vAlign w:val="center"/>
          </w:tcPr>
          <w:p w:rsidR="00092652" w:rsidRDefault="0039522B">
            <w:pPr>
              <w:spacing w:line="3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福建阳光集团有限公司</w:t>
            </w:r>
          </w:p>
          <w:p w:rsidR="00092652" w:rsidRDefault="0039522B">
            <w:pPr>
              <w:spacing w:line="3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及其关联企业</w:t>
            </w:r>
          </w:p>
        </w:tc>
        <w:tc>
          <w:tcPr>
            <w:tcW w:w="4394"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1215</w:t>
            </w:r>
          </w:p>
        </w:tc>
      </w:tr>
      <w:tr w:rsidR="00092652">
        <w:tc>
          <w:tcPr>
            <w:tcW w:w="3544" w:type="dxa"/>
            <w:vAlign w:val="center"/>
          </w:tcPr>
          <w:p w:rsidR="00092652" w:rsidRDefault="0039522B">
            <w:pPr>
              <w:spacing w:line="300" w:lineRule="exact"/>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合计：</w:t>
            </w:r>
          </w:p>
        </w:tc>
        <w:tc>
          <w:tcPr>
            <w:tcW w:w="4394" w:type="dxa"/>
          </w:tcPr>
          <w:p w:rsidR="00092652" w:rsidRDefault="0039522B">
            <w:pPr>
              <w:spacing w:line="540" w:lineRule="exact"/>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 xml:space="preserve"> 1,215</w:t>
            </w:r>
          </w:p>
        </w:tc>
      </w:tr>
    </w:tbl>
    <w:p w:rsidR="00092652" w:rsidRDefault="0039522B">
      <w:pPr>
        <w:spacing w:line="540" w:lineRule="exac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10.同业及其他金融机构存放款项、吸收存款</w:t>
      </w:r>
    </w:p>
    <w:tbl>
      <w:tblPr>
        <w:tblStyle w:val="af8"/>
        <w:tblW w:w="7938" w:type="dxa"/>
        <w:tblInd w:w="392" w:type="dxa"/>
        <w:tblLook w:val="04A0" w:firstRow="1" w:lastRow="0" w:firstColumn="1" w:lastColumn="0" w:noHBand="0" w:noVBand="1"/>
      </w:tblPr>
      <w:tblGrid>
        <w:gridCol w:w="2693"/>
        <w:gridCol w:w="2552"/>
        <w:gridCol w:w="2693"/>
      </w:tblGrid>
      <w:tr w:rsidR="00092652">
        <w:tc>
          <w:tcPr>
            <w:tcW w:w="2693" w:type="dxa"/>
            <w:vAlign w:val="center"/>
          </w:tcPr>
          <w:p w:rsidR="00092652" w:rsidRDefault="0039522B">
            <w:pPr>
              <w:spacing w:line="300" w:lineRule="exact"/>
              <w:ind w:firstLineChars="450" w:firstLine="1084"/>
              <w:rPr>
                <w:rFonts w:ascii="仿宋_GB2312" w:eastAsia="仿宋_GB2312" w:hAnsi="宋体" w:cs="宋体"/>
                <w:b/>
                <w:kern w:val="0"/>
                <w:sz w:val="24"/>
                <w:szCs w:val="24"/>
              </w:rPr>
            </w:pPr>
            <w:r>
              <w:rPr>
                <w:rFonts w:ascii="仿宋_GB2312" w:eastAsia="仿宋_GB2312" w:hAnsi="宋体" w:cs="宋体" w:hint="eastAsia"/>
                <w:b/>
                <w:kern w:val="0"/>
                <w:sz w:val="24"/>
                <w:szCs w:val="24"/>
              </w:rPr>
              <w:t>关联方</w:t>
            </w:r>
          </w:p>
        </w:tc>
        <w:tc>
          <w:tcPr>
            <w:tcW w:w="2552" w:type="dxa"/>
            <w:vAlign w:val="center"/>
          </w:tcPr>
          <w:p w:rsidR="00092652" w:rsidRDefault="0039522B">
            <w:pPr>
              <w:spacing w:line="300" w:lineRule="exact"/>
              <w:ind w:left="361" w:hangingChars="150" w:hanging="361"/>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同业及其他金融机构存放款项</w:t>
            </w:r>
          </w:p>
          <w:p w:rsidR="00092652" w:rsidRDefault="0039522B">
            <w:pPr>
              <w:spacing w:line="300" w:lineRule="exact"/>
              <w:ind w:left="361" w:hangingChars="150" w:hanging="361"/>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（2020年</w:t>
            </w:r>
            <w:r>
              <w:rPr>
                <w:rFonts w:ascii="仿宋_GB2312" w:eastAsia="仿宋_GB2312" w:hAnsi="宋体" w:cs="宋体"/>
                <w:b/>
                <w:kern w:val="0"/>
                <w:sz w:val="24"/>
                <w:szCs w:val="24"/>
              </w:rPr>
              <w:t>12月31日）</w:t>
            </w:r>
          </w:p>
        </w:tc>
        <w:tc>
          <w:tcPr>
            <w:tcW w:w="2693" w:type="dxa"/>
            <w:vAlign w:val="center"/>
          </w:tcPr>
          <w:p w:rsidR="00092652" w:rsidRDefault="0039522B">
            <w:pPr>
              <w:spacing w:line="300" w:lineRule="exact"/>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吸收存款</w:t>
            </w:r>
          </w:p>
          <w:p w:rsidR="00092652" w:rsidRDefault="0039522B">
            <w:pPr>
              <w:spacing w:line="300" w:lineRule="exact"/>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w:t>
            </w:r>
            <w:r>
              <w:rPr>
                <w:rFonts w:ascii="仿宋_GB2312" w:eastAsia="仿宋_GB2312" w:hAnsi="宋体" w:cs="宋体"/>
                <w:b/>
                <w:kern w:val="0"/>
                <w:sz w:val="24"/>
                <w:szCs w:val="24"/>
              </w:rPr>
              <w:t>2</w:t>
            </w:r>
            <w:r>
              <w:rPr>
                <w:rFonts w:ascii="仿宋_GB2312" w:eastAsia="仿宋_GB2312" w:hAnsi="宋体" w:cs="宋体" w:hint="eastAsia"/>
                <w:b/>
                <w:kern w:val="0"/>
                <w:sz w:val="24"/>
                <w:szCs w:val="24"/>
              </w:rPr>
              <w:t>020年</w:t>
            </w:r>
            <w:r>
              <w:rPr>
                <w:rFonts w:ascii="仿宋_GB2312" w:eastAsia="仿宋_GB2312" w:hAnsi="宋体" w:cs="宋体"/>
                <w:b/>
                <w:kern w:val="0"/>
                <w:sz w:val="24"/>
                <w:szCs w:val="24"/>
              </w:rPr>
              <w:t>12月31日）</w:t>
            </w:r>
          </w:p>
        </w:tc>
      </w:tr>
      <w:tr w:rsidR="00092652">
        <w:tc>
          <w:tcPr>
            <w:tcW w:w="2693" w:type="dxa"/>
            <w:vAlign w:val="center"/>
          </w:tcPr>
          <w:p w:rsidR="00092652" w:rsidRDefault="0039522B">
            <w:pPr>
              <w:spacing w:line="3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福建省财政厅及下属事业单位</w:t>
            </w:r>
          </w:p>
        </w:tc>
        <w:tc>
          <w:tcPr>
            <w:tcW w:w="2552"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w:t>
            </w:r>
          </w:p>
        </w:tc>
        <w:tc>
          <w:tcPr>
            <w:tcW w:w="2693"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1,955</w:t>
            </w:r>
          </w:p>
        </w:tc>
      </w:tr>
      <w:tr w:rsidR="00092652">
        <w:tc>
          <w:tcPr>
            <w:tcW w:w="2693" w:type="dxa"/>
            <w:vAlign w:val="center"/>
          </w:tcPr>
          <w:p w:rsidR="00092652" w:rsidRDefault="0039522B">
            <w:pPr>
              <w:spacing w:line="3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中国人民保险集团股份有限公司及其关联企业</w:t>
            </w:r>
          </w:p>
        </w:tc>
        <w:tc>
          <w:tcPr>
            <w:tcW w:w="2552"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38</w:t>
            </w:r>
          </w:p>
        </w:tc>
        <w:tc>
          <w:tcPr>
            <w:tcW w:w="2693"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24,063</w:t>
            </w:r>
          </w:p>
        </w:tc>
      </w:tr>
      <w:tr w:rsidR="00092652">
        <w:tc>
          <w:tcPr>
            <w:tcW w:w="2693" w:type="dxa"/>
            <w:vAlign w:val="center"/>
          </w:tcPr>
          <w:p w:rsidR="00092652" w:rsidRDefault="0039522B">
            <w:pPr>
              <w:spacing w:line="3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中国烟草总公司</w:t>
            </w:r>
          </w:p>
          <w:p w:rsidR="00092652" w:rsidRDefault="0039522B">
            <w:pPr>
              <w:spacing w:line="3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及其关联企业</w:t>
            </w:r>
          </w:p>
        </w:tc>
        <w:tc>
          <w:tcPr>
            <w:tcW w:w="2552"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54</w:t>
            </w:r>
          </w:p>
        </w:tc>
        <w:tc>
          <w:tcPr>
            <w:tcW w:w="2693"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82,535</w:t>
            </w:r>
          </w:p>
        </w:tc>
      </w:tr>
      <w:tr w:rsidR="00092652">
        <w:tc>
          <w:tcPr>
            <w:tcW w:w="2693" w:type="dxa"/>
            <w:vAlign w:val="center"/>
          </w:tcPr>
          <w:p w:rsidR="00092652" w:rsidRDefault="0039522B">
            <w:pPr>
              <w:spacing w:line="3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福建阳光集团有限公司及其关联企业</w:t>
            </w:r>
          </w:p>
        </w:tc>
        <w:tc>
          <w:tcPr>
            <w:tcW w:w="2552"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367</w:t>
            </w:r>
          </w:p>
        </w:tc>
        <w:tc>
          <w:tcPr>
            <w:tcW w:w="2693"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6,138</w:t>
            </w:r>
          </w:p>
        </w:tc>
      </w:tr>
      <w:tr w:rsidR="00092652">
        <w:tc>
          <w:tcPr>
            <w:tcW w:w="2693" w:type="dxa"/>
            <w:vAlign w:val="center"/>
          </w:tcPr>
          <w:p w:rsidR="00092652" w:rsidRDefault="0039522B">
            <w:pPr>
              <w:spacing w:line="3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浙江省能源集团有限公司及其关联企业</w:t>
            </w:r>
          </w:p>
        </w:tc>
        <w:tc>
          <w:tcPr>
            <w:tcW w:w="2552"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3,000</w:t>
            </w:r>
          </w:p>
        </w:tc>
        <w:tc>
          <w:tcPr>
            <w:tcW w:w="2693"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36</w:t>
            </w:r>
          </w:p>
        </w:tc>
      </w:tr>
      <w:tr w:rsidR="00092652">
        <w:tc>
          <w:tcPr>
            <w:tcW w:w="2693" w:type="dxa"/>
            <w:vAlign w:val="center"/>
          </w:tcPr>
          <w:p w:rsidR="00092652" w:rsidRDefault="0039522B">
            <w:pPr>
              <w:spacing w:line="3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龙岩市汇金发展集团有限公司及其关联企业</w:t>
            </w:r>
          </w:p>
        </w:tc>
        <w:tc>
          <w:tcPr>
            <w:tcW w:w="2552"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w:t>
            </w:r>
          </w:p>
        </w:tc>
        <w:tc>
          <w:tcPr>
            <w:tcW w:w="2693"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512</w:t>
            </w:r>
          </w:p>
        </w:tc>
      </w:tr>
      <w:tr w:rsidR="00092652">
        <w:tc>
          <w:tcPr>
            <w:tcW w:w="2693" w:type="dxa"/>
            <w:vAlign w:val="center"/>
          </w:tcPr>
          <w:p w:rsidR="00092652" w:rsidRDefault="0039522B">
            <w:pPr>
              <w:spacing w:line="3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其他</w:t>
            </w:r>
          </w:p>
        </w:tc>
        <w:tc>
          <w:tcPr>
            <w:tcW w:w="2552"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w:t>
            </w:r>
          </w:p>
        </w:tc>
        <w:tc>
          <w:tcPr>
            <w:tcW w:w="2693"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409</w:t>
            </w:r>
          </w:p>
        </w:tc>
      </w:tr>
      <w:tr w:rsidR="00092652">
        <w:tc>
          <w:tcPr>
            <w:tcW w:w="2693" w:type="dxa"/>
            <w:vAlign w:val="center"/>
          </w:tcPr>
          <w:p w:rsidR="00092652" w:rsidRDefault="0039522B">
            <w:pPr>
              <w:spacing w:line="300" w:lineRule="exact"/>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合计：</w:t>
            </w:r>
          </w:p>
        </w:tc>
        <w:tc>
          <w:tcPr>
            <w:tcW w:w="2552" w:type="dxa"/>
          </w:tcPr>
          <w:p w:rsidR="00092652" w:rsidRDefault="0039522B">
            <w:pPr>
              <w:spacing w:line="540" w:lineRule="exact"/>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3,459</w:t>
            </w:r>
          </w:p>
        </w:tc>
        <w:tc>
          <w:tcPr>
            <w:tcW w:w="2693" w:type="dxa"/>
          </w:tcPr>
          <w:p w:rsidR="00092652" w:rsidRDefault="0039522B">
            <w:pPr>
              <w:spacing w:line="540" w:lineRule="exact"/>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115,648</w:t>
            </w:r>
          </w:p>
        </w:tc>
      </w:tr>
    </w:tbl>
    <w:p w:rsidR="00092652" w:rsidRDefault="0039522B">
      <w:pPr>
        <w:spacing w:line="540" w:lineRule="exact"/>
        <w:ind w:firstLineChars="200" w:firstLine="560"/>
        <w:rPr>
          <w:rFonts w:ascii="仿宋_GB2312" w:eastAsia="仿宋_GB2312" w:hAnsi="宋体" w:cs="宋体"/>
          <w:kern w:val="0"/>
          <w:sz w:val="28"/>
          <w:szCs w:val="28"/>
        </w:rPr>
      </w:pPr>
      <w:r>
        <w:rPr>
          <w:rFonts w:ascii="仿宋_GB2312" w:eastAsia="仿宋_GB2312" w:hAnsi="宋体" w:cs="宋体"/>
          <w:kern w:val="0"/>
          <w:sz w:val="28"/>
          <w:szCs w:val="28"/>
        </w:rPr>
        <w:t>1</w:t>
      </w:r>
      <w:r>
        <w:rPr>
          <w:rFonts w:ascii="仿宋_GB2312" w:eastAsia="仿宋_GB2312" w:hAnsi="宋体" w:cs="宋体" w:hint="eastAsia"/>
          <w:kern w:val="0"/>
          <w:sz w:val="28"/>
          <w:szCs w:val="28"/>
        </w:rPr>
        <w:t>1.授信额度</w:t>
      </w:r>
    </w:p>
    <w:tbl>
      <w:tblPr>
        <w:tblStyle w:val="af8"/>
        <w:tblW w:w="0" w:type="auto"/>
        <w:tblInd w:w="392" w:type="dxa"/>
        <w:tblLook w:val="04A0" w:firstRow="1" w:lastRow="0" w:firstColumn="1" w:lastColumn="0" w:noHBand="0" w:noVBand="1"/>
      </w:tblPr>
      <w:tblGrid>
        <w:gridCol w:w="3402"/>
        <w:gridCol w:w="4536"/>
      </w:tblGrid>
      <w:tr w:rsidR="00092652">
        <w:trPr>
          <w:trHeight w:val="505"/>
        </w:trPr>
        <w:tc>
          <w:tcPr>
            <w:tcW w:w="3402" w:type="dxa"/>
            <w:vAlign w:val="center"/>
          </w:tcPr>
          <w:p w:rsidR="00092652" w:rsidRDefault="0039522B">
            <w:pPr>
              <w:spacing w:line="300" w:lineRule="exact"/>
              <w:ind w:firstLineChars="450" w:firstLine="1084"/>
              <w:rPr>
                <w:rFonts w:ascii="仿宋_GB2312" w:eastAsia="仿宋_GB2312" w:hAnsi="宋体" w:cs="宋体"/>
                <w:b/>
                <w:kern w:val="0"/>
                <w:sz w:val="24"/>
                <w:szCs w:val="24"/>
              </w:rPr>
            </w:pPr>
            <w:r>
              <w:rPr>
                <w:rFonts w:ascii="仿宋_GB2312" w:eastAsia="仿宋_GB2312" w:hAnsi="宋体" w:cs="宋体" w:hint="eastAsia"/>
                <w:b/>
                <w:kern w:val="0"/>
                <w:sz w:val="24"/>
                <w:szCs w:val="24"/>
              </w:rPr>
              <w:t>关联方</w:t>
            </w:r>
          </w:p>
        </w:tc>
        <w:tc>
          <w:tcPr>
            <w:tcW w:w="4536" w:type="dxa"/>
            <w:vAlign w:val="center"/>
          </w:tcPr>
          <w:p w:rsidR="00092652" w:rsidRDefault="0039522B">
            <w:pPr>
              <w:spacing w:line="300" w:lineRule="exact"/>
              <w:ind w:left="361" w:hangingChars="150" w:hanging="361"/>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2020年</w:t>
            </w:r>
            <w:r>
              <w:rPr>
                <w:rFonts w:ascii="仿宋_GB2312" w:eastAsia="仿宋_GB2312" w:hAnsi="宋体" w:cs="宋体"/>
                <w:b/>
                <w:kern w:val="0"/>
                <w:sz w:val="24"/>
                <w:szCs w:val="24"/>
              </w:rPr>
              <w:t>12月31日</w:t>
            </w:r>
          </w:p>
        </w:tc>
      </w:tr>
      <w:tr w:rsidR="00092652">
        <w:tc>
          <w:tcPr>
            <w:tcW w:w="3402" w:type="dxa"/>
            <w:vAlign w:val="center"/>
          </w:tcPr>
          <w:p w:rsidR="00092652" w:rsidRDefault="0039522B">
            <w:pPr>
              <w:spacing w:line="3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中国人民保险集团股份有限</w:t>
            </w:r>
          </w:p>
          <w:p w:rsidR="00092652" w:rsidRDefault="0039522B">
            <w:pPr>
              <w:spacing w:line="3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公司及其关联企业</w:t>
            </w:r>
          </w:p>
        </w:tc>
        <w:tc>
          <w:tcPr>
            <w:tcW w:w="4536"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54,000</w:t>
            </w:r>
          </w:p>
        </w:tc>
      </w:tr>
      <w:tr w:rsidR="00092652">
        <w:tc>
          <w:tcPr>
            <w:tcW w:w="3402" w:type="dxa"/>
            <w:vAlign w:val="center"/>
          </w:tcPr>
          <w:p w:rsidR="00092652" w:rsidRDefault="0039522B">
            <w:pPr>
              <w:spacing w:line="3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中国烟草总公司及其关联企业</w:t>
            </w:r>
          </w:p>
        </w:tc>
        <w:tc>
          <w:tcPr>
            <w:tcW w:w="4536"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15,000</w:t>
            </w:r>
          </w:p>
        </w:tc>
      </w:tr>
      <w:tr w:rsidR="00092652">
        <w:tc>
          <w:tcPr>
            <w:tcW w:w="3402" w:type="dxa"/>
            <w:vAlign w:val="center"/>
          </w:tcPr>
          <w:p w:rsidR="00092652" w:rsidRDefault="0039522B">
            <w:pPr>
              <w:spacing w:line="3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福建阳光集团有限公司及其</w:t>
            </w:r>
          </w:p>
          <w:p w:rsidR="00092652" w:rsidRDefault="0039522B">
            <w:pPr>
              <w:spacing w:line="3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关联企业</w:t>
            </w:r>
          </w:p>
        </w:tc>
        <w:tc>
          <w:tcPr>
            <w:tcW w:w="4536"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22,000</w:t>
            </w:r>
          </w:p>
        </w:tc>
      </w:tr>
      <w:tr w:rsidR="00092652">
        <w:tc>
          <w:tcPr>
            <w:tcW w:w="3402" w:type="dxa"/>
            <w:vAlign w:val="center"/>
          </w:tcPr>
          <w:p w:rsidR="00092652" w:rsidRDefault="0039522B">
            <w:pPr>
              <w:spacing w:line="3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lastRenderedPageBreak/>
              <w:t>浙江省能源集团有限公司</w:t>
            </w:r>
          </w:p>
          <w:p w:rsidR="00092652" w:rsidRDefault="0039522B">
            <w:pPr>
              <w:tabs>
                <w:tab w:val="center" w:pos="3924"/>
                <w:tab w:val="decimal" w:pos="5364"/>
                <w:tab w:val="decimal" w:pos="6804"/>
                <w:tab w:val="decimal" w:pos="8244"/>
                <w:tab w:val="decimal" w:pos="9684"/>
              </w:tabs>
              <w:ind w:right="2" w:firstLineChars="50" w:firstLine="120"/>
              <w:jc w:val="left"/>
              <w:rPr>
                <w:rFonts w:ascii="仿宋_GB2312" w:eastAsia="仿宋_GB2312" w:hAnsi="宋体" w:cs="宋体"/>
                <w:kern w:val="0"/>
                <w:sz w:val="24"/>
                <w:szCs w:val="24"/>
              </w:rPr>
            </w:pPr>
            <w:r>
              <w:rPr>
                <w:rFonts w:ascii="仿宋_GB2312" w:eastAsia="仿宋_GB2312" w:hAnsi="宋体" w:cs="宋体" w:hint="eastAsia"/>
                <w:kern w:val="0"/>
                <w:sz w:val="24"/>
                <w:szCs w:val="24"/>
              </w:rPr>
              <w:t>及其关联企业</w:t>
            </w:r>
          </w:p>
        </w:tc>
        <w:tc>
          <w:tcPr>
            <w:tcW w:w="4536"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8,100</w:t>
            </w:r>
          </w:p>
        </w:tc>
      </w:tr>
      <w:tr w:rsidR="00092652">
        <w:tc>
          <w:tcPr>
            <w:tcW w:w="3402" w:type="dxa"/>
            <w:vAlign w:val="center"/>
          </w:tcPr>
          <w:p w:rsidR="00092652" w:rsidRDefault="0039522B">
            <w:pPr>
              <w:spacing w:line="3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龙岩市汇金发展集团有限公司及其关联企业</w:t>
            </w:r>
          </w:p>
        </w:tc>
        <w:tc>
          <w:tcPr>
            <w:tcW w:w="4536"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4,000</w:t>
            </w:r>
          </w:p>
        </w:tc>
      </w:tr>
      <w:tr w:rsidR="00092652">
        <w:tc>
          <w:tcPr>
            <w:tcW w:w="3402" w:type="dxa"/>
            <w:vAlign w:val="center"/>
          </w:tcPr>
          <w:p w:rsidR="00092652" w:rsidRDefault="0039522B">
            <w:pPr>
              <w:spacing w:line="300" w:lineRule="exact"/>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合计：</w:t>
            </w:r>
          </w:p>
        </w:tc>
        <w:tc>
          <w:tcPr>
            <w:tcW w:w="4536" w:type="dxa"/>
          </w:tcPr>
          <w:p w:rsidR="00092652" w:rsidRDefault="0039522B">
            <w:pPr>
              <w:spacing w:line="540" w:lineRule="exact"/>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103,100</w:t>
            </w:r>
          </w:p>
        </w:tc>
      </w:tr>
    </w:tbl>
    <w:p w:rsidR="00092652" w:rsidRDefault="0039522B">
      <w:pPr>
        <w:spacing w:line="540" w:lineRule="exact"/>
        <w:ind w:firstLineChars="800" w:firstLine="1680"/>
        <w:rPr>
          <w:rFonts w:ascii="仿宋_GB2312" w:eastAsia="仿宋_GB2312" w:hAnsi="宋体" w:cs="宋体"/>
          <w:kern w:val="0"/>
          <w:szCs w:val="21"/>
        </w:rPr>
      </w:pPr>
      <w:r>
        <w:rPr>
          <w:rFonts w:ascii="仿宋_GB2312" w:eastAsia="仿宋_GB2312" w:hAnsi="宋体" w:cs="宋体" w:hint="eastAsia"/>
          <w:kern w:val="0"/>
          <w:szCs w:val="21"/>
        </w:rPr>
        <w:t>注：授信额度为已公告的重大关联方授信额度。</w:t>
      </w:r>
    </w:p>
    <w:p w:rsidR="00092652" w:rsidRDefault="0039522B">
      <w:pPr>
        <w:spacing w:line="540" w:lineRule="exact"/>
        <w:ind w:firstLineChars="200" w:firstLine="560"/>
        <w:rPr>
          <w:rFonts w:ascii="仿宋_GB2312" w:eastAsia="仿宋_GB2312" w:hAnsi="宋体" w:cs="宋体"/>
          <w:kern w:val="0"/>
          <w:sz w:val="28"/>
          <w:szCs w:val="28"/>
        </w:rPr>
      </w:pPr>
      <w:r>
        <w:rPr>
          <w:rFonts w:ascii="仿宋_GB2312" w:eastAsia="仿宋_GB2312" w:hAnsi="宋体" w:cs="宋体"/>
          <w:kern w:val="0"/>
          <w:sz w:val="28"/>
          <w:szCs w:val="28"/>
        </w:rPr>
        <w:t>1</w:t>
      </w:r>
      <w:r>
        <w:rPr>
          <w:rFonts w:ascii="仿宋_GB2312" w:eastAsia="仿宋_GB2312" w:hAnsi="宋体" w:cs="宋体" w:hint="eastAsia"/>
          <w:kern w:val="0"/>
          <w:sz w:val="28"/>
          <w:szCs w:val="28"/>
        </w:rPr>
        <w:t>2.表外项目</w:t>
      </w:r>
    </w:p>
    <w:tbl>
      <w:tblPr>
        <w:tblStyle w:val="af8"/>
        <w:tblW w:w="7938" w:type="dxa"/>
        <w:tblInd w:w="392" w:type="dxa"/>
        <w:tblLook w:val="04A0" w:firstRow="1" w:lastRow="0" w:firstColumn="1" w:lastColumn="0" w:noHBand="0" w:noVBand="1"/>
      </w:tblPr>
      <w:tblGrid>
        <w:gridCol w:w="1984"/>
        <w:gridCol w:w="2410"/>
        <w:gridCol w:w="1701"/>
        <w:gridCol w:w="1843"/>
      </w:tblGrid>
      <w:tr w:rsidR="00092652">
        <w:tc>
          <w:tcPr>
            <w:tcW w:w="1984" w:type="dxa"/>
            <w:vAlign w:val="center"/>
          </w:tcPr>
          <w:p w:rsidR="00092652" w:rsidRDefault="0039522B">
            <w:pPr>
              <w:spacing w:line="300" w:lineRule="exact"/>
              <w:ind w:firstLineChars="14" w:firstLine="34"/>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关联方</w:t>
            </w:r>
          </w:p>
        </w:tc>
        <w:tc>
          <w:tcPr>
            <w:tcW w:w="2410" w:type="dxa"/>
            <w:vAlign w:val="center"/>
          </w:tcPr>
          <w:p w:rsidR="00092652" w:rsidRDefault="0039522B">
            <w:pPr>
              <w:spacing w:line="300" w:lineRule="exact"/>
              <w:ind w:left="361" w:hangingChars="150" w:hanging="361"/>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银行承兑汇票（</w:t>
            </w:r>
            <w:r>
              <w:rPr>
                <w:rFonts w:ascii="仿宋_GB2312" w:eastAsia="仿宋_GB2312" w:hAnsi="宋体" w:cs="宋体"/>
                <w:b/>
                <w:kern w:val="0"/>
                <w:sz w:val="24"/>
                <w:szCs w:val="24"/>
              </w:rPr>
              <w:t>20</w:t>
            </w:r>
            <w:r>
              <w:rPr>
                <w:rFonts w:ascii="仿宋_GB2312" w:eastAsia="仿宋_GB2312" w:hAnsi="宋体" w:cs="宋体" w:hint="eastAsia"/>
                <w:b/>
                <w:kern w:val="0"/>
                <w:sz w:val="24"/>
                <w:szCs w:val="24"/>
              </w:rPr>
              <w:t>20</w:t>
            </w:r>
            <w:r>
              <w:rPr>
                <w:rFonts w:ascii="仿宋_GB2312" w:eastAsia="仿宋_GB2312" w:hAnsi="宋体" w:cs="宋体"/>
                <w:b/>
                <w:kern w:val="0"/>
                <w:sz w:val="24"/>
                <w:szCs w:val="24"/>
              </w:rPr>
              <w:t>年12月31日）</w:t>
            </w:r>
          </w:p>
        </w:tc>
        <w:tc>
          <w:tcPr>
            <w:tcW w:w="1701" w:type="dxa"/>
            <w:vAlign w:val="center"/>
          </w:tcPr>
          <w:p w:rsidR="00092652" w:rsidRDefault="0039522B">
            <w:pPr>
              <w:spacing w:line="300" w:lineRule="exact"/>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保函（</w:t>
            </w:r>
            <w:r>
              <w:rPr>
                <w:rFonts w:ascii="仿宋_GB2312" w:eastAsia="仿宋_GB2312" w:hAnsi="宋体" w:cs="宋体"/>
                <w:b/>
                <w:kern w:val="0"/>
                <w:sz w:val="24"/>
                <w:szCs w:val="24"/>
              </w:rPr>
              <w:t>20</w:t>
            </w:r>
            <w:r>
              <w:rPr>
                <w:rFonts w:ascii="仿宋_GB2312" w:eastAsia="仿宋_GB2312" w:hAnsi="宋体" w:cs="宋体" w:hint="eastAsia"/>
                <w:b/>
                <w:kern w:val="0"/>
                <w:sz w:val="24"/>
                <w:szCs w:val="24"/>
              </w:rPr>
              <w:t>20</w:t>
            </w:r>
            <w:r>
              <w:rPr>
                <w:rFonts w:ascii="仿宋_GB2312" w:eastAsia="仿宋_GB2312" w:hAnsi="宋体" w:cs="宋体"/>
                <w:b/>
                <w:kern w:val="0"/>
                <w:sz w:val="24"/>
                <w:szCs w:val="24"/>
              </w:rPr>
              <w:t>年12月31日）</w:t>
            </w:r>
          </w:p>
        </w:tc>
        <w:tc>
          <w:tcPr>
            <w:tcW w:w="1843" w:type="dxa"/>
          </w:tcPr>
          <w:p w:rsidR="00092652" w:rsidRDefault="0039522B">
            <w:pPr>
              <w:spacing w:line="300" w:lineRule="exact"/>
              <w:ind w:leftChars="-51" w:left="-107"/>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信用证（</w:t>
            </w:r>
            <w:r>
              <w:rPr>
                <w:rFonts w:ascii="仿宋_GB2312" w:eastAsia="仿宋_GB2312" w:hAnsi="宋体" w:cs="宋体"/>
                <w:b/>
                <w:kern w:val="0"/>
                <w:sz w:val="24"/>
                <w:szCs w:val="24"/>
              </w:rPr>
              <w:t>20</w:t>
            </w:r>
            <w:r>
              <w:rPr>
                <w:rFonts w:ascii="仿宋_GB2312" w:eastAsia="仿宋_GB2312" w:hAnsi="宋体" w:cs="宋体" w:hint="eastAsia"/>
                <w:b/>
                <w:kern w:val="0"/>
                <w:sz w:val="24"/>
                <w:szCs w:val="24"/>
              </w:rPr>
              <w:t>20</w:t>
            </w:r>
            <w:r>
              <w:rPr>
                <w:rFonts w:ascii="仿宋_GB2312" w:eastAsia="仿宋_GB2312" w:hAnsi="宋体" w:cs="宋体"/>
                <w:b/>
                <w:kern w:val="0"/>
                <w:sz w:val="24"/>
                <w:szCs w:val="24"/>
              </w:rPr>
              <w:t>年12月31日）</w:t>
            </w:r>
          </w:p>
        </w:tc>
      </w:tr>
      <w:tr w:rsidR="00092652">
        <w:tc>
          <w:tcPr>
            <w:tcW w:w="1984" w:type="dxa"/>
            <w:vAlign w:val="center"/>
          </w:tcPr>
          <w:p w:rsidR="00092652" w:rsidRDefault="0039522B">
            <w:pPr>
              <w:spacing w:line="3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中国烟草总公司及其关联企业</w:t>
            </w:r>
          </w:p>
        </w:tc>
        <w:tc>
          <w:tcPr>
            <w:tcW w:w="2410"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68</w:t>
            </w:r>
          </w:p>
        </w:tc>
        <w:tc>
          <w:tcPr>
            <w:tcW w:w="1701"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54</w:t>
            </w:r>
          </w:p>
        </w:tc>
        <w:tc>
          <w:tcPr>
            <w:tcW w:w="1843"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0.03</w:t>
            </w:r>
          </w:p>
        </w:tc>
      </w:tr>
      <w:tr w:rsidR="00092652">
        <w:tc>
          <w:tcPr>
            <w:tcW w:w="1984" w:type="dxa"/>
            <w:vAlign w:val="center"/>
          </w:tcPr>
          <w:p w:rsidR="00092652" w:rsidRDefault="0039522B">
            <w:pPr>
              <w:spacing w:line="3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福建阳光集团有限公司及其关联企业</w:t>
            </w:r>
          </w:p>
        </w:tc>
        <w:tc>
          <w:tcPr>
            <w:tcW w:w="2410"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1,641</w:t>
            </w:r>
          </w:p>
        </w:tc>
        <w:tc>
          <w:tcPr>
            <w:tcW w:w="1701"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304</w:t>
            </w:r>
          </w:p>
        </w:tc>
        <w:tc>
          <w:tcPr>
            <w:tcW w:w="1843"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w:t>
            </w:r>
          </w:p>
        </w:tc>
      </w:tr>
      <w:tr w:rsidR="00092652">
        <w:tc>
          <w:tcPr>
            <w:tcW w:w="1984" w:type="dxa"/>
            <w:vAlign w:val="center"/>
          </w:tcPr>
          <w:p w:rsidR="00092652" w:rsidRDefault="0039522B">
            <w:pPr>
              <w:spacing w:line="3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浙江省能源集团有限公司及其关联企业</w:t>
            </w:r>
          </w:p>
        </w:tc>
        <w:tc>
          <w:tcPr>
            <w:tcW w:w="2410"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113</w:t>
            </w:r>
          </w:p>
        </w:tc>
        <w:tc>
          <w:tcPr>
            <w:tcW w:w="1701"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w:t>
            </w:r>
          </w:p>
        </w:tc>
        <w:tc>
          <w:tcPr>
            <w:tcW w:w="1843"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w:t>
            </w:r>
          </w:p>
        </w:tc>
      </w:tr>
      <w:tr w:rsidR="00092652">
        <w:tc>
          <w:tcPr>
            <w:tcW w:w="1984" w:type="dxa"/>
            <w:vAlign w:val="center"/>
          </w:tcPr>
          <w:p w:rsidR="00092652" w:rsidRDefault="0039522B">
            <w:pPr>
              <w:tabs>
                <w:tab w:val="center" w:pos="3924"/>
                <w:tab w:val="decimal" w:pos="5364"/>
                <w:tab w:val="decimal" w:pos="6804"/>
                <w:tab w:val="decimal" w:pos="8244"/>
                <w:tab w:val="decimal" w:pos="9684"/>
              </w:tabs>
              <w:ind w:right="2"/>
              <w:jc w:val="left"/>
              <w:rPr>
                <w:rFonts w:ascii="仿宋_GB2312" w:eastAsia="仿宋_GB2312" w:hAnsi="宋体" w:cs="宋体"/>
                <w:kern w:val="0"/>
                <w:sz w:val="24"/>
                <w:szCs w:val="24"/>
              </w:rPr>
            </w:pPr>
            <w:r>
              <w:rPr>
                <w:rFonts w:ascii="仿宋_GB2312" w:eastAsia="仿宋_GB2312" w:hAnsi="宋体" w:cs="宋体" w:hint="eastAsia"/>
                <w:kern w:val="0"/>
                <w:sz w:val="24"/>
                <w:szCs w:val="24"/>
              </w:rPr>
              <w:t>中国人民保险集团股份有限公司及其关联企业</w:t>
            </w:r>
          </w:p>
        </w:tc>
        <w:tc>
          <w:tcPr>
            <w:tcW w:w="2410"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294</w:t>
            </w:r>
          </w:p>
        </w:tc>
        <w:tc>
          <w:tcPr>
            <w:tcW w:w="1701"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470</w:t>
            </w:r>
          </w:p>
        </w:tc>
        <w:tc>
          <w:tcPr>
            <w:tcW w:w="1843"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w:t>
            </w:r>
          </w:p>
        </w:tc>
      </w:tr>
      <w:tr w:rsidR="00092652">
        <w:tc>
          <w:tcPr>
            <w:tcW w:w="1984" w:type="dxa"/>
            <w:vAlign w:val="center"/>
          </w:tcPr>
          <w:p w:rsidR="00092652" w:rsidRDefault="0039522B">
            <w:pPr>
              <w:tabs>
                <w:tab w:val="center" w:pos="3924"/>
                <w:tab w:val="decimal" w:pos="5364"/>
                <w:tab w:val="decimal" w:pos="6804"/>
                <w:tab w:val="decimal" w:pos="8244"/>
                <w:tab w:val="decimal" w:pos="9684"/>
              </w:tabs>
              <w:ind w:right="2"/>
              <w:jc w:val="left"/>
              <w:rPr>
                <w:rFonts w:ascii="仿宋_GB2312" w:eastAsia="仿宋_GB2312" w:hAnsi="宋体" w:cs="宋体"/>
                <w:kern w:val="0"/>
                <w:sz w:val="24"/>
                <w:szCs w:val="24"/>
              </w:rPr>
            </w:pPr>
            <w:r>
              <w:rPr>
                <w:rFonts w:ascii="仿宋_GB2312" w:eastAsia="仿宋_GB2312" w:hAnsi="宋体" w:cs="宋体" w:hint="eastAsia"/>
                <w:kern w:val="0"/>
                <w:sz w:val="24"/>
                <w:szCs w:val="24"/>
              </w:rPr>
              <w:t>龙岩市汇金发展集团有限公司及其关联企业</w:t>
            </w:r>
          </w:p>
        </w:tc>
        <w:tc>
          <w:tcPr>
            <w:tcW w:w="2410"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30</w:t>
            </w:r>
          </w:p>
        </w:tc>
        <w:tc>
          <w:tcPr>
            <w:tcW w:w="1701"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w:t>
            </w:r>
          </w:p>
        </w:tc>
        <w:tc>
          <w:tcPr>
            <w:tcW w:w="1843" w:type="dxa"/>
          </w:tcPr>
          <w:p w:rsidR="00092652" w:rsidRDefault="0039522B">
            <w:pPr>
              <w:spacing w:line="5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w:t>
            </w:r>
          </w:p>
        </w:tc>
      </w:tr>
      <w:tr w:rsidR="00092652">
        <w:tc>
          <w:tcPr>
            <w:tcW w:w="1984" w:type="dxa"/>
            <w:vAlign w:val="center"/>
          </w:tcPr>
          <w:p w:rsidR="00092652" w:rsidRDefault="0039522B">
            <w:pPr>
              <w:spacing w:line="300" w:lineRule="exact"/>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合计：</w:t>
            </w:r>
          </w:p>
        </w:tc>
        <w:tc>
          <w:tcPr>
            <w:tcW w:w="2410" w:type="dxa"/>
          </w:tcPr>
          <w:p w:rsidR="00092652" w:rsidRDefault="0039522B">
            <w:pPr>
              <w:spacing w:line="540" w:lineRule="exact"/>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2,146</w:t>
            </w:r>
          </w:p>
        </w:tc>
        <w:tc>
          <w:tcPr>
            <w:tcW w:w="1701" w:type="dxa"/>
          </w:tcPr>
          <w:p w:rsidR="00092652" w:rsidRDefault="0039522B">
            <w:pPr>
              <w:spacing w:line="540" w:lineRule="exact"/>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828</w:t>
            </w:r>
          </w:p>
        </w:tc>
        <w:tc>
          <w:tcPr>
            <w:tcW w:w="1843" w:type="dxa"/>
          </w:tcPr>
          <w:p w:rsidR="00092652" w:rsidRDefault="0039522B">
            <w:pPr>
              <w:spacing w:line="540" w:lineRule="exact"/>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0.03</w:t>
            </w:r>
          </w:p>
        </w:tc>
      </w:tr>
    </w:tbl>
    <w:p w:rsidR="00092652" w:rsidRDefault="0039522B">
      <w:pPr>
        <w:spacing w:line="540" w:lineRule="exact"/>
      </w:pPr>
      <w:r>
        <w:rPr>
          <w:rFonts w:ascii="仿宋_GB2312" w:eastAsia="仿宋_GB2312" w:hAnsi="宋体" w:cs="宋体"/>
          <w:color w:val="000000" w:themeColor="text1"/>
          <w:kern w:val="0"/>
          <w:sz w:val="28"/>
          <w:szCs w:val="28"/>
        </w:rPr>
        <w:t xml:space="preserve">  </w:t>
      </w:r>
    </w:p>
    <w:p w:rsidR="00092652" w:rsidRDefault="00092652">
      <w:pPr>
        <w:spacing w:line="520" w:lineRule="exact"/>
        <w:ind w:firstLineChars="200" w:firstLine="600"/>
        <w:rPr>
          <w:rFonts w:ascii="仿宋_GB2312" w:eastAsia="仿宋_GB2312" w:hAnsi="仿宋" w:cs="Courier New"/>
          <w:sz w:val="30"/>
          <w:szCs w:val="30"/>
        </w:rPr>
      </w:pPr>
    </w:p>
    <w:p w:rsidR="00092652" w:rsidRDefault="00092652">
      <w:pPr>
        <w:widowControl/>
        <w:spacing w:line="520" w:lineRule="exact"/>
        <w:jc w:val="left"/>
        <w:rPr>
          <w:rFonts w:eastAsia="仿宋_GB2312"/>
          <w:sz w:val="30"/>
          <w:szCs w:val="30"/>
        </w:rPr>
      </w:pPr>
    </w:p>
    <w:p w:rsidR="00092652" w:rsidRDefault="00092652">
      <w:pPr>
        <w:widowControl/>
        <w:jc w:val="left"/>
      </w:pPr>
    </w:p>
    <w:sectPr w:rsidR="00092652" w:rsidSect="00092652">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BD8" w:rsidRDefault="004F2BD8" w:rsidP="00092652">
      <w:r>
        <w:separator/>
      </w:r>
    </w:p>
  </w:endnote>
  <w:endnote w:type="continuationSeparator" w:id="0">
    <w:p w:rsidR="004F2BD8" w:rsidRDefault="004F2BD8" w:rsidP="0009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rinda">
    <w:panose1 w:val="020B0502040204020203"/>
    <w:charset w:val="01"/>
    <w:family w:val="roman"/>
    <w:notTrueType/>
    <w:pitch w:val="variable"/>
  </w:font>
  <w:font w:name="华文仿宋">
    <w:panose1 w:val="02010600040101010101"/>
    <w:charset w:val="86"/>
    <w:family w:val="auto"/>
    <w:pitch w:val="variable"/>
    <w:sig w:usb0="00000287" w:usb1="080F0000" w:usb2="00000010" w:usb3="00000000" w:csb0="0004009F" w:csb1="00000000"/>
  </w:font>
  <w:font w:name="_GB2312">
    <w:altName w:val="宋体"/>
    <w:panose1 w:val="00000000000000000000"/>
    <w:charset w:val="86"/>
    <w:family w:val="auto"/>
    <w:notTrueType/>
    <w:pitch w:val="default"/>
    <w:sig w:usb0="00000001" w:usb1="080E0000" w:usb2="00000010" w:usb3="00000000" w:csb0="00040000" w:csb1="00000000"/>
  </w:font>
  <w:font w:name="ˎ̥">
    <w:altName w:val="Times New Roman"/>
    <w:charset w:val="00"/>
    <w:family w:val="roman"/>
    <w:pitch w:val="default"/>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BAA" w:rsidRDefault="00115BAA">
    <w:pPr>
      <w:pStyle w:val="af0"/>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rPr>
      <w:t>59</w:t>
    </w:r>
    <w:r>
      <w:rPr>
        <w:rStyle w:val="afb"/>
      </w:rPr>
      <w:fldChar w:fldCharType="end"/>
    </w:r>
  </w:p>
  <w:p w:rsidR="00115BAA" w:rsidRDefault="00115BAA">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BAA" w:rsidRDefault="00115BAA">
    <w:pPr>
      <w:pStyle w:val="af0"/>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511B34">
      <w:rPr>
        <w:rStyle w:val="afb"/>
        <w:noProof/>
      </w:rPr>
      <w:t>2</w:t>
    </w:r>
    <w:r>
      <w:rPr>
        <w:rStyle w:val="afb"/>
      </w:rPr>
      <w:fldChar w:fldCharType="end"/>
    </w:r>
  </w:p>
  <w:p w:rsidR="00115BAA" w:rsidRDefault="00115BAA">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49049"/>
    </w:sdtPr>
    <w:sdtEndPr/>
    <w:sdtContent>
      <w:p w:rsidR="00115BAA" w:rsidRDefault="00115BAA">
        <w:pPr>
          <w:pStyle w:val="af0"/>
          <w:jc w:val="center"/>
        </w:pPr>
        <w:r>
          <w:fldChar w:fldCharType="begin"/>
        </w:r>
        <w:r>
          <w:instrText xml:space="preserve"> PAGE   \* MERGEFORMAT </w:instrText>
        </w:r>
        <w:r>
          <w:fldChar w:fldCharType="separate"/>
        </w:r>
        <w:r w:rsidR="00511B34" w:rsidRPr="00511B34">
          <w:rPr>
            <w:noProof/>
            <w:lang w:val="zh-CN"/>
          </w:rPr>
          <w:t>47</w:t>
        </w:r>
        <w:r>
          <w:rPr>
            <w:lang w:val="zh-CN"/>
          </w:rPr>
          <w:fldChar w:fldCharType="end"/>
        </w:r>
      </w:p>
    </w:sdtContent>
  </w:sdt>
  <w:p w:rsidR="00115BAA" w:rsidRDefault="00115BAA">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BAA" w:rsidRDefault="00115BAA">
    <w:pPr>
      <w:pStyle w:val="af0"/>
      <w:jc w:val="center"/>
    </w:pPr>
    <w:r>
      <w:fldChar w:fldCharType="begin"/>
    </w:r>
    <w:r>
      <w:instrText>PAGE   \* MERGEFORMAT</w:instrText>
    </w:r>
    <w:r>
      <w:fldChar w:fldCharType="separate"/>
    </w:r>
    <w:r w:rsidR="00511B34" w:rsidRPr="00511B34">
      <w:rPr>
        <w:noProof/>
        <w:lang w:val="zh-CN"/>
      </w:rPr>
      <w:t>88</w:t>
    </w:r>
    <w:r>
      <w:rPr>
        <w:lang w:val="zh-CN"/>
      </w:rPr>
      <w:fldChar w:fldCharType="end"/>
    </w:r>
  </w:p>
  <w:p w:rsidR="00115BAA" w:rsidRDefault="00115BAA">
    <w:pPr>
      <w:pStyle w:val="af0"/>
      <w:jc w:val="center"/>
      <w:rPr>
        <w:rFonts w:ascii="Arial" w:eastAsia="微软雅黑" w:hAnsi="Arial" w:cs="Aria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BAA" w:rsidRDefault="00115BAA">
    <w:pPr>
      <w:pStyle w:val="af0"/>
      <w:jc w:val="center"/>
    </w:pPr>
    <w:r>
      <w:fldChar w:fldCharType="begin"/>
    </w:r>
    <w:r>
      <w:instrText>PAGE   \* MERGEFORMAT</w:instrText>
    </w:r>
    <w:r>
      <w:fldChar w:fldCharType="separate"/>
    </w:r>
    <w:r w:rsidR="00511B34" w:rsidRPr="00511B34">
      <w:rPr>
        <w:noProof/>
        <w:lang w:val="zh-CN"/>
      </w:rPr>
      <w:t>87</w:t>
    </w:r>
    <w:r>
      <w:rPr>
        <w:lang w:val="zh-CN"/>
      </w:rPr>
      <w:fldChar w:fldCharType="end"/>
    </w:r>
  </w:p>
  <w:p w:rsidR="00115BAA" w:rsidRDefault="00115BAA">
    <w:pPr>
      <w:pStyle w:val="af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BAA" w:rsidRDefault="00115BAA">
    <w:pPr>
      <w:pStyle w:val="af0"/>
      <w:jc w:val="center"/>
    </w:pPr>
    <w:r>
      <w:fldChar w:fldCharType="begin"/>
    </w:r>
    <w:r>
      <w:instrText>PAGE   \* MERGEFORMAT</w:instrText>
    </w:r>
    <w:r>
      <w:fldChar w:fldCharType="separate"/>
    </w:r>
    <w:r w:rsidR="00511B34" w:rsidRPr="00511B34">
      <w:rPr>
        <w:noProof/>
        <w:lang w:val="zh-CN"/>
      </w:rPr>
      <w:t>93</w:t>
    </w:r>
    <w:r>
      <w:rPr>
        <w:lang w:val="zh-CN"/>
      </w:rPr>
      <w:fldChar w:fldCharType="end"/>
    </w:r>
  </w:p>
  <w:p w:rsidR="00115BAA" w:rsidRDefault="00115BAA">
    <w:pPr>
      <w:pStyle w:val="af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BAA" w:rsidRDefault="00115BAA">
    <w:pPr>
      <w:pStyle w:val="af0"/>
      <w:jc w:val="center"/>
    </w:pPr>
    <w:r>
      <w:fldChar w:fldCharType="begin"/>
    </w:r>
    <w:r>
      <w:instrText>PAGE   \* MERGEFORMAT</w:instrText>
    </w:r>
    <w:r>
      <w:fldChar w:fldCharType="separate"/>
    </w:r>
    <w:r w:rsidR="00511B34" w:rsidRPr="00511B34">
      <w:rPr>
        <w:noProof/>
        <w:lang w:val="zh-CN"/>
      </w:rPr>
      <w:t>142</w:t>
    </w:r>
    <w:r>
      <w:rPr>
        <w:lang w:val="zh-CN"/>
      </w:rPr>
      <w:fldChar w:fldCharType="end"/>
    </w:r>
  </w:p>
  <w:p w:rsidR="00115BAA" w:rsidRDefault="00115BA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BD8" w:rsidRDefault="004F2BD8" w:rsidP="00092652">
      <w:r>
        <w:separator/>
      </w:r>
    </w:p>
  </w:footnote>
  <w:footnote w:type="continuationSeparator" w:id="0">
    <w:p w:rsidR="004F2BD8" w:rsidRDefault="004F2BD8" w:rsidP="00092652">
      <w:r>
        <w:continuationSeparator/>
      </w:r>
    </w:p>
  </w:footnote>
  <w:footnote w:id="1">
    <w:p w:rsidR="00115BAA" w:rsidRDefault="00115BAA">
      <w:pPr>
        <w:pStyle w:val="af4"/>
        <w:rPr>
          <w:sz w:val="24"/>
          <w:szCs w:val="24"/>
        </w:rPr>
      </w:pPr>
      <w:r>
        <w:rPr>
          <w:rStyle w:val="aff0"/>
          <w:sz w:val="24"/>
          <w:szCs w:val="24"/>
        </w:rPr>
        <w:footnoteRef/>
      </w:r>
      <w:r>
        <w:rPr>
          <w:sz w:val="24"/>
          <w:szCs w:val="24"/>
        </w:rPr>
        <w:t xml:space="preserve"> </w:t>
      </w:r>
      <w:r>
        <w:rPr>
          <w:rFonts w:hint="eastAsia"/>
          <w:sz w:val="24"/>
          <w:szCs w:val="24"/>
        </w:rPr>
        <w:t>包括：本行主要股东及其关联企业；本行董监高及其近亲属任职董事、高级管理人员的企业；本行董监高及其近亲属员控制、共同控制或施加重大影响的企业</w:t>
      </w:r>
    </w:p>
  </w:footnote>
  <w:footnote w:id="2">
    <w:p w:rsidR="00115BAA" w:rsidRDefault="00115BAA">
      <w:pPr>
        <w:pStyle w:val="af4"/>
        <w:rPr>
          <w:sz w:val="24"/>
          <w:szCs w:val="24"/>
        </w:rPr>
      </w:pPr>
      <w:r>
        <w:rPr>
          <w:rStyle w:val="aff0"/>
          <w:sz w:val="24"/>
          <w:szCs w:val="24"/>
        </w:rPr>
        <w:footnoteRef/>
      </w:r>
      <w:r>
        <w:rPr>
          <w:rFonts w:hint="eastAsia"/>
          <w:sz w:val="24"/>
          <w:szCs w:val="24"/>
        </w:rPr>
        <w:t>包括：本行主要股东及其关联企业；本行董监高及其近亲属任职董事、高级管理人员的企业；本行董监高及其近亲属员控制、共同控制或施加重大影响的企业。</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BAA" w:rsidRDefault="00115BAA">
    <w:pPr>
      <w:pStyle w:val="af1"/>
      <w:pBdr>
        <w:bottom w:val="none" w:sz="0" w:space="0" w:color="auto"/>
      </w:pBdr>
      <w:tabs>
        <w:tab w:val="left" w:pos="7350"/>
      </w:tabs>
      <w:ind w:right="360"/>
      <w:jc w:val="left"/>
      <w:rPr>
        <w:rFonts w:ascii="宋体" w:hAnsi="宋体"/>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2347C"/>
    <w:multiLevelType w:val="multilevel"/>
    <w:tmpl w:val="17B2347C"/>
    <w:lvl w:ilvl="0">
      <w:start w:val="1"/>
      <w:numFmt w:val="chineseCountingThousand"/>
      <w:pStyle w:val="a"/>
      <w:lvlText w:val="第%1条"/>
      <w:lvlJc w:val="left"/>
      <w:pPr>
        <w:ind w:left="1678" w:hanging="1110"/>
      </w:pPr>
      <w:rPr>
        <w:rFonts w:hint="default"/>
        <w:b w:val="0"/>
        <w:lang w:val="en-US"/>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1">
    <w:nsid w:val="571EDAC6"/>
    <w:multiLevelType w:val="singleLevel"/>
    <w:tmpl w:val="571EDAC6"/>
    <w:lvl w:ilvl="0">
      <w:start w:val="1"/>
      <w:numFmt w:val="chineseCounting"/>
      <w:pStyle w:val="Style8"/>
      <w:suff w:val="nothing"/>
      <w:lvlText w:val="（%1）"/>
      <w:lvlJc w:val="left"/>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tlh">
    <w15:presenceInfo w15:providerId="None" w15:userId="htl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DF8"/>
    <w:rsid w:val="000001EE"/>
    <w:rsid w:val="00003435"/>
    <w:rsid w:val="00004E95"/>
    <w:rsid w:val="00006E86"/>
    <w:rsid w:val="00014B03"/>
    <w:rsid w:val="0001562F"/>
    <w:rsid w:val="000223DD"/>
    <w:rsid w:val="00031538"/>
    <w:rsid w:val="00036571"/>
    <w:rsid w:val="00042D6A"/>
    <w:rsid w:val="000466F2"/>
    <w:rsid w:val="00054723"/>
    <w:rsid w:val="00054768"/>
    <w:rsid w:val="00055055"/>
    <w:rsid w:val="000556E8"/>
    <w:rsid w:val="000557FF"/>
    <w:rsid w:val="000706D3"/>
    <w:rsid w:val="0007381C"/>
    <w:rsid w:val="000867EE"/>
    <w:rsid w:val="00086900"/>
    <w:rsid w:val="0008720D"/>
    <w:rsid w:val="00092652"/>
    <w:rsid w:val="00095E81"/>
    <w:rsid w:val="000A2513"/>
    <w:rsid w:val="000A4A08"/>
    <w:rsid w:val="000B3FFA"/>
    <w:rsid w:val="000C0D91"/>
    <w:rsid w:val="000C31FF"/>
    <w:rsid w:val="000D23CC"/>
    <w:rsid w:val="000D25C6"/>
    <w:rsid w:val="000D59BD"/>
    <w:rsid w:val="000D711F"/>
    <w:rsid w:val="000E1778"/>
    <w:rsid w:val="000F3519"/>
    <w:rsid w:val="000F46BF"/>
    <w:rsid w:val="00114AD2"/>
    <w:rsid w:val="00115BAA"/>
    <w:rsid w:val="00115C8D"/>
    <w:rsid w:val="00121729"/>
    <w:rsid w:val="00126A53"/>
    <w:rsid w:val="00144CF0"/>
    <w:rsid w:val="001479F5"/>
    <w:rsid w:val="00151056"/>
    <w:rsid w:val="001567F0"/>
    <w:rsid w:val="00167F66"/>
    <w:rsid w:val="00175E9A"/>
    <w:rsid w:val="00191454"/>
    <w:rsid w:val="00191A6D"/>
    <w:rsid w:val="001A2063"/>
    <w:rsid w:val="001A3377"/>
    <w:rsid w:val="001A3E6E"/>
    <w:rsid w:val="001B5F40"/>
    <w:rsid w:val="001B6300"/>
    <w:rsid w:val="001C2235"/>
    <w:rsid w:val="001D03A4"/>
    <w:rsid w:val="001D17E6"/>
    <w:rsid w:val="001D797E"/>
    <w:rsid w:val="001F48FB"/>
    <w:rsid w:val="002005C3"/>
    <w:rsid w:val="00201214"/>
    <w:rsid w:val="002027B9"/>
    <w:rsid w:val="00204793"/>
    <w:rsid w:val="00204E43"/>
    <w:rsid w:val="00205CD7"/>
    <w:rsid w:val="00212839"/>
    <w:rsid w:val="00212CBF"/>
    <w:rsid w:val="00214574"/>
    <w:rsid w:val="00227365"/>
    <w:rsid w:val="0023312E"/>
    <w:rsid w:val="00233131"/>
    <w:rsid w:val="00235956"/>
    <w:rsid w:val="0024606F"/>
    <w:rsid w:val="00252BF0"/>
    <w:rsid w:val="00253BC7"/>
    <w:rsid w:val="00254E87"/>
    <w:rsid w:val="00260B8A"/>
    <w:rsid w:val="00266C86"/>
    <w:rsid w:val="002718D1"/>
    <w:rsid w:val="002724E3"/>
    <w:rsid w:val="00273BBC"/>
    <w:rsid w:val="00282FE7"/>
    <w:rsid w:val="002830AC"/>
    <w:rsid w:val="002852CD"/>
    <w:rsid w:val="002868A5"/>
    <w:rsid w:val="00287626"/>
    <w:rsid w:val="00291F45"/>
    <w:rsid w:val="00294688"/>
    <w:rsid w:val="002A3408"/>
    <w:rsid w:val="002A3B22"/>
    <w:rsid w:val="002B42D9"/>
    <w:rsid w:val="002B450B"/>
    <w:rsid w:val="002C748F"/>
    <w:rsid w:val="002D06D4"/>
    <w:rsid w:val="002D1C6A"/>
    <w:rsid w:val="002F47E8"/>
    <w:rsid w:val="003026B3"/>
    <w:rsid w:val="00306165"/>
    <w:rsid w:val="0030655F"/>
    <w:rsid w:val="0031126D"/>
    <w:rsid w:val="00315836"/>
    <w:rsid w:val="00321020"/>
    <w:rsid w:val="003224FA"/>
    <w:rsid w:val="00327057"/>
    <w:rsid w:val="00327471"/>
    <w:rsid w:val="00327653"/>
    <w:rsid w:val="00337804"/>
    <w:rsid w:val="00340306"/>
    <w:rsid w:val="003404DC"/>
    <w:rsid w:val="00344188"/>
    <w:rsid w:val="003457E2"/>
    <w:rsid w:val="00346447"/>
    <w:rsid w:val="00351873"/>
    <w:rsid w:val="00352C39"/>
    <w:rsid w:val="0035475A"/>
    <w:rsid w:val="00356D02"/>
    <w:rsid w:val="00357046"/>
    <w:rsid w:val="0036064A"/>
    <w:rsid w:val="00365039"/>
    <w:rsid w:val="003657FE"/>
    <w:rsid w:val="003863DD"/>
    <w:rsid w:val="00386E2B"/>
    <w:rsid w:val="003922F4"/>
    <w:rsid w:val="00392FCD"/>
    <w:rsid w:val="0039522B"/>
    <w:rsid w:val="003A0176"/>
    <w:rsid w:val="003A38C7"/>
    <w:rsid w:val="003B0EDE"/>
    <w:rsid w:val="003B3752"/>
    <w:rsid w:val="003B4E96"/>
    <w:rsid w:val="003C106D"/>
    <w:rsid w:val="003C18D1"/>
    <w:rsid w:val="003C2C68"/>
    <w:rsid w:val="003C7E93"/>
    <w:rsid w:val="003D18AD"/>
    <w:rsid w:val="003D3144"/>
    <w:rsid w:val="003D764D"/>
    <w:rsid w:val="003F322E"/>
    <w:rsid w:val="003F32B7"/>
    <w:rsid w:val="00402663"/>
    <w:rsid w:val="004029F4"/>
    <w:rsid w:val="00405F3D"/>
    <w:rsid w:val="00406B4A"/>
    <w:rsid w:val="00410E7E"/>
    <w:rsid w:val="00412656"/>
    <w:rsid w:val="00415D46"/>
    <w:rsid w:val="0042019B"/>
    <w:rsid w:val="00422D56"/>
    <w:rsid w:val="004320A3"/>
    <w:rsid w:val="00433E3F"/>
    <w:rsid w:val="00434DAC"/>
    <w:rsid w:val="004376FB"/>
    <w:rsid w:val="00442CAC"/>
    <w:rsid w:val="0044690C"/>
    <w:rsid w:val="00447634"/>
    <w:rsid w:val="004512B8"/>
    <w:rsid w:val="00451513"/>
    <w:rsid w:val="004547FA"/>
    <w:rsid w:val="004620FB"/>
    <w:rsid w:val="00470FC8"/>
    <w:rsid w:val="00475006"/>
    <w:rsid w:val="00481C98"/>
    <w:rsid w:val="00483D11"/>
    <w:rsid w:val="0048494B"/>
    <w:rsid w:val="00492AEB"/>
    <w:rsid w:val="0049323B"/>
    <w:rsid w:val="0049610A"/>
    <w:rsid w:val="004A0A9C"/>
    <w:rsid w:val="004A213B"/>
    <w:rsid w:val="004A2F90"/>
    <w:rsid w:val="004A3214"/>
    <w:rsid w:val="004C35ED"/>
    <w:rsid w:val="004D6D4E"/>
    <w:rsid w:val="004F0909"/>
    <w:rsid w:val="004F1800"/>
    <w:rsid w:val="004F28F6"/>
    <w:rsid w:val="004F2BD8"/>
    <w:rsid w:val="00500739"/>
    <w:rsid w:val="00503C17"/>
    <w:rsid w:val="00511B34"/>
    <w:rsid w:val="00520221"/>
    <w:rsid w:val="00522105"/>
    <w:rsid w:val="00522A7C"/>
    <w:rsid w:val="00523994"/>
    <w:rsid w:val="00530D68"/>
    <w:rsid w:val="0053799E"/>
    <w:rsid w:val="00543A06"/>
    <w:rsid w:val="00543F0E"/>
    <w:rsid w:val="00544FBC"/>
    <w:rsid w:val="005454C7"/>
    <w:rsid w:val="005502FB"/>
    <w:rsid w:val="005504AE"/>
    <w:rsid w:val="00550FB6"/>
    <w:rsid w:val="005520E9"/>
    <w:rsid w:val="005528B7"/>
    <w:rsid w:val="00561C70"/>
    <w:rsid w:val="0056487A"/>
    <w:rsid w:val="00565512"/>
    <w:rsid w:val="00565D24"/>
    <w:rsid w:val="00581ADA"/>
    <w:rsid w:val="00591C74"/>
    <w:rsid w:val="00592C8E"/>
    <w:rsid w:val="005965F9"/>
    <w:rsid w:val="005A374F"/>
    <w:rsid w:val="005A4ADF"/>
    <w:rsid w:val="005B1BC7"/>
    <w:rsid w:val="005B224A"/>
    <w:rsid w:val="005C67BE"/>
    <w:rsid w:val="005C72AF"/>
    <w:rsid w:val="005D0694"/>
    <w:rsid w:val="005D09FE"/>
    <w:rsid w:val="005D2E76"/>
    <w:rsid w:val="005D567A"/>
    <w:rsid w:val="005D58E1"/>
    <w:rsid w:val="005D600E"/>
    <w:rsid w:val="005D7B2F"/>
    <w:rsid w:val="005E16E3"/>
    <w:rsid w:val="005E21DB"/>
    <w:rsid w:val="005E6C5F"/>
    <w:rsid w:val="005F4790"/>
    <w:rsid w:val="005F6E52"/>
    <w:rsid w:val="006007A9"/>
    <w:rsid w:val="00602830"/>
    <w:rsid w:val="00605ECA"/>
    <w:rsid w:val="00606BFB"/>
    <w:rsid w:val="006076FE"/>
    <w:rsid w:val="00611A44"/>
    <w:rsid w:val="00615AD2"/>
    <w:rsid w:val="00621BB5"/>
    <w:rsid w:val="00626EC6"/>
    <w:rsid w:val="00627E0C"/>
    <w:rsid w:val="00633DA4"/>
    <w:rsid w:val="00641637"/>
    <w:rsid w:val="00663178"/>
    <w:rsid w:val="00677B5E"/>
    <w:rsid w:val="00684938"/>
    <w:rsid w:val="0068524F"/>
    <w:rsid w:val="00685A87"/>
    <w:rsid w:val="00686F4D"/>
    <w:rsid w:val="0069000F"/>
    <w:rsid w:val="006A44D7"/>
    <w:rsid w:val="006A53A2"/>
    <w:rsid w:val="006A5DF8"/>
    <w:rsid w:val="006A6041"/>
    <w:rsid w:val="006B1A7D"/>
    <w:rsid w:val="006B3988"/>
    <w:rsid w:val="006B4BD9"/>
    <w:rsid w:val="006C0401"/>
    <w:rsid w:val="006D2D40"/>
    <w:rsid w:val="006D4A7C"/>
    <w:rsid w:val="006D68D7"/>
    <w:rsid w:val="006D6B88"/>
    <w:rsid w:val="006F0BE3"/>
    <w:rsid w:val="006F737F"/>
    <w:rsid w:val="00702506"/>
    <w:rsid w:val="00712AAF"/>
    <w:rsid w:val="00717D76"/>
    <w:rsid w:val="00724107"/>
    <w:rsid w:val="0073184D"/>
    <w:rsid w:val="00733873"/>
    <w:rsid w:val="0073396F"/>
    <w:rsid w:val="0074339F"/>
    <w:rsid w:val="00744451"/>
    <w:rsid w:val="00754B0A"/>
    <w:rsid w:val="007579E9"/>
    <w:rsid w:val="00766D93"/>
    <w:rsid w:val="0077227E"/>
    <w:rsid w:val="00775C7C"/>
    <w:rsid w:val="00780262"/>
    <w:rsid w:val="00780733"/>
    <w:rsid w:val="00780EF2"/>
    <w:rsid w:val="00781D07"/>
    <w:rsid w:val="00782C01"/>
    <w:rsid w:val="00790030"/>
    <w:rsid w:val="007A2D69"/>
    <w:rsid w:val="007C33DE"/>
    <w:rsid w:val="007E13BE"/>
    <w:rsid w:val="007E6339"/>
    <w:rsid w:val="007F2985"/>
    <w:rsid w:val="007F686D"/>
    <w:rsid w:val="007F706B"/>
    <w:rsid w:val="00802799"/>
    <w:rsid w:val="00807673"/>
    <w:rsid w:val="00810F7F"/>
    <w:rsid w:val="008164B0"/>
    <w:rsid w:val="008220C7"/>
    <w:rsid w:val="00834FD6"/>
    <w:rsid w:val="00840158"/>
    <w:rsid w:val="00843D8F"/>
    <w:rsid w:val="00844569"/>
    <w:rsid w:val="00845A1B"/>
    <w:rsid w:val="008540B3"/>
    <w:rsid w:val="0087251E"/>
    <w:rsid w:val="00872FF3"/>
    <w:rsid w:val="008734A9"/>
    <w:rsid w:val="00881829"/>
    <w:rsid w:val="00881BB7"/>
    <w:rsid w:val="00882692"/>
    <w:rsid w:val="0088744F"/>
    <w:rsid w:val="00896A03"/>
    <w:rsid w:val="00897BCD"/>
    <w:rsid w:val="008A0EAC"/>
    <w:rsid w:val="008A0F6E"/>
    <w:rsid w:val="008A3781"/>
    <w:rsid w:val="008A63AE"/>
    <w:rsid w:val="008B081D"/>
    <w:rsid w:val="008C03FF"/>
    <w:rsid w:val="008C0754"/>
    <w:rsid w:val="008C09DB"/>
    <w:rsid w:val="008C186B"/>
    <w:rsid w:val="008C712B"/>
    <w:rsid w:val="008D4879"/>
    <w:rsid w:val="008E2CBF"/>
    <w:rsid w:val="008E4F86"/>
    <w:rsid w:val="008F3EAB"/>
    <w:rsid w:val="008F6910"/>
    <w:rsid w:val="00901343"/>
    <w:rsid w:val="00903956"/>
    <w:rsid w:val="009057AB"/>
    <w:rsid w:val="00907A3E"/>
    <w:rsid w:val="009156DE"/>
    <w:rsid w:val="0091788F"/>
    <w:rsid w:val="0092016A"/>
    <w:rsid w:val="00920C2C"/>
    <w:rsid w:val="0092445F"/>
    <w:rsid w:val="00934960"/>
    <w:rsid w:val="00935B75"/>
    <w:rsid w:val="00944640"/>
    <w:rsid w:val="00945666"/>
    <w:rsid w:val="00945CED"/>
    <w:rsid w:val="00946422"/>
    <w:rsid w:val="00950261"/>
    <w:rsid w:val="0095218A"/>
    <w:rsid w:val="00956D5D"/>
    <w:rsid w:val="00964BA1"/>
    <w:rsid w:val="00970A38"/>
    <w:rsid w:val="00975394"/>
    <w:rsid w:val="00984478"/>
    <w:rsid w:val="009A3835"/>
    <w:rsid w:val="009C2706"/>
    <w:rsid w:val="009D409E"/>
    <w:rsid w:val="009D56D5"/>
    <w:rsid w:val="009D5EA9"/>
    <w:rsid w:val="00A004E4"/>
    <w:rsid w:val="00A02E45"/>
    <w:rsid w:val="00A0525B"/>
    <w:rsid w:val="00A109BE"/>
    <w:rsid w:val="00A230DC"/>
    <w:rsid w:val="00A259A9"/>
    <w:rsid w:val="00A30B82"/>
    <w:rsid w:val="00A358DB"/>
    <w:rsid w:val="00A43838"/>
    <w:rsid w:val="00A51861"/>
    <w:rsid w:val="00A51AC3"/>
    <w:rsid w:val="00A55428"/>
    <w:rsid w:val="00A61529"/>
    <w:rsid w:val="00A61FD8"/>
    <w:rsid w:val="00A6663E"/>
    <w:rsid w:val="00A6769C"/>
    <w:rsid w:val="00A73159"/>
    <w:rsid w:val="00A74365"/>
    <w:rsid w:val="00A8005E"/>
    <w:rsid w:val="00A82B11"/>
    <w:rsid w:val="00A82DD7"/>
    <w:rsid w:val="00A873DB"/>
    <w:rsid w:val="00A919EA"/>
    <w:rsid w:val="00A91EC3"/>
    <w:rsid w:val="00A941AF"/>
    <w:rsid w:val="00A946AF"/>
    <w:rsid w:val="00A96142"/>
    <w:rsid w:val="00AA22F9"/>
    <w:rsid w:val="00AA61FF"/>
    <w:rsid w:val="00AB16F5"/>
    <w:rsid w:val="00AB574B"/>
    <w:rsid w:val="00AC6759"/>
    <w:rsid w:val="00AD33FC"/>
    <w:rsid w:val="00AD51D9"/>
    <w:rsid w:val="00AD6C3A"/>
    <w:rsid w:val="00AE6DF8"/>
    <w:rsid w:val="00AF25A4"/>
    <w:rsid w:val="00AF2794"/>
    <w:rsid w:val="00AF2AF9"/>
    <w:rsid w:val="00AF72A7"/>
    <w:rsid w:val="00B02240"/>
    <w:rsid w:val="00B029F1"/>
    <w:rsid w:val="00B07ECF"/>
    <w:rsid w:val="00B160F9"/>
    <w:rsid w:val="00B169A8"/>
    <w:rsid w:val="00B21640"/>
    <w:rsid w:val="00B21A1E"/>
    <w:rsid w:val="00B21D55"/>
    <w:rsid w:val="00B253B0"/>
    <w:rsid w:val="00B32CA3"/>
    <w:rsid w:val="00B3509A"/>
    <w:rsid w:val="00B35395"/>
    <w:rsid w:val="00B356CB"/>
    <w:rsid w:val="00B370F7"/>
    <w:rsid w:val="00B42395"/>
    <w:rsid w:val="00B44A71"/>
    <w:rsid w:val="00B45494"/>
    <w:rsid w:val="00B5062C"/>
    <w:rsid w:val="00B50A4E"/>
    <w:rsid w:val="00B549B9"/>
    <w:rsid w:val="00B60653"/>
    <w:rsid w:val="00B61900"/>
    <w:rsid w:val="00B6222C"/>
    <w:rsid w:val="00B67DA0"/>
    <w:rsid w:val="00B72540"/>
    <w:rsid w:val="00B76371"/>
    <w:rsid w:val="00B81742"/>
    <w:rsid w:val="00B85517"/>
    <w:rsid w:val="00B86C7C"/>
    <w:rsid w:val="00B90138"/>
    <w:rsid w:val="00B959C7"/>
    <w:rsid w:val="00BA0607"/>
    <w:rsid w:val="00BA6272"/>
    <w:rsid w:val="00BA7399"/>
    <w:rsid w:val="00BB2001"/>
    <w:rsid w:val="00BB3940"/>
    <w:rsid w:val="00BB66D4"/>
    <w:rsid w:val="00BB6B9B"/>
    <w:rsid w:val="00BC27B6"/>
    <w:rsid w:val="00BC4E8F"/>
    <w:rsid w:val="00BD54B0"/>
    <w:rsid w:val="00BD573C"/>
    <w:rsid w:val="00BD70B4"/>
    <w:rsid w:val="00BE6B8A"/>
    <w:rsid w:val="00BE7874"/>
    <w:rsid w:val="00BF02CC"/>
    <w:rsid w:val="00BF2658"/>
    <w:rsid w:val="00C02739"/>
    <w:rsid w:val="00C14B89"/>
    <w:rsid w:val="00C16F7D"/>
    <w:rsid w:val="00C17A76"/>
    <w:rsid w:val="00C2174C"/>
    <w:rsid w:val="00C258B6"/>
    <w:rsid w:val="00C2709B"/>
    <w:rsid w:val="00C3409A"/>
    <w:rsid w:val="00C36925"/>
    <w:rsid w:val="00C4392E"/>
    <w:rsid w:val="00C43B30"/>
    <w:rsid w:val="00C46218"/>
    <w:rsid w:val="00C464C8"/>
    <w:rsid w:val="00C501A9"/>
    <w:rsid w:val="00C5504C"/>
    <w:rsid w:val="00C675E8"/>
    <w:rsid w:val="00C75D44"/>
    <w:rsid w:val="00C76484"/>
    <w:rsid w:val="00C7684F"/>
    <w:rsid w:val="00C801B6"/>
    <w:rsid w:val="00C8586D"/>
    <w:rsid w:val="00C96FED"/>
    <w:rsid w:val="00C9762B"/>
    <w:rsid w:val="00CA50D0"/>
    <w:rsid w:val="00CB4132"/>
    <w:rsid w:val="00CC43FE"/>
    <w:rsid w:val="00CD46B9"/>
    <w:rsid w:val="00CE3315"/>
    <w:rsid w:val="00CE482B"/>
    <w:rsid w:val="00CE5A84"/>
    <w:rsid w:val="00CF2EC6"/>
    <w:rsid w:val="00CF355F"/>
    <w:rsid w:val="00CF3D0A"/>
    <w:rsid w:val="00CF46B3"/>
    <w:rsid w:val="00CF7966"/>
    <w:rsid w:val="00D0123D"/>
    <w:rsid w:val="00D01F89"/>
    <w:rsid w:val="00D0285A"/>
    <w:rsid w:val="00D043EA"/>
    <w:rsid w:val="00D12E24"/>
    <w:rsid w:val="00D1414D"/>
    <w:rsid w:val="00D16F8A"/>
    <w:rsid w:val="00D22C4F"/>
    <w:rsid w:val="00D230D2"/>
    <w:rsid w:val="00D24483"/>
    <w:rsid w:val="00D24987"/>
    <w:rsid w:val="00D31B62"/>
    <w:rsid w:val="00D31E4D"/>
    <w:rsid w:val="00D31F21"/>
    <w:rsid w:val="00D347CA"/>
    <w:rsid w:val="00D353E6"/>
    <w:rsid w:val="00D3632F"/>
    <w:rsid w:val="00D47BEA"/>
    <w:rsid w:val="00D522EE"/>
    <w:rsid w:val="00D52E18"/>
    <w:rsid w:val="00D5492D"/>
    <w:rsid w:val="00D57CC0"/>
    <w:rsid w:val="00D64498"/>
    <w:rsid w:val="00D67190"/>
    <w:rsid w:val="00D70197"/>
    <w:rsid w:val="00D7132A"/>
    <w:rsid w:val="00D722E4"/>
    <w:rsid w:val="00D7349A"/>
    <w:rsid w:val="00D77567"/>
    <w:rsid w:val="00D855ED"/>
    <w:rsid w:val="00D8672A"/>
    <w:rsid w:val="00D95BBE"/>
    <w:rsid w:val="00D95D18"/>
    <w:rsid w:val="00D96238"/>
    <w:rsid w:val="00DA2103"/>
    <w:rsid w:val="00DA3508"/>
    <w:rsid w:val="00DA47F4"/>
    <w:rsid w:val="00DA658F"/>
    <w:rsid w:val="00DB1A45"/>
    <w:rsid w:val="00DC4F79"/>
    <w:rsid w:val="00DD7812"/>
    <w:rsid w:val="00DD7B80"/>
    <w:rsid w:val="00DE242B"/>
    <w:rsid w:val="00DE32DE"/>
    <w:rsid w:val="00DF17EE"/>
    <w:rsid w:val="00DF2B4F"/>
    <w:rsid w:val="00DF7130"/>
    <w:rsid w:val="00E06EBA"/>
    <w:rsid w:val="00E1367E"/>
    <w:rsid w:val="00E14BBE"/>
    <w:rsid w:val="00E26B49"/>
    <w:rsid w:val="00E332EE"/>
    <w:rsid w:val="00E34773"/>
    <w:rsid w:val="00E63E09"/>
    <w:rsid w:val="00E65C84"/>
    <w:rsid w:val="00E77649"/>
    <w:rsid w:val="00E86C98"/>
    <w:rsid w:val="00E90774"/>
    <w:rsid w:val="00E91AA5"/>
    <w:rsid w:val="00E97A8F"/>
    <w:rsid w:val="00EA20D8"/>
    <w:rsid w:val="00EA2EA1"/>
    <w:rsid w:val="00EA4D04"/>
    <w:rsid w:val="00EA6A72"/>
    <w:rsid w:val="00EB0ECE"/>
    <w:rsid w:val="00EB1F6B"/>
    <w:rsid w:val="00EB22ED"/>
    <w:rsid w:val="00EC2922"/>
    <w:rsid w:val="00EC47C3"/>
    <w:rsid w:val="00ED0D6E"/>
    <w:rsid w:val="00ED1EC7"/>
    <w:rsid w:val="00ED1ED7"/>
    <w:rsid w:val="00EF65F1"/>
    <w:rsid w:val="00EF6758"/>
    <w:rsid w:val="00F077FC"/>
    <w:rsid w:val="00F12F18"/>
    <w:rsid w:val="00F153A6"/>
    <w:rsid w:val="00F22543"/>
    <w:rsid w:val="00F23297"/>
    <w:rsid w:val="00F25ACF"/>
    <w:rsid w:val="00F314E8"/>
    <w:rsid w:val="00F368D6"/>
    <w:rsid w:val="00F40085"/>
    <w:rsid w:val="00F5265D"/>
    <w:rsid w:val="00F53F35"/>
    <w:rsid w:val="00F558E5"/>
    <w:rsid w:val="00F5768C"/>
    <w:rsid w:val="00F60179"/>
    <w:rsid w:val="00F60324"/>
    <w:rsid w:val="00F616B3"/>
    <w:rsid w:val="00F63423"/>
    <w:rsid w:val="00F66D26"/>
    <w:rsid w:val="00F809FF"/>
    <w:rsid w:val="00F87989"/>
    <w:rsid w:val="00F914B4"/>
    <w:rsid w:val="00FA47B3"/>
    <w:rsid w:val="00FA4E5E"/>
    <w:rsid w:val="00FA7316"/>
    <w:rsid w:val="00FB3476"/>
    <w:rsid w:val="00FC1F8E"/>
    <w:rsid w:val="00FC4A61"/>
    <w:rsid w:val="00FD2F9F"/>
    <w:rsid w:val="00FE0C8D"/>
    <w:rsid w:val="00FE1B0A"/>
    <w:rsid w:val="00FE27E0"/>
    <w:rsid w:val="00FE6D94"/>
    <w:rsid w:val="00FE7515"/>
    <w:rsid w:val="00FE783F"/>
    <w:rsid w:val="00FF0D86"/>
    <w:rsid w:val="00FF2C7B"/>
    <w:rsid w:val="00FF5368"/>
    <w:rsid w:val="0A4544D9"/>
    <w:rsid w:val="11DB27EC"/>
    <w:rsid w:val="1CCF353C"/>
    <w:rsid w:val="24533EA6"/>
    <w:rsid w:val="5091575F"/>
    <w:rsid w:val="731E3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semiHidden="0" w:uiPriority="9" w:qFormat="1"/>
    <w:lsdException w:name="heading 5" w:semiHidden="0" w:uiPriority="9" w:unhideWhenUsed="0" w:qFormat="1"/>
    <w:lsdException w:name="heading 6" w:semiHidden="0"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qFormat="1"/>
    <w:lsdException w:name="toc 2" w:uiPriority="39" w:qFormat="1"/>
    <w:lsdException w:name="toc 3" w:uiPriority="39" w:qFormat="1"/>
    <w:lsdException w:name="toc 4" w:uiPriority="99" w:qFormat="1"/>
    <w:lsdException w:name="toc 5" w:uiPriority="99" w:qFormat="1"/>
    <w:lsdException w:name="toc 6" w:uiPriority="99" w:qFormat="1"/>
    <w:lsdException w:name="toc 7" w:uiPriority="99"/>
    <w:lsdException w:name="toc 8" w:uiPriority="99" w:qFormat="1"/>
    <w:lsdException w:name="toc 9" w:uiPriority="99" w:qFormat="1"/>
    <w:lsdException w:name="Normal Indent" w:unhideWhenUsed="0" w:qFormat="1"/>
    <w:lsdException w:name="footnote text" w:uiPriority="99" w:qFormat="1"/>
    <w:lsdException w:name="annotation text" w:uiPriority="99"/>
    <w:lsdException w:name="header" w:qFormat="1"/>
    <w:lsdException w:name="footer" w:uiPriority="99" w:qFormat="1"/>
    <w:lsdException w:name="caption" w:uiPriority="35" w:unhideWhenUsed="0" w:qFormat="1"/>
    <w:lsdException w:name="footnote reference" w:uiPriority="99" w:unhideWhenUsed="0" w:qFormat="1"/>
    <w:lsdException w:name="annotation reference" w:uiPriority="99" w:qFormat="1"/>
    <w:lsdException w:name="page number" w:unhideWhenUsed="0" w:qFormat="1"/>
    <w:lsdException w:name="endnote reference" w:uiPriority="99"/>
    <w:lsdException w:name="endnote text" w:uiPriority="99" w:qFormat="1"/>
    <w:lsdException w:name="List" w:uiPriority="99"/>
    <w:lsdException w:name="List 2" w:qFormat="1"/>
    <w:lsdException w:name="List 3"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iPriority="99" w:unhideWhenUsed="0" w:qFormat="1"/>
    <w:lsdException w:name="Date" w:semiHidden="0"/>
    <w:lsdException w:name="Note Heading" w:uiPriority="99" w:unhideWhenUsed="0"/>
    <w:lsdException w:name="Body Text 2" w:unhideWhenUsed="0"/>
    <w:lsdException w:name="Body Text Indent 2" w:qFormat="1"/>
    <w:lsdException w:name="Body Text Indent 3" w:qFormat="1"/>
    <w:lsdException w:name="Hyperlink" w:uiPriority="99" w:qFormat="1"/>
    <w:lsdException w:name="FollowedHyperlink" w:uiPriority="99"/>
    <w:lsdException w:name="Strong" w:semiHidden="0" w:unhideWhenUsed="0" w:qFormat="1"/>
    <w:lsdException w:name="Emphasis" w:semiHidden="0" w:uiPriority="20" w:unhideWhenUsed="0" w:qFormat="1"/>
    <w:lsdException w:name="Plain Text" w:qFormat="1"/>
    <w:lsdException w:name="HTML Top of Form" w:uiPriority="99"/>
    <w:lsdException w:name="HTML Bottom of Form" w:uiPriority="99"/>
    <w:lsdException w:name="Normal (Web)" w:uiPriority="99" w:qFormat="1"/>
    <w:lsdException w:name="HTML Preformatted" w:uiPriority="99"/>
    <w:lsdException w:name="Normal Table" w:uiPriority="99" w:qFormat="1"/>
    <w:lsdException w:name="annotation subject" w:uiPriority="99"/>
    <w:lsdException w:name="No List" w:uiPriority="99"/>
    <w:lsdException w:name="Outline List 1" w:uiPriority="99"/>
    <w:lsdException w:name="Outline List 2" w:uiPriority="99"/>
    <w:lsdException w:name="Outline List 3" w:uiPriority="99"/>
    <w:lsdException w:name="Table Simple 3" w:uiPriority="99"/>
    <w:lsdException w:name="Balloon Text" w:uiPriority="99" w:qFormat="1"/>
    <w:lsdException w:name="Table Grid" w:semiHidden="0" w:uiPriority="59" w:unhideWhenUsed="0" w:qFormat="1"/>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2652"/>
    <w:pPr>
      <w:widowControl w:val="0"/>
      <w:jc w:val="both"/>
    </w:pPr>
    <w:rPr>
      <w:kern w:val="2"/>
      <w:sz w:val="21"/>
    </w:rPr>
  </w:style>
  <w:style w:type="paragraph" w:styleId="1">
    <w:name w:val="heading 1"/>
    <w:basedOn w:val="a0"/>
    <w:next w:val="a0"/>
    <w:link w:val="1Char"/>
    <w:qFormat/>
    <w:rsid w:val="00092652"/>
    <w:pPr>
      <w:keepNext/>
      <w:keepLines/>
      <w:tabs>
        <w:tab w:val="left" w:pos="432"/>
      </w:tabs>
      <w:spacing w:before="120" w:after="120" w:line="360" w:lineRule="auto"/>
      <w:ind w:left="432" w:hanging="432"/>
      <w:jc w:val="center"/>
      <w:outlineLvl w:val="0"/>
    </w:pPr>
    <w:rPr>
      <w:rFonts w:ascii="黑体" w:eastAsia="黑体"/>
      <w:kern w:val="44"/>
      <w:sz w:val="32"/>
    </w:rPr>
  </w:style>
  <w:style w:type="paragraph" w:styleId="2">
    <w:name w:val="heading 2"/>
    <w:basedOn w:val="a0"/>
    <w:next w:val="a0"/>
    <w:link w:val="2Char"/>
    <w:unhideWhenUsed/>
    <w:qFormat/>
    <w:rsid w:val="00092652"/>
    <w:pPr>
      <w:keepNext/>
      <w:keepLines/>
      <w:spacing w:before="260" w:after="260" w:line="416" w:lineRule="auto"/>
      <w:outlineLvl w:val="1"/>
    </w:pPr>
    <w:rPr>
      <w:rFonts w:ascii="Cambria" w:hAnsi="Cambria" w:cs="黑体"/>
      <w:b/>
      <w:bCs/>
      <w:sz w:val="32"/>
      <w:szCs w:val="32"/>
    </w:rPr>
  </w:style>
  <w:style w:type="paragraph" w:styleId="3">
    <w:name w:val="heading 3"/>
    <w:basedOn w:val="a0"/>
    <w:next w:val="a0"/>
    <w:link w:val="3Char"/>
    <w:unhideWhenUsed/>
    <w:qFormat/>
    <w:rsid w:val="00092652"/>
    <w:pPr>
      <w:keepNext/>
      <w:keepLines/>
      <w:spacing w:before="260" w:after="260" w:line="416" w:lineRule="auto"/>
      <w:outlineLvl w:val="2"/>
    </w:pPr>
    <w:rPr>
      <w:b/>
      <w:bCs/>
      <w:sz w:val="32"/>
      <w:szCs w:val="32"/>
    </w:rPr>
  </w:style>
  <w:style w:type="paragraph" w:styleId="4">
    <w:name w:val="heading 4"/>
    <w:basedOn w:val="a0"/>
    <w:next w:val="a0"/>
    <w:link w:val="4Char"/>
    <w:uiPriority w:val="9"/>
    <w:unhideWhenUsed/>
    <w:qFormat/>
    <w:rsid w:val="00092652"/>
    <w:pPr>
      <w:keepNext/>
      <w:keepLines/>
      <w:spacing w:before="280" w:after="290" w:line="376" w:lineRule="auto"/>
      <w:outlineLvl w:val="3"/>
    </w:pPr>
    <w:rPr>
      <w:rFonts w:ascii="Cambria" w:hAnsi="Cambria" w:cs="黑体"/>
      <w:b/>
      <w:bCs/>
      <w:sz w:val="28"/>
      <w:szCs w:val="28"/>
    </w:rPr>
  </w:style>
  <w:style w:type="paragraph" w:styleId="5">
    <w:name w:val="heading 5"/>
    <w:basedOn w:val="a0"/>
    <w:next w:val="a0"/>
    <w:link w:val="5Char"/>
    <w:uiPriority w:val="9"/>
    <w:qFormat/>
    <w:rsid w:val="00092652"/>
    <w:pPr>
      <w:keepNext/>
      <w:keepLines/>
      <w:spacing w:before="280" w:after="290" w:line="376" w:lineRule="auto"/>
      <w:outlineLvl w:val="4"/>
    </w:pPr>
    <w:rPr>
      <w:rFonts w:ascii="Calibri" w:eastAsia="黑体" w:hAnsi="Calibri"/>
      <w:b/>
      <w:bCs/>
      <w:color w:val="92D400"/>
      <w:kern w:val="0"/>
      <w:sz w:val="24"/>
      <w:szCs w:val="28"/>
    </w:rPr>
  </w:style>
  <w:style w:type="paragraph" w:styleId="6">
    <w:name w:val="heading 6"/>
    <w:basedOn w:val="a0"/>
    <w:next w:val="a0"/>
    <w:link w:val="6Char"/>
    <w:uiPriority w:val="9"/>
    <w:qFormat/>
    <w:rsid w:val="00092652"/>
    <w:pPr>
      <w:keepNext/>
      <w:keepLines/>
      <w:spacing w:before="240" w:after="64" w:line="320" w:lineRule="auto"/>
      <w:outlineLvl w:val="5"/>
    </w:pPr>
    <w:rPr>
      <w:rFonts w:ascii="Calibri" w:eastAsia="黑体" w:hAnsi="Calibri"/>
      <w:b/>
      <w:bCs/>
      <w:color w:val="72C7E7"/>
      <w:kern w:val="0"/>
      <w:sz w:val="24"/>
      <w:szCs w:val="28"/>
    </w:rPr>
  </w:style>
  <w:style w:type="paragraph" w:styleId="7">
    <w:name w:val="heading 7"/>
    <w:basedOn w:val="a0"/>
    <w:next w:val="a0"/>
    <w:link w:val="7Char"/>
    <w:uiPriority w:val="9"/>
    <w:qFormat/>
    <w:rsid w:val="00092652"/>
    <w:pPr>
      <w:keepNext/>
      <w:keepLines/>
      <w:spacing w:before="240" w:after="64" w:line="320" w:lineRule="auto"/>
      <w:outlineLvl w:val="6"/>
    </w:pPr>
    <w:rPr>
      <w:rFonts w:ascii="Calibri" w:eastAsia="黑体" w:hAnsi="Calibri"/>
      <w:b/>
      <w:bCs/>
      <w:color w:val="C9DD03"/>
      <w:kern w:val="0"/>
      <w:sz w:val="24"/>
      <w:szCs w:val="28"/>
    </w:rPr>
  </w:style>
  <w:style w:type="paragraph" w:styleId="8">
    <w:name w:val="heading 8"/>
    <w:basedOn w:val="a0"/>
    <w:next w:val="a0"/>
    <w:link w:val="8Char"/>
    <w:uiPriority w:val="9"/>
    <w:qFormat/>
    <w:rsid w:val="00092652"/>
    <w:pPr>
      <w:keepNext/>
      <w:keepLines/>
      <w:spacing w:before="240" w:after="64" w:line="320" w:lineRule="auto"/>
      <w:outlineLvl w:val="7"/>
    </w:pPr>
    <w:rPr>
      <w:rFonts w:ascii="Calibri" w:eastAsia="黑体" w:hAnsi="Calibri"/>
      <w:b/>
      <w:bCs/>
      <w:i/>
      <w:kern w:val="0"/>
      <w:sz w:val="24"/>
      <w:szCs w:val="28"/>
    </w:rPr>
  </w:style>
  <w:style w:type="paragraph" w:styleId="9">
    <w:name w:val="heading 9"/>
    <w:basedOn w:val="a0"/>
    <w:next w:val="a0"/>
    <w:link w:val="9Char"/>
    <w:uiPriority w:val="9"/>
    <w:qFormat/>
    <w:rsid w:val="00092652"/>
    <w:pPr>
      <w:keepNext/>
      <w:keepLines/>
      <w:spacing w:before="240" w:after="64" w:line="320" w:lineRule="auto"/>
      <w:outlineLvl w:val="8"/>
    </w:pPr>
    <w:rPr>
      <w:rFonts w:ascii="Calibri" w:eastAsia="黑体" w:hAnsi="Calibri"/>
      <w:bCs/>
      <w:i/>
      <w:kern w:val="0"/>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0">
    <w:name w:val="List 3"/>
    <w:basedOn w:val="a0"/>
    <w:rsid w:val="00092652"/>
    <w:pPr>
      <w:ind w:leftChars="400" w:left="100" w:hangingChars="200" w:hanging="200"/>
    </w:pPr>
    <w:rPr>
      <w:szCs w:val="24"/>
    </w:rPr>
  </w:style>
  <w:style w:type="paragraph" w:styleId="70">
    <w:name w:val="toc 7"/>
    <w:basedOn w:val="a0"/>
    <w:next w:val="a0"/>
    <w:uiPriority w:val="99"/>
    <w:unhideWhenUsed/>
    <w:rsid w:val="00092652"/>
    <w:pPr>
      <w:adjustRightInd w:val="0"/>
      <w:snapToGrid w:val="0"/>
      <w:spacing w:line="500" w:lineRule="exact"/>
      <w:ind w:left="1440" w:firstLineChars="200" w:firstLine="200"/>
      <w:jc w:val="left"/>
    </w:pPr>
    <w:rPr>
      <w:rFonts w:ascii="Calibri" w:hAnsi="Calibri"/>
      <w:sz w:val="18"/>
      <w:szCs w:val="18"/>
    </w:rPr>
  </w:style>
  <w:style w:type="paragraph" w:styleId="a4">
    <w:name w:val="Note Heading"/>
    <w:basedOn w:val="a0"/>
    <w:next w:val="a0"/>
    <w:link w:val="Char"/>
    <w:uiPriority w:val="99"/>
    <w:rsid w:val="00092652"/>
    <w:pPr>
      <w:jc w:val="center"/>
    </w:pPr>
    <w:rPr>
      <w:szCs w:val="21"/>
    </w:rPr>
  </w:style>
  <w:style w:type="paragraph" w:styleId="a5">
    <w:name w:val="Normal Indent"/>
    <w:basedOn w:val="a0"/>
    <w:qFormat/>
    <w:rsid w:val="00092652"/>
    <w:pPr>
      <w:ind w:firstLine="420"/>
    </w:pPr>
    <w:rPr>
      <w:rFonts w:eastAsia="楷体"/>
      <w:spacing w:val="20"/>
      <w:sz w:val="28"/>
    </w:rPr>
  </w:style>
  <w:style w:type="paragraph" w:styleId="a6">
    <w:name w:val="caption"/>
    <w:basedOn w:val="a0"/>
    <w:next w:val="a0"/>
    <w:uiPriority w:val="35"/>
    <w:qFormat/>
    <w:rsid w:val="00092652"/>
    <w:rPr>
      <w:rFonts w:ascii="Cambria" w:eastAsia="黑体" w:hAnsi="Cambria"/>
      <w:sz w:val="20"/>
    </w:rPr>
  </w:style>
  <w:style w:type="paragraph" w:styleId="a7">
    <w:name w:val="Document Map"/>
    <w:basedOn w:val="a0"/>
    <w:link w:val="Char0"/>
    <w:unhideWhenUsed/>
    <w:rsid w:val="00092652"/>
    <w:pPr>
      <w:adjustRightInd w:val="0"/>
      <w:snapToGrid w:val="0"/>
      <w:spacing w:line="500" w:lineRule="exact"/>
      <w:ind w:firstLineChars="200" w:firstLine="200"/>
    </w:pPr>
    <w:rPr>
      <w:rFonts w:ascii="宋体"/>
      <w:sz w:val="18"/>
      <w:szCs w:val="18"/>
    </w:rPr>
  </w:style>
  <w:style w:type="paragraph" w:styleId="a8">
    <w:name w:val="annotation text"/>
    <w:basedOn w:val="a0"/>
    <w:link w:val="Char1"/>
    <w:uiPriority w:val="99"/>
    <w:unhideWhenUsed/>
    <w:rsid w:val="00092652"/>
    <w:pPr>
      <w:jc w:val="left"/>
    </w:pPr>
    <w:rPr>
      <w:szCs w:val="24"/>
    </w:rPr>
  </w:style>
  <w:style w:type="paragraph" w:styleId="a9">
    <w:name w:val="Salutation"/>
    <w:basedOn w:val="a0"/>
    <w:next w:val="a0"/>
    <w:link w:val="Char2"/>
    <w:uiPriority w:val="99"/>
    <w:qFormat/>
    <w:rsid w:val="00092652"/>
    <w:rPr>
      <w:szCs w:val="21"/>
    </w:rPr>
  </w:style>
  <w:style w:type="paragraph" w:styleId="aa">
    <w:name w:val="Body Text"/>
    <w:basedOn w:val="a0"/>
    <w:link w:val="Char3"/>
    <w:unhideWhenUsed/>
    <w:qFormat/>
    <w:rsid w:val="00092652"/>
    <w:pPr>
      <w:spacing w:after="120"/>
    </w:pPr>
  </w:style>
  <w:style w:type="paragraph" w:styleId="ab">
    <w:name w:val="Body Text Indent"/>
    <w:basedOn w:val="a0"/>
    <w:link w:val="Char4"/>
    <w:unhideWhenUsed/>
    <w:rsid w:val="00092652"/>
    <w:pPr>
      <w:spacing w:line="500" w:lineRule="exact"/>
      <w:ind w:firstLineChars="200" w:firstLine="562"/>
    </w:pPr>
    <w:rPr>
      <w:rFonts w:ascii="仿宋_GB2312" w:eastAsia="仿宋_GB2312" w:hAnsi="宋体"/>
      <w:b/>
      <w:bCs/>
      <w:color w:val="000000"/>
      <w:kern w:val="0"/>
      <w:sz w:val="28"/>
      <w:szCs w:val="28"/>
    </w:rPr>
  </w:style>
  <w:style w:type="paragraph" w:styleId="20">
    <w:name w:val="List 2"/>
    <w:basedOn w:val="a0"/>
    <w:unhideWhenUsed/>
    <w:qFormat/>
    <w:rsid w:val="00092652"/>
    <w:pPr>
      <w:ind w:leftChars="200" w:left="100" w:hangingChars="200" w:hanging="200"/>
      <w:contextualSpacing/>
    </w:pPr>
  </w:style>
  <w:style w:type="paragraph" w:styleId="50">
    <w:name w:val="toc 5"/>
    <w:basedOn w:val="a0"/>
    <w:next w:val="a0"/>
    <w:uiPriority w:val="99"/>
    <w:unhideWhenUsed/>
    <w:qFormat/>
    <w:rsid w:val="00092652"/>
    <w:pPr>
      <w:adjustRightInd w:val="0"/>
      <w:snapToGrid w:val="0"/>
      <w:spacing w:line="500" w:lineRule="exact"/>
      <w:ind w:left="960" w:firstLineChars="200" w:firstLine="200"/>
      <w:jc w:val="left"/>
    </w:pPr>
    <w:rPr>
      <w:rFonts w:ascii="Calibri" w:hAnsi="Calibri"/>
      <w:sz w:val="18"/>
      <w:szCs w:val="18"/>
    </w:rPr>
  </w:style>
  <w:style w:type="paragraph" w:styleId="31">
    <w:name w:val="toc 3"/>
    <w:basedOn w:val="a0"/>
    <w:next w:val="a0"/>
    <w:uiPriority w:val="39"/>
    <w:unhideWhenUsed/>
    <w:qFormat/>
    <w:rsid w:val="00092652"/>
    <w:pPr>
      <w:adjustRightInd w:val="0"/>
      <w:snapToGrid w:val="0"/>
      <w:spacing w:line="500" w:lineRule="exact"/>
      <w:ind w:left="480" w:firstLineChars="200" w:firstLine="200"/>
      <w:jc w:val="left"/>
    </w:pPr>
    <w:rPr>
      <w:rFonts w:ascii="Calibri" w:hAnsi="Calibri"/>
      <w:i/>
      <w:iCs/>
      <w:sz w:val="20"/>
    </w:rPr>
  </w:style>
  <w:style w:type="paragraph" w:styleId="ac">
    <w:name w:val="Plain Text"/>
    <w:basedOn w:val="a0"/>
    <w:link w:val="Char5"/>
    <w:unhideWhenUsed/>
    <w:qFormat/>
    <w:rsid w:val="00092652"/>
    <w:rPr>
      <w:rFonts w:ascii="宋体" w:eastAsia="仿宋_GB2312" w:hAnsi="Courier New" w:cs="Courier New"/>
      <w:sz w:val="32"/>
      <w:szCs w:val="21"/>
    </w:rPr>
  </w:style>
  <w:style w:type="paragraph" w:styleId="80">
    <w:name w:val="toc 8"/>
    <w:basedOn w:val="a0"/>
    <w:next w:val="a0"/>
    <w:uiPriority w:val="99"/>
    <w:unhideWhenUsed/>
    <w:qFormat/>
    <w:rsid w:val="00092652"/>
    <w:pPr>
      <w:adjustRightInd w:val="0"/>
      <w:snapToGrid w:val="0"/>
      <w:spacing w:line="500" w:lineRule="exact"/>
      <w:ind w:left="1680" w:firstLineChars="200" w:firstLine="200"/>
      <w:jc w:val="left"/>
    </w:pPr>
    <w:rPr>
      <w:rFonts w:ascii="Calibri" w:hAnsi="Calibri"/>
      <w:sz w:val="18"/>
      <w:szCs w:val="18"/>
    </w:rPr>
  </w:style>
  <w:style w:type="paragraph" w:styleId="ad">
    <w:name w:val="Date"/>
    <w:basedOn w:val="a0"/>
    <w:next w:val="a0"/>
    <w:link w:val="Char6"/>
    <w:unhideWhenUsed/>
    <w:rsid w:val="00092652"/>
    <w:pPr>
      <w:ind w:leftChars="2500" w:left="100"/>
    </w:pPr>
    <w:rPr>
      <w:sz w:val="30"/>
      <w:szCs w:val="24"/>
    </w:rPr>
  </w:style>
  <w:style w:type="paragraph" w:styleId="21">
    <w:name w:val="Body Text Indent 2"/>
    <w:basedOn w:val="a0"/>
    <w:link w:val="2Char0"/>
    <w:unhideWhenUsed/>
    <w:qFormat/>
    <w:rsid w:val="00092652"/>
    <w:pPr>
      <w:spacing w:after="120" w:line="480" w:lineRule="auto"/>
      <w:ind w:leftChars="200" w:left="420"/>
    </w:pPr>
  </w:style>
  <w:style w:type="paragraph" w:styleId="ae">
    <w:name w:val="endnote text"/>
    <w:basedOn w:val="a0"/>
    <w:link w:val="Char7"/>
    <w:uiPriority w:val="99"/>
    <w:unhideWhenUsed/>
    <w:qFormat/>
    <w:rsid w:val="00092652"/>
    <w:pPr>
      <w:snapToGrid w:val="0"/>
      <w:jc w:val="left"/>
    </w:pPr>
    <w:rPr>
      <w:szCs w:val="24"/>
    </w:rPr>
  </w:style>
  <w:style w:type="paragraph" w:styleId="af">
    <w:name w:val="Balloon Text"/>
    <w:basedOn w:val="a0"/>
    <w:link w:val="Char8"/>
    <w:uiPriority w:val="99"/>
    <w:unhideWhenUsed/>
    <w:qFormat/>
    <w:rsid w:val="00092652"/>
    <w:rPr>
      <w:sz w:val="18"/>
      <w:szCs w:val="18"/>
    </w:rPr>
  </w:style>
  <w:style w:type="paragraph" w:styleId="af0">
    <w:name w:val="footer"/>
    <w:basedOn w:val="a0"/>
    <w:link w:val="Char9"/>
    <w:uiPriority w:val="99"/>
    <w:unhideWhenUsed/>
    <w:qFormat/>
    <w:rsid w:val="00092652"/>
    <w:pPr>
      <w:tabs>
        <w:tab w:val="center" w:pos="4153"/>
        <w:tab w:val="right" w:pos="8306"/>
      </w:tabs>
      <w:snapToGrid w:val="0"/>
      <w:jc w:val="left"/>
    </w:pPr>
    <w:rPr>
      <w:sz w:val="18"/>
      <w:szCs w:val="18"/>
    </w:rPr>
  </w:style>
  <w:style w:type="paragraph" w:styleId="af1">
    <w:name w:val="header"/>
    <w:basedOn w:val="a0"/>
    <w:link w:val="Chara"/>
    <w:unhideWhenUsed/>
    <w:qFormat/>
    <w:rsid w:val="00092652"/>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unhideWhenUsed/>
    <w:qFormat/>
    <w:rsid w:val="00092652"/>
    <w:pPr>
      <w:tabs>
        <w:tab w:val="right" w:leader="dot" w:pos="8302"/>
      </w:tabs>
      <w:spacing w:line="520" w:lineRule="exact"/>
    </w:pPr>
    <w:rPr>
      <w:rFonts w:ascii="楷体_GB2312" w:eastAsia="楷体_GB2312"/>
      <w:sz w:val="28"/>
      <w:szCs w:val="28"/>
    </w:rPr>
  </w:style>
  <w:style w:type="paragraph" w:styleId="40">
    <w:name w:val="toc 4"/>
    <w:basedOn w:val="a0"/>
    <w:next w:val="a0"/>
    <w:uiPriority w:val="99"/>
    <w:unhideWhenUsed/>
    <w:qFormat/>
    <w:rsid w:val="00092652"/>
    <w:pPr>
      <w:adjustRightInd w:val="0"/>
      <w:snapToGrid w:val="0"/>
      <w:spacing w:line="500" w:lineRule="exact"/>
      <w:ind w:left="720" w:firstLineChars="200" w:firstLine="200"/>
      <w:jc w:val="left"/>
    </w:pPr>
    <w:rPr>
      <w:rFonts w:ascii="Calibri" w:hAnsi="Calibri"/>
      <w:sz w:val="18"/>
      <w:szCs w:val="18"/>
    </w:rPr>
  </w:style>
  <w:style w:type="paragraph" w:styleId="af2">
    <w:name w:val="Subtitle"/>
    <w:basedOn w:val="a0"/>
    <w:next w:val="a0"/>
    <w:link w:val="Char10"/>
    <w:qFormat/>
    <w:rsid w:val="00092652"/>
    <w:pPr>
      <w:spacing w:before="240" w:after="60" w:line="312" w:lineRule="auto"/>
      <w:jc w:val="center"/>
      <w:outlineLvl w:val="1"/>
    </w:pPr>
    <w:rPr>
      <w:rFonts w:ascii="Cambria" w:hAnsi="Cambria"/>
      <w:b/>
      <w:bCs/>
      <w:kern w:val="28"/>
      <w:sz w:val="32"/>
      <w:szCs w:val="32"/>
    </w:rPr>
  </w:style>
  <w:style w:type="paragraph" w:styleId="af3">
    <w:name w:val="List"/>
    <w:basedOn w:val="a0"/>
    <w:uiPriority w:val="99"/>
    <w:semiHidden/>
    <w:unhideWhenUsed/>
    <w:rsid w:val="00092652"/>
    <w:pPr>
      <w:widowControl/>
      <w:ind w:left="200" w:hangingChars="200" w:hanging="200"/>
      <w:contextualSpacing/>
      <w:jc w:val="left"/>
    </w:pPr>
    <w:rPr>
      <w:rFonts w:ascii="Calibri" w:hAnsi="Calibri"/>
      <w:kern w:val="0"/>
      <w:sz w:val="20"/>
    </w:rPr>
  </w:style>
  <w:style w:type="paragraph" w:styleId="af4">
    <w:name w:val="footnote text"/>
    <w:basedOn w:val="a0"/>
    <w:link w:val="Charb"/>
    <w:uiPriority w:val="99"/>
    <w:unhideWhenUsed/>
    <w:qFormat/>
    <w:rsid w:val="00092652"/>
    <w:pPr>
      <w:snapToGrid w:val="0"/>
      <w:jc w:val="left"/>
    </w:pPr>
    <w:rPr>
      <w:sz w:val="18"/>
      <w:szCs w:val="18"/>
    </w:rPr>
  </w:style>
  <w:style w:type="paragraph" w:styleId="60">
    <w:name w:val="toc 6"/>
    <w:basedOn w:val="a0"/>
    <w:next w:val="a0"/>
    <w:uiPriority w:val="99"/>
    <w:unhideWhenUsed/>
    <w:qFormat/>
    <w:rsid w:val="00092652"/>
    <w:pPr>
      <w:adjustRightInd w:val="0"/>
      <w:snapToGrid w:val="0"/>
      <w:spacing w:line="500" w:lineRule="exact"/>
      <w:ind w:left="1200" w:firstLineChars="200" w:firstLine="200"/>
      <w:jc w:val="left"/>
    </w:pPr>
    <w:rPr>
      <w:rFonts w:ascii="Calibri" w:hAnsi="Calibri"/>
      <w:sz w:val="18"/>
      <w:szCs w:val="18"/>
    </w:rPr>
  </w:style>
  <w:style w:type="paragraph" w:styleId="32">
    <w:name w:val="Body Text Indent 3"/>
    <w:basedOn w:val="a0"/>
    <w:link w:val="3Char0"/>
    <w:unhideWhenUsed/>
    <w:qFormat/>
    <w:rsid w:val="00092652"/>
    <w:pPr>
      <w:spacing w:after="120"/>
      <w:ind w:leftChars="200" w:left="420"/>
    </w:pPr>
    <w:rPr>
      <w:sz w:val="16"/>
      <w:szCs w:val="16"/>
    </w:rPr>
  </w:style>
  <w:style w:type="paragraph" w:styleId="22">
    <w:name w:val="toc 2"/>
    <w:basedOn w:val="a0"/>
    <w:next w:val="a0"/>
    <w:uiPriority w:val="39"/>
    <w:unhideWhenUsed/>
    <w:qFormat/>
    <w:rsid w:val="00092652"/>
    <w:pPr>
      <w:adjustRightInd w:val="0"/>
      <w:snapToGrid w:val="0"/>
      <w:spacing w:line="500" w:lineRule="exact"/>
      <w:ind w:left="240" w:firstLineChars="200" w:firstLine="200"/>
      <w:jc w:val="left"/>
    </w:pPr>
    <w:rPr>
      <w:rFonts w:ascii="Calibri" w:hAnsi="Calibri"/>
      <w:smallCaps/>
      <w:sz w:val="20"/>
    </w:rPr>
  </w:style>
  <w:style w:type="paragraph" w:styleId="90">
    <w:name w:val="toc 9"/>
    <w:basedOn w:val="a0"/>
    <w:next w:val="a0"/>
    <w:uiPriority w:val="99"/>
    <w:unhideWhenUsed/>
    <w:qFormat/>
    <w:rsid w:val="00092652"/>
    <w:pPr>
      <w:adjustRightInd w:val="0"/>
      <w:snapToGrid w:val="0"/>
      <w:spacing w:line="500" w:lineRule="exact"/>
      <w:ind w:left="1920" w:firstLineChars="200" w:firstLine="200"/>
      <w:jc w:val="left"/>
    </w:pPr>
    <w:rPr>
      <w:rFonts w:ascii="Calibri" w:hAnsi="Calibri"/>
      <w:sz w:val="18"/>
      <w:szCs w:val="18"/>
    </w:rPr>
  </w:style>
  <w:style w:type="paragraph" w:styleId="23">
    <w:name w:val="Body Text 2"/>
    <w:basedOn w:val="a0"/>
    <w:link w:val="2Char1"/>
    <w:rsid w:val="00092652"/>
    <w:pPr>
      <w:spacing w:after="120" w:line="480" w:lineRule="auto"/>
    </w:pPr>
    <w:rPr>
      <w:szCs w:val="24"/>
    </w:rPr>
  </w:style>
  <w:style w:type="paragraph" w:styleId="24">
    <w:name w:val="List Continue 2"/>
    <w:basedOn w:val="a0"/>
    <w:unhideWhenUsed/>
    <w:rsid w:val="00092652"/>
    <w:pPr>
      <w:spacing w:after="120"/>
      <w:ind w:leftChars="400" w:left="840"/>
      <w:contextualSpacing/>
    </w:pPr>
  </w:style>
  <w:style w:type="paragraph" w:styleId="HTML">
    <w:name w:val="HTML Preformatted"/>
    <w:basedOn w:val="a0"/>
    <w:link w:val="HTMLChar"/>
    <w:uiPriority w:val="99"/>
    <w:unhideWhenUsed/>
    <w:rsid w:val="000926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5">
    <w:name w:val="Normal (Web)"/>
    <w:basedOn w:val="a0"/>
    <w:uiPriority w:val="99"/>
    <w:unhideWhenUsed/>
    <w:qFormat/>
    <w:rsid w:val="00092652"/>
    <w:pPr>
      <w:widowControl/>
      <w:spacing w:before="100" w:beforeAutospacing="1" w:after="100" w:afterAutospacing="1"/>
      <w:jc w:val="left"/>
    </w:pPr>
    <w:rPr>
      <w:rFonts w:ascii="宋体" w:hAnsi="宋体" w:cs="宋体"/>
      <w:kern w:val="0"/>
      <w:sz w:val="24"/>
      <w:szCs w:val="24"/>
    </w:rPr>
  </w:style>
  <w:style w:type="paragraph" w:styleId="af6">
    <w:name w:val="Title"/>
    <w:basedOn w:val="a0"/>
    <w:next w:val="a0"/>
    <w:link w:val="Charc"/>
    <w:qFormat/>
    <w:rsid w:val="00092652"/>
    <w:pPr>
      <w:spacing w:before="240" w:after="60"/>
      <w:jc w:val="center"/>
      <w:outlineLvl w:val="0"/>
    </w:pPr>
    <w:rPr>
      <w:rFonts w:ascii="Cambria" w:hAnsi="Cambria"/>
      <w:b/>
      <w:bCs/>
      <w:sz w:val="32"/>
      <w:szCs w:val="32"/>
    </w:rPr>
  </w:style>
  <w:style w:type="paragraph" w:styleId="af7">
    <w:name w:val="annotation subject"/>
    <w:basedOn w:val="a8"/>
    <w:next w:val="a8"/>
    <w:link w:val="Char11"/>
    <w:uiPriority w:val="99"/>
    <w:unhideWhenUsed/>
    <w:rsid w:val="00092652"/>
    <w:rPr>
      <w:b/>
      <w:bCs/>
    </w:rPr>
  </w:style>
  <w:style w:type="table" w:styleId="af8">
    <w:name w:val="Table Grid"/>
    <w:basedOn w:val="a2"/>
    <w:uiPriority w:val="59"/>
    <w:qFormat/>
    <w:rsid w:val="0009265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3">
    <w:name w:val="Table Simple 3"/>
    <w:basedOn w:val="a2"/>
    <w:uiPriority w:val="99"/>
    <w:unhideWhenUsed/>
    <w:rsid w:val="00092652"/>
    <w:pPr>
      <w:widowControl w:val="0"/>
      <w:spacing w:line="500" w:lineRule="exact"/>
      <w:jc w:val="both"/>
    </w:pPr>
    <w:rPr>
      <w:rFonts w:ascii="Calibri" w:hAnsi="Calibri"/>
      <w:kern w:val="2"/>
      <w:sz w:val="21"/>
      <w:szCs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34">
    <w:name w:val="Table List 3"/>
    <w:basedOn w:val="a2"/>
    <w:rsid w:val="00092652"/>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character" w:styleId="af9">
    <w:name w:val="Strong"/>
    <w:basedOn w:val="a1"/>
    <w:qFormat/>
    <w:rsid w:val="00092652"/>
    <w:rPr>
      <w:b/>
      <w:bCs/>
    </w:rPr>
  </w:style>
  <w:style w:type="character" w:styleId="afa">
    <w:name w:val="endnote reference"/>
    <w:uiPriority w:val="99"/>
    <w:unhideWhenUsed/>
    <w:rsid w:val="00092652"/>
    <w:rPr>
      <w:vertAlign w:val="superscript"/>
    </w:rPr>
  </w:style>
  <w:style w:type="character" w:styleId="afb">
    <w:name w:val="page number"/>
    <w:basedOn w:val="a1"/>
    <w:qFormat/>
    <w:rsid w:val="00092652"/>
    <w:rPr>
      <w:rFonts w:cs="Times New Roman"/>
    </w:rPr>
  </w:style>
  <w:style w:type="character" w:styleId="afc">
    <w:name w:val="FollowedHyperlink"/>
    <w:uiPriority w:val="99"/>
    <w:unhideWhenUsed/>
    <w:rsid w:val="00092652"/>
    <w:rPr>
      <w:color w:val="800080"/>
      <w:u w:val="single"/>
    </w:rPr>
  </w:style>
  <w:style w:type="character" w:styleId="afd">
    <w:name w:val="Emphasis"/>
    <w:uiPriority w:val="20"/>
    <w:qFormat/>
    <w:rsid w:val="00092652"/>
    <w:rPr>
      <w:i/>
      <w:iCs/>
    </w:rPr>
  </w:style>
  <w:style w:type="character" w:styleId="afe">
    <w:name w:val="Hyperlink"/>
    <w:basedOn w:val="a1"/>
    <w:uiPriority w:val="99"/>
    <w:unhideWhenUsed/>
    <w:qFormat/>
    <w:rsid w:val="00092652"/>
    <w:rPr>
      <w:color w:val="0000FF"/>
      <w:u w:val="single"/>
    </w:rPr>
  </w:style>
  <w:style w:type="character" w:styleId="aff">
    <w:name w:val="annotation reference"/>
    <w:basedOn w:val="a1"/>
    <w:uiPriority w:val="99"/>
    <w:unhideWhenUsed/>
    <w:qFormat/>
    <w:rsid w:val="00092652"/>
    <w:rPr>
      <w:sz w:val="21"/>
      <w:szCs w:val="21"/>
    </w:rPr>
  </w:style>
  <w:style w:type="character" w:styleId="aff0">
    <w:name w:val="footnote reference"/>
    <w:basedOn w:val="a1"/>
    <w:uiPriority w:val="99"/>
    <w:qFormat/>
    <w:rsid w:val="00092652"/>
    <w:rPr>
      <w:vertAlign w:val="superscript"/>
    </w:rPr>
  </w:style>
  <w:style w:type="paragraph" w:customStyle="1" w:styleId="11">
    <w:name w:val="列出段落1"/>
    <w:basedOn w:val="a0"/>
    <w:qFormat/>
    <w:rsid w:val="00092652"/>
    <w:pPr>
      <w:ind w:firstLineChars="200" w:firstLine="420"/>
    </w:pPr>
    <w:rPr>
      <w:szCs w:val="24"/>
    </w:rPr>
  </w:style>
  <w:style w:type="paragraph" w:customStyle="1" w:styleId="Default">
    <w:name w:val="Default"/>
    <w:qFormat/>
    <w:rsid w:val="00092652"/>
    <w:pPr>
      <w:widowControl w:val="0"/>
      <w:autoSpaceDE w:val="0"/>
      <w:autoSpaceDN w:val="0"/>
      <w:adjustRightInd w:val="0"/>
    </w:pPr>
    <w:rPr>
      <w:rFonts w:ascii="仿宋_GB2312" w:eastAsia="仿宋_GB2312" w:cs="仿宋_GB2312"/>
      <w:color w:val="000000"/>
      <w:sz w:val="24"/>
      <w:szCs w:val="24"/>
    </w:rPr>
  </w:style>
  <w:style w:type="paragraph" w:customStyle="1" w:styleId="Chard">
    <w:name w:val="Char"/>
    <w:basedOn w:val="a0"/>
    <w:rsid w:val="00092652"/>
    <w:rPr>
      <w:szCs w:val="24"/>
    </w:rPr>
  </w:style>
  <w:style w:type="paragraph" w:customStyle="1" w:styleId="yy">
    <w:name w:val="yy"/>
    <w:basedOn w:val="24"/>
    <w:qFormat/>
    <w:rsid w:val="00092652"/>
    <w:pPr>
      <w:widowControl/>
      <w:spacing w:line="360" w:lineRule="auto"/>
      <w:ind w:leftChars="0" w:left="0"/>
      <w:jc w:val="left"/>
    </w:pPr>
    <w:rPr>
      <w:rFonts w:ascii="宋体" w:hAnsi="宋体" w:cs="Arial"/>
      <w:color w:val="000000"/>
      <w:kern w:val="0"/>
      <w:szCs w:val="21"/>
    </w:rPr>
  </w:style>
  <w:style w:type="paragraph" w:customStyle="1" w:styleId="Char12">
    <w:name w:val="Char1"/>
    <w:basedOn w:val="a0"/>
    <w:qFormat/>
    <w:rsid w:val="00092652"/>
    <w:pPr>
      <w:widowControl/>
      <w:spacing w:after="160" w:line="240" w:lineRule="exact"/>
      <w:jc w:val="left"/>
    </w:pPr>
    <w:rPr>
      <w:rFonts w:ascii="Verdana" w:hAnsi="Verdana"/>
      <w:kern w:val="0"/>
      <w:sz w:val="20"/>
      <w:lang w:eastAsia="en-US"/>
    </w:rPr>
  </w:style>
  <w:style w:type="character" w:customStyle="1" w:styleId="1Char">
    <w:name w:val="标题 1 Char"/>
    <w:basedOn w:val="a1"/>
    <w:link w:val="1"/>
    <w:qFormat/>
    <w:rsid w:val="00092652"/>
    <w:rPr>
      <w:rFonts w:ascii="黑体" w:eastAsia="黑体" w:hAnsi="Times New Roman" w:cs="Times New Roman"/>
      <w:kern w:val="44"/>
      <w:sz w:val="32"/>
      <w:szCs w:val="20"/>
    </w:rPr>
  </w:style>
  <w:style w:type="character" w:customStyle="1" w:styleId="2Char">
    <w:name w:val="标题 2 Char"/>
    <w:basedOn w:val="a1"/>
    <w:link w:val="2"/>
    <w:qFormat/>
    <w:rsid w:val="00092652"/>
    <w:rPr>
      <w:rFonts w:ascii="Cambria" w:eastAsia="宋体" w:hAnsi="Cambria" w:cs="黑体"/>
      <w:b/>
      <w:bCs/>
      <w:sz w:val="32"/>
      <w:szCs w:val="32"/>
    </w:rPr>
  </w:style>
  <w:style w:type="character" w:customStyle="1" w:styleId="3Char">
    <w:name w:val="标题 3 Char"/>
    <w:basedOn w:val="a1"/>
    <w:link w:val="3"/>
    <w:rsid w:val="00092652"/>
    <w:rPr>
      <w:rFonts w:ascii="Times New Roman" w:eastAsia="宋体" w:hAnsi="Times New Roman" w:cs="Times New Roman"/>
      <w:b/>
      <w:bCs/>
      <w:sz w:val="32"/>
      <w:szCs w:val="32"/>
    </w:rPr>
  </w:style>
  <w:style w:type="character" w:customStyle="1" w:styleId="4Char">
    <w:name w:val="标题 4 Char"/>
    <w:basedOn w:val="a1"/>
    <w:link w:val="4"/>
    <w:uiPriority w:val="9"/>
    <w:qFormat/>
    <w:rsid w:val="00092652"/>
    <w:rPr>
      <w:rFonts w:ascii="Cambria" w:eastAsia="宋体" w:hAnsi="Cambria" w:cs="黑体"/>
      <w:b/>
      <w:bCs/>
      <w:sz w:val="28"/>
      <w:szCs w:val="28"/>
    </w:rPr>
  </w:style>
  <w:style w:type="character" w:customStyle="1" w:styleId="Char8">
    <w:name w:val="批注框文本 Char"/>
    <w:basedOn w:val="a1"/>
    <w:link w:val="af"/>
    <w:uiPriority w:val="99"/>
    <w:qFormat/>
    <w:rsid w:val="00092652"/>
    <w:rPr>
      <w:rFonts w:ascii="Times New Roman" w:eastAsia="宋体" w:hAnsi="Times New Roman" w:cs="Times New Roman"/>
      <w:sz w:val="18"/>
      <w:szCs w:val="18"/>
    </w:rPr>
  </w:style>
  <w:style w:type="character" w:customStyle="1" w:styleId="1Char1">
    <w:name w:val="标题 1 Char1"/>
    <w:basedOn w:val="a1"/>
    <w:rsid w:val="00092652"/>
    <w:rPr>
      <w:rFonts w:eastAsia="宋体" w:cs="Times New Roman"/>
      <w:b/>
      <w:bCs/>
      <w:kern w:val="44"/>
      <w:sz w:val="44"/>
      <w:szCs w:val="44"/>
    </w:rPr>
  </w:style>
  <w:style w:type="character" w:customStyle="1" w:styleId="Charb">
    <w:name w:val="脚注文本 Char"/>
    <w:basedOn w:val="a1"/>
    <w:link w:val="af4"/>
    <w:uiPriority w:val="99"/>
    <w:qFormat/>
    <w:rsid w:val="00092652"/>
    <w:rPr>
      <w:rFonts w:ascii="Times New Roman" w:eastAsia="宋体" w:hAnsi="Times New Roman" w:cs="Times New Roman"/>
      <w:sz w:val="18"/>
      <w:szCs w:val="18"/>
    </w:rPr>
  </w:style>
  <w:style w:type="character" w:customStyle="1" w:styleId="Char13">
    <w:name w:val="脚注文本 Char1"/>
    <w:basedOn w:val="a1"/>
    <w:uiPriority w:val="99"/>
    <w:rsid w:val="00092652"/>
    <w:rPr>
      <w:rFonts w:ascii="Times New Roman" w:eastAsia="宋体" w:hAnsi="Times New Roman" w:cs="Times New Roman"/>
      <w:sz w:val="18"/>
      <w:szCs w:val="18"/>
    </w:rPr>
  </w:style>
  <w:style w:type="character" w:customStyle="1" w:styleId="Chare">
    <w:name w:val="批注文字 Char"/>
    <w:basedOn w:val="a1"/>
    <w:uiPriority w:val="99"/>
    <w:rsid w:val="00092652"/>
    <w:rPr>
      <w:rFonts w:ascii="Times New Roman" w:eastAsia="宋体" w:hAnsi="Times New Roman" w:cs="Times New Roman"/>
      <w:szCs w:val="20"/>
    </w:rPr>
  </w:style>
  <w:style w:type="character" w:customStyle="1" w:styleId="Char1">
    <w:name w:val="批注文字 Char1"/>
    <w:basedOn w:val="a1"/>
    <w:link w:val="a8"/>
    <w:uiPriority w:val="99"/>
    <w:semiHidden/>
    <w:qFormat/>
    <w:locked/>
    <w:rsid w:val="00092652"/>
    <w:rPr>
      <w:rFonts w:ascii="Times New Roman" w:eastAsia="宋体" w:hAnsi="Times New Roman" w:cs="Times New Roman"/>
      <w:szCs w:val="24"/>
    </w:rPr>
  </w:style>
  <w:style w:type="character" w:customStyle="1" w:styleId="Chara">
    <w:name w:val="页眉 Char"/>
    <w:basedOn w:val="a1"/>
    <w:link w:val="af1"/>
    <w:qFormat/>
    <w:rsid w:val="00092652"/>
    <w:rPr>
      <w:rFonts w:ascii="Times New Roman" w:eastAsia="宋体" w:hAnsi="Times New Roman" w:cs="Times New Roman"/>
      <w:sz w:val="18"/>
      <w:szCs w:val="18"/>
    </w:rPr>
  </w:style>
  <w:style w:type="character" w:customStyle="1" w:styleId="Char14">
    <w:name w:val="页眉 Char1"/>
    <w:basedOn w:val="a1"/>
    <w:uiPriority w:val="99"/>
    <w:semiHidden/>
    <w:rsid w:val="00092652"/>
    <w:rPr>
      <w:rFonts w:ascii="Times New Roman" w:eastAsia="宋体" w:hAnsi="Times New Roman" w:cs="Times New Roman"/>
      <w:sz w:val="18"/>
      <w:szCs w:val="18"/>
    </w:rPr>
  </w:style>
  <w:style w:type="character" w:customStyle="1" w:styleId="Char9">
    <w:name w:val="页脚 Char"/>
    <w:basedOn w:val="a1"/>
    <w:link w:val="af0"/>
    <w:uiPriority w:val="99"/>
    <w:qFormat/>
    <w:rsid w:val="00092652"/>
    <w:rPr>
      <w:rFonts w:ascii="Times New Roman" w:eastAsia="宋体" w:hAnsi="Times New Roman" w:cs="Times New Roman"/>
      <w:sz w:val="18"/>
      <w:szCs w:val="18"/>
    </w:rPr>
  </w:style>
  <w:style w:type="character" w:customStyle="1" w:styleId="Char15">
    <w:name w:val="页脚 Char1"/>
    <w:basedOn w:val="a1"/>
    <w:uiPriority w:val="99"/>
    <w:semiHidden/>
    <w:rsid w:val="00092652"/>
    <w:rPr>
      <w:rFonts w:ascii="Times New Roman" w:eastAsia="宋体" w:hAnsi="Times New Roman" w:cs="Times New Roman"/>
      <w:sz w:val="18"/>
      <w:szCs w:val="18"/>
    </w:rPr>
  </w:style>
  <w:style w:type="character" w:customStyle="1" w:styleId="Char7">
    <w:name w:val="尾注文本 Char"/>
    <w:basedOn w:val="a1"/>
    <w:link w:val="ae"/>
    <w:uiPriority w:val="99"/>
    <w:rsid w:val="00092652"/>
    <w:rPr>
      <w:rFonts w:ascii="Times New Roman" w:eastAsia="宋体" w:hAnsi="Times New Roman" w:cs="Times New Roman"/>
      <w:szCs w:val="24"/>
    </w:rPr>
  </w:style>
  <w:style w:type="character" w:customStyle="1" w:styleId="Char16">
    <w:name w:val="尾注文本 Char1"/>
    <w:basedOn w:val="a1"/>
    <w:uiPriority w:val="99"/>
    <w:semiHidden/>
    <w:rsid w:val="00092652"/>
    <w:rPr>
      <w:rFonts w:ascii="Times New Roman" w:eastAsia="宋体" w:hAnsi="Times New Roman" w:cs="Times New Roman"/>
      <w:szCs w:val="20"/>
    </w:rPr>
  </w:style>
  <w:style w:type="character" w:customStyle="1" w:styleId="Char4">
    <w:name w:val="正文文本缩进 Char"/>
    <w:basedOn w:val="a1"/>
    <w:link w:val="ab"/>
    <w:rsid w:val="00092652"/>
    <w:rPr>
      <w:rFonts w:ascii="仿宋_GB2312" w:eastAsia="仿宋_GB2312" w:hAnsi="宋体" w:cs="Times New Roman"/>
      <w:b/>
      <w:bCs/>
      <w:color w:val="000000"/>
      <w:kern w:val="0"/>
      <w:sz w:val="28"/>
      <w:szCs w:val="28"/>
    </w:rPr>
  </w:style>
  <w:style w:type="character" w:customStyle="1" w:styleId="Char6">
    <w:name w:val="日期 Char"/>
    <w:basedOn w:val="a1"/>
    <w:link w:val="ad"/>
    <w:rsid w:val="00092652"/>
    <w:rPr>
      <w:rFonts w:ascii="Times New Roman" w:eastAsia="宋体" w:hAnsi="Times New Roman" w:cs="Times New Roman"/>
      <w:sz w:val="30"/>
      <w:szCs w:val="24"/>
    </w:rPr>
  </w:style>
  <w:style w:type="character" w:customStyle="1" w:styleId="Char17">
    <w:name w:val="日期 Char1"/>
    <w:basedOn w:val="a1"/>
    <w:uiPriority w:val="99"/>
    <w:semiHidden/>
    <w:rsid w:val="00092652"/>
    <w:rPr>
      <w:rFonts w:ascii="Times New Roman" w:eastAsia="宋体" w:hAnsi="Times New Roman" w:cs="Times New Roman"/>
      <w:szCs w:val="20"/>
    </w:rPr>
  </w:style>
  <w:style w:type="character" w:customStyle="1" w:styleId="2Char0">
    <w:name w:val="正文文本缩进 2 Char"/>
    <w:basedOn w:val="a1"/>
    <w:link w:val="21"/>
    <w:rsid w:val="00092652"/>
    <w:rPr>
      <w:rFonts w:ascii="Times New Roman" w:eastAsia="宋体" w:hAnsi="Times New Roman" w:cs="Times New Roman"/>
      <w:szCs w:val="20"/>
    </w:rPr>
  </w:style>
  <w:style w:type="character" w:customStyle="1" w:styleId="2Char10">
    <w:name w:val="正文文本缩进 2 Char1"/>
    <w:basedOn w:val="a1"/>
    <w:uiPriority w:val="99"/>
    <w:semiHidden/>
    <w:rsid w:val="00092652"/>
    <w:rPr>
      <w:rFonts w:ascii="Times New Roman" w:eastAsia="宋体" w:hAnsi="Times New Roman" w:cs="Times New Roman"/>
      <w:szCs w:val="20"/>
    </w:rPr>
  </w:style>
  <w:style w:type="character" w:customStyle="1" w:styleId="3Char0">
    <w:name w:val="正文文本缩进 3 Char"/>
    <w:basedOn w:val="a1"/>
    <w:link w:val="32"/>
    <w:rsid w:val="00092652"/>
    <w:rPr>
      <w:rFonts w:ascii="Times New Roman" w:eastAsia="宋体" w:hAnsi="Times New Roman" w:cs="Times New Roman"/>
      <w:sz w:val="16"/>
      <w:szCs w:val="16"/>
    </w:rPr>
  </w:style>
  <w:style w:type="character" w:customStyle="1" w:styleId="3Char1">
    <w:name w:val="正文文本缩进 3 Char1"/>
    <w:basedOn w:val="a1"/>
    <w:uiPriority w:val="99"/>
    <w:semiHidden/>
    <w:rsid w:val="00092652"/>
    <w:rPr>
      <w:rFonts w:ascii="Times New Roman" w:eastAsia="宋体" w:hAnsi="Times New Roman" w:cs="Times New Roman"/>
      <w:sz w:val="16"/>
      <w:szCs w:val="16"/>
    </w:rPr>
  </w:style>
  <w:style w:type="character" w:customStyle="1" w:styleId="Char5">
    <w:name w:val="纯文本 Char"/>
    <w:basedOn w:val="a1"/>
    <w:link w:val="ac"/>
    <w:rsid w:val="00092652"/>
    <w:rPr>
      <w:rFonts w:ascii="宋体" w:eastAsia="仿宋_GB2312" w:hAnsi="Courier New" w:cs="Courier New"/>
      <w:sz w:val="32"/>
      <w:szCs w:val="21"/>
    </w:rPr>
  </w:style>
  <w:style w:type="character" w:customStyle="1" w:styleId="Charf">
    <w:name w:val="批注主题 Char"/>
    <w:basedOn w:val="Chare"/>
    <w:uiPriority w:val="99"/>
    <w:rsid w:val="00092652"/>
    <w:rPr>
      <w:rFonts w:ascii="Times New Roman" w:eastAsia="宋体" w:hAnsi="Times New Roman" w:cs="Times New Roman"/>
      <w:b/>
      <w:bCs/>
      <w:szCs w:val="20"/>
    </w:rPr>
  </w:style>
  <w:style w:type="character" w:customStyle="1" w:styleId="Char11">
    <w:name w:val="批注主题 Char1"/>
    <w:basedOn w:val="Char1"/>
    <w:link w:val="af7"/>
    <w:uiPriority w:val="99"/>
    <w:semiHidden/>
    <w:locked/>
    <w:rsid w:val="00092652"/>
    <w:rPr>
      <w:rFonts w:ascii="Times New Roman" w:eastAsia="宋体" w:hAnsi="Times New Roman" w:cs="Times New Roman"/>
      <w:b/>
      <w:bCs/>
      <w:szCs w:val="24"/>
    </w:rPr>
  </w:style>
  <w:style w:type="character" w:customStyle="1" w:styleId="apple-style-span">
    <w:name w:val="apple-style-span"/>
    <w:basedOn w:val="a1"/>
    <w:rsid w:val="00092652"/>
  </w:style>
  <w:style w:type="character" w:customStyle="1" w:styleId="Char3">
    <w:name w:val="正文文本 Char"/>
    <w:basedOn w:val="a1"/>
    <w:link w:val="aa"/>
    <w:rsid w:val="00092652"/>
    <w:rPr>
      <w:rFonts w:ascii="Times New Roman" w:eastAsia="宋体" w:hAnsi="Times New Roman" w:cs="Times New Roman"/>
      <w:szCs w:val="20"/>
    </w:rPr>
  </w:style>
  <w:style w:type="character" w:customStyle="1" w:styleId="Char18">
    <w:name w:val="纯文本 Char1"/>
    <w:rsid w:val="00092652"/>
    <w:rPr>
      <w:rFonts w:ascii="宋体" w:hAnsi="Courier New"/>
    </w:rPr>
  </w:style>
  <w:style w:type="character" w:customStyle="1" w:styleId="Charc">
    <w:name w:val="标题 Char"/>
    <w:basedOn w:val="a1"/>
    <w:link w:val="af6"/>
    <w:rsid w:val="00092652"/>
    <w:rPr>
      <w:rFonts w:ascii="Cambria" w:eastAsia="宋体" w:hAnsi="Cambria" w:cs="Times New Roman"/>
      <w:b/>
      <w:bCs/>
      <w:sz w:val="32"/>
      <w:szCs w:val="32"/>
    </w:rPr>
  </w:style>
  <w:style w:type="character" w:customStyle="1" w:styleId="12">
    <w:name w:val="占位符文本1"/>
    <w:basedOn w:val="a1"/>
    <w:uiPriority w:val="99"/>
    <w:semiHidden/>
    <w:rsid w:val="00092652"/>
  </w:style>
  <w:style w:type="character" w:customStyle="1" w:styleId="5Char">
    <w:name w:val="标题 5 Char"/>
    <w:basedOn w:val="a1"/>
    <w:link w:val="5"/>
    <w:uiPriority w:val="9"/>
    <w:rsid w:val="00092652"/>
    <w:rPr>
      <w:rFonts w:ascii="Calibri" w:eastAsia="黑体" w:hAnsi="Calibri"/>
      <w:b/>
      <w:bCs/>
      <w:color w:val="92D400"/>
      <w:sz w:val="24"/>
      <w:szCs w:val="28"/>
    </w:rPr>
  </w:style>
  <w:style w:type="character" w:customStyle="1" w:styleId="6Char">
    <w:name w:val="标题 6 Char"/>
    <w:basedOn w:val="a1"/>
    <w:link w:val="6"/>
    <w:uiPriority w:val="9"/>
    <w:qFormat/>
    <w:rsid w:val="00092652"/>
    <w:rPr>
      <w:rFonts w:ascii="Calibri" w:eastAsia="黑体" w:hAnsi="Calibri"/>
      <w:b/>
      <w:bCs/>
      <w:color w:val="72C7E7"/>
      <w:sz w:val="24"/>
      <w:szCs w:val="28"/>
    </w:rPr>
  </w:style>
  <w:style w:type="character" w:customStyle="1" w:styleId="7Char">
    <w:name w:val="标题 7 Char"/>
    <w:basedOn w:val="a1"/>
    <w:link w:val="7"/>
    <w:uiPriority w:val="9"/>
    <w:rsid w:val="00092652"/>
    <w:rPr>
      <w:rFonts w:ascii="Calibri" w:eastAsia="黑体" w:hAnsi="Calibri"/>
      <w:b/>
      <w:bCs/>
      <w:color w:val="C9DD03"/>
      <w:sz w:val="24"/>
      <w:szCs w:val="28"/>
    </w:rPr>
  </w:style>
  <w:style w:type="character" w:customStyle="1" w:styleId="8Char">
    <w:name w:val="标题 8 Char"/>
    <w:basedOn w:val="a1"/>
    <w:link w:val="8"/>
    <w:uiPriority w:val="9"/>
    <w:rsid w:val="00092652"/>
    <w:rPr>
      <w:rFonts w:ascii="Calibri" w:eastAsia="黑体" w:hAnsi="Calibri"/>
      <w:b/>
      <w:bCs/>
      <w:i/>
      <w:sz w:val="24"/>
      <w:szCs w:val="28"/>
    </w:rPr>
  </w:style>
  <w:style w:type="character" w:customStyle="1" w:styleId="9Char">
    <w:name w:val="标题 9 Char"/>
    <w:basedOn w:val="a1"/>
    <w:link w:val="9"/>
    <w:uiPriority w:val="9"/>
    <w:rsid w:val="00092652"/>
    <w:rPr>
      <w:rFonts w:ascii="Calibri" w:eastAsia="黑体" w:hAnsi="Calibri"/>
      <w:bCs/>
      <w:i/>
      <w:sz w:val="24"/>
      <w:szCs w:val="28"/>
    </w:rPr>
  </w:style>
  <w:style w:type="character" w:customStyle="1" w:styleId="ParagraphChar">
    <w:name w:val="Paragraph Char"/>
    <w:link w:val="Paragraph"/>
    <w:locked/>
    <w:rsid w:val="00092652"/>
    <w:rPr>
      <w:rFonts w:eastAsia="华文楷体"/>
      <w:sz w:val="24"/>
    </w:rPr>
  </w:style>
  <w:style w:type="paragraph" w:customStyle="1" w:styleId="Paragraph">
    <w:name w:val="Paragraph"/>
    <w:basedOn w:val="a0"/>
    <w:link w:val="ParagraphChar"/>
    <w:qFormat/>
    <w:rsid w:val="00092652"/>
    <w:pPr>
      <w:widowControl/>
      <w:spacing w:after="120" w:line="312" w:lineRule="auto"/>
      <w:ind w:firstLineChars="200" w:firstLine="200"/>
      <w:jc w:val="left"/>
    </w:pPr>
    <w:rPr>
      <w:rFonts w:eastAsia="华文楷体"/>
      <w:kern w:val="0"/>
      <w:sz w:val="24"/>
    </w:rPr>
  </w:style>
  <w:style w:type="character" w:customStyle="1" w:styleId="7Char1">
    <w:name w:val="标题 7 Char1"/>
    <w:uiPriority w:val="9"/>
    <w:semiHidden/>
    <w:rsid w:val="00092652"/>
    <w:rPr>
      <w:rFonts w:ascii="Times New Roman" w:hAnsi="Times New Roman"/>
      <w:b/>
      <w:bCs/>
      <w:kern w:val="2"/>
      <w:sz w:val="24"/>
      <w:szCs w:val="24"/>
    </w:rPr>
  </w:style>
  <w:style w:type="character" w:customStyle="1" w:styleId="font21">
    <w:name w:val="font21"/>
    <w:rsid w:val="00092652"/>
    <w:rPr>
      <w:rFonts w:ascii="Times New Roman" w:hAnsi="Times New Roman" w:cs="Times New Roman" w:hint="default"/>
      <w:color w:val="000000"/>
      <w:sz w:val="20"/>
      <w:szCs w:val="20"/>
      <w:u w:val="none"/>
    </w:rPr>
  </w:style>
  <w:style w:type="character" w:customStyle="1" w:styleId="8Char1">
    <w:name w:val="标题 8 Char1"/>
    <w:uiPriority w:val="9"/>
    <w:semiHidden/>
    <w:rsid w:val="00092652"/>
    <w:rPr>
      <w:rFonts w:ascii="Cambria" w:eastAsia="宋体" w:hAnsi="Cambria" w:cs="Times New Roman"/>
      <w:kern w:val="2"/>
      <w:sz w:val="24"/>
      <w:szCs w:val="24"/>
    </w:rPr>
  </w:style>
  <w:style w:type="character" w:customStyle="1" w:styleId="Char19">
    <w:name w:val="标题 Char1"/>
    <w:uiPriority w:val="10"/>
    <w:rsid w:val="00092652"/>
    <w:rPr>
      <w:rFonts w:ascii="Cambria" w:hAnsi="Cambria" w:cs="Times New Roman"/>
      <w:b/>
      <w:bCs/>
      <w:kern w:val="2"/>
      <w:sz w:val="32"/>
      <w:szCs w:val="32"/>
    </w:rPr>
  </w:style>
  <w:style w:type="character" w:customStyle="1" w:styleId="5Char1">
    <w:name w:val="标题 5 Char1"/>
    <w:uiPriority w:val="9"/>
    <w:semiHidden/>
    <w:rsid w:val="00092652"/>
    <w:rPr>
      <w:rFonts w:ascii="Times New Roman" w:hAnsi="Times New Roman"/>
      <w:b/>
      <w:bCs/>
      <w:kern w:val="2"/>
      <w:sz w:val="28"/>
      <w:szCs w:val="28"/>
    </w:rPr>
  </w:style>
  <w:style w:type="character" w:customStyle="1" w:styleId="CharChar5">
    <w:name w:val="Char Char5"/>
    <w:semiHidden/>
    <w:rsid w:val="00092652"/>
    <w:rPr>
      <w:rFonts w:eastAsia="宋体"/>
      <w:kern w:val="2"/>
      <w:sz w:val="18"/>
      <w:szCs w:val="18"/>
      <w:lang w:val="en-US" w:eastAsia="zh-CN" w:bidi="ar-SA"/>
    </w:rPr>
  </w:style>
  <w:style w:type="character" w:customStyle="1" w:styleId="Char1a">
    <w:name w:val="明显引用 Char1"/>
    <w:link w:val="aff1"/>
    <w:uiPriority w:val="30"/>
    <w:rsid w:val="00092652"/>
    <w:rPr>
      <w:b/>
      <w:bCs/>
      <w:i/>
      <w:iCs/>
      <w:color w:val="4F81BD"/>
      <w:kern w:val="2"/>
      <w:sz w:val="21"/>
    </w:rPr>
  </w:style>
  <w:style w:type="paragraph" w:styleId="aff1">
    <w:name w:val="Intense Quote"/>
    <w:basedOn w:val="a0"/>
    <w:next w:val="a0"/>
    <w:link w:val="Char1a"/>
    <w:uiPriority w:val="30"/>
    <w:qFormat/>
    <w:rsid w:val="00092652"/>
    <w:pPr>
      <w:pBdr>
        <w:bottom w:val="single" w:sz="4" w:space="4" w:color="4F81BD"/>
      </w:pBdr>
      <w:spacing w:before="200" w:after="280"/>
      <w:ind w:left="936" w:right="936"/>
    </w:pPr>
    <w:rPr>
      <w:b/>
      <w:bCs/>
      <w:i/>
      <w:iCs/>
      <w:color w:val="4F81BD"/>
    </w:rPr>
  </w:style>
  <w:style w:type="character" w:customStyle="1" w:styleId="Charf0">
    <w:name w:val="兴业银行正文样式 Char"/>
    <w:link w:val="aff2"/>
    <w:rsid w:val="00092652"/>
    <w:rPr>
      <w:rFonts w:hAnsi="宋体"/>
      <w:b/>
      <w:kern w:val="2"/>
      <w:sz w:val="24"/>
      <w:szCs w:val="24"/>
    </w:rPr>
  </w:style>
  <w:style w:type="paragraph" w:customStyle="1" w:styleId="aff2">
    <w:name w:val="兴业银行正文样式"/>
    <w:basedOn w:val="a0"/>
    <w:link w:val="Charf0"/>
    <w:qFormat/>
    <w:rsid w:val="00092652"/>
    <w:pPr>
      <w:ind w:firstLineChars="200" w:firstLine="482"/>
    </w:pPr>
    <w:rPr>
      <w:rFonts w:hAnsi="宋体"/>
      <w:b/>
      <w:sz w:val="24"/>
      <w:szCs w:val="24"/>
    </w:rPr>
  </w:style>
  <w:style w:type="character" w:customStyle="1" w:styleId="CIBChar">
    <w:name w:val="CIB正文强调 Char"/>
    <w:link w:val="CIB"/>
    <w:uiPriority w:val="99"/>
    <w:locked/>
    <w:rsid w:val="00092652"/>
    <w:rPr>
      <w:rFonts w:eastAsia="仿宋"/>
      <w:b/>
      <w:kern w:val="2"/>
      <w:sz w:val="24"/>
      <w:szCs w:val="24"/>
      <w:lang w:val="en-US" w:eastAsia="zh-CN"/>
    </w:rPr>
  </w:style>
  <w:style w:type="paragraph" w:customStyle="1" w:styleId="CIB">
    <w:name w:val="CIB正文强调"/>
    <w:basedOn w:val="10"/>
    <w:next w:val="a0"/>
    <w:link w:val="CIBChar"/>
    <w:uiPriority w:val="99"/>
    <w:qFormat/>
    <w:rsid w:val="00092652"/>
    <w:pPr>
      <w:tabs>
        <w:tab w:val="clear" w:pos="8302"/>
        <w:tab w:val="right" w:leader="dot" w:pos="8505"/>
      </w:tabs>
      <w:spacing w:line="240" w:lineRule="auto"/>
      <w:ind w:leftChars="-135" w:left="-283"/>
      <w:jc w:val="left"/>
    </w:pPr>
    <w:rPr>
      <w:rFonts w:ascii="Times New Roman" w:eastAsia="仿宋"/>
      <w:b/>
      <w:sz w:val="24"/>
      <w:szCs w:val="24"/>
    </w:rPr>
  </w:style>
  <w:style w:type="character" w:customStyle="1" w:styleId="CIBChar0">
    <w:name w:val="CIB正文 Char"/>
    <w:link w:val="CIB0"/>
    <w:qFormat/>
    <w:locked/>
    <w:rsid w:val="00092652"/>
    <w:rPr>
      <w:rFonts w:ascii="仿宋_GB2312" w:eastAsia="仿宋_GB2312"/>
      <w:sz w:val="28"/>
      <w:szCs w:val="28"/>
    </w:rPr>
  </w:style>
  <w:style w:type="paragraph" w:customStyle="1" w:styleId="CIB0">
    <w:name w:val="CIB正文"/>
    <w:basedOn w:val="a0"/>
    <w:link w:val="CIBChar0"/>
    <w:qFormat/>
    <w:rsid w:val="00092652"/>
    <w:pPr>
      <w:autoSpaceDE w:val="0"/>
      <w:autoSpaceDN w:val="0"/>
      <w:adjustRightInd w:val="0"/>
      <w:ind w:firstLineChars="200" w:firstLine="200"/>
      <w:jc w:val="left"/>
    </w:pPr>
    <w:rPr>
      <w:rFonts w:ascii="仿宋_GB2312" w:eastAsia="仿宋_GB2312"/>
      <w:kern w:val="0"/>
      <w:sz w:val="28"/>
      <w:szCs w:val="28"/>
    </w:rPr>
  </w:style>
  <w:style w:type="character" w:customStyle="1" w:styleId="font11">
    <w:name w:val="font11"/>
    <w:rsid w:val="00092652"/>
    <w:rPr>
      <w:rFonts w:ascii="宋体" w:eastAsia="宋体" w:hAnsi="宋体" w:cs="宋体" w:hint="eastAsia"/>
      <w:color w:val="000000"/>
      <w:sz w:val="20"/>
      <w:szCs w:val="20"/>
      <w:u w:val="none"/>
    </w:rPr>
  </w:style>
  <w:style w:type="character" w:customStyle="1" w:styleId="Char0">
    <w:name w:val="文档结构图 Char"/>
    <w:link w:val="a7"/>
    <w:rsid w:val="00092652"/>
    <w:rPr>
      <w:rFonts w:ascii="宋体"/>
      <w:kern w:val="2"/>
      <w:sz w:val="18"/>
      <w:szCs w:val="18"/>
    </w:rPr>
  </w:style>
  <w:style w:type="character" w:customStyle="1" w:styleId="Charf1">
    <w:name w:val="引用 Char"/>
    <w:link w:val="13"/>
    <w:uiPriority w:val="12"/>
    <w:rsid w:val="00092652"/>
    <w:rPr>
      <w:rFonts w:eastAsia="黑体"/>
      <w:bCs/>
      <w:color w:val="00A1DE"/>
      <w:sz w:val="32"/>
      <w:szCs w:val="28"/>
    </w:rPr>
  </w:style>
  <w:style w:type="paragraph" w:customStyle="1" w:styleId="13">
    <w:name w:val="引用1"/>
    <w:next w:val="aff3"/>
    <w:link w:val="Charf1"/>
    <w:uiPriority w:val="12"/>
    <w:qFormat/>
    <w:rsid w:val="00092652"/>
    <w:pPr>
      <w:framePr w:wrap="notBeside" w:vAnchor="text" w:hAnchor="text" w:y="1"/>
      <w:spacing w:before="360" w:after="360"/>
      <w:contextualSpacing/>
    </w:pPr>
    <w:rPr>
      <w:rFonts w:eastAsia="黑体"/>
      <w:bCs/>
      <w:color w:val="00A1DE"/>
      <w:sz w:val="32"/>
      <w:szCs w:val="28"/>
    </w:rPr>
  </w:style>
  <w:style w:type="paragraph" w:styleId="aff3">
    <w:name w:val="Quote"/>
    <w:basedOn w:val="a0"/>
    <w:next w:val="a0"/>
    <w:link w:val="Char1b"/>
    <w:uiPriority w:val="29"/>
    <w:qFormat/>
    <w:rsid w:val="00092652"/>
    <w:rPr>
      <w:i/>
      <w:iCs/>
      <w:color w:val="000000"/>
    </w:rPr>
  </w:style>
  <w:style w:type="character" w:customStyle="1" w:styleId="9Char1">
    <w:name w:val="标题 9 Char1"/>
    <w:uiPriority w:val="9"/>
    <w:semiHidden/>
    <w:rsid w:val="00092652"/>
    <w:rPr>
      <w:rFonts w:ascii="Cambria" w:eastAsia="宋体" w:hAnsi="Cambria" w:cs="Times New Roman"/>
      <w:kern w:val="2"/>
      <w:sz w:val="21"/>
      <w:szCs w:val="21"/>
    </w:rPr>
  </w:style>
  <w:style w:type="character" w:customStyle="1" w:styleId="Charf2">
    <w:name w:val="列出段落 Char"/>
    <w:link w:val="ListParagraph1"/>
    <w:uiPriority w:val="34"/>
    <w:qFormat/>
    <w:locked/>
    <w:rsid w:val="00092652"/>
    <w:rPr>
      <w:kern w:val="2"/>
      <w:sz w:val="24"/>
      <w:szCs w:val="22"/>
    </w:rPr>
  </w:style>
  <w:style w:type="paragraph" w:customStyle="1" w:styleId="ListParagraph1">
    <w:name w:val="List Paragraph1"/>
    <w:basedOn w:val="a0"/>
    <w:link w:val="Charf2"/>
    <w:uiPriority w:val="34"/>
    <w:rsid w:val="00092652"/>
    <w:pPr>
      <w:adjustRightInd w:val="0"/>
      <w:snapToGrid w:val="0"/>
      <w:spacing w:line="500" w:lineRule="exact"/>
      <w:ind w:firstLineChars="200" w:firstLine="420"/>
    </w:pPr>
    <w:rPr>
      <w:sz w:val="24"/>
      <w:szCs w:val="22"/>
    </w:rPr>
  </w:style>
  <w:style w:type="character" w:customStyle="1" w:styleId="Charf3">
    <w:name w:val="兴业银行议案 Char"/>
    <w:basedOn w:val="Charf0"/>
    <w:link w:val="aff4"/>
    <w:rsid w:val="00092652"/>
    <w:rPr>
      <w:rFonts w:hAnsi="宋体"/>
      <w:b/>
      <w:kern w:val="2"/>
      <w:sz w:val="24"/>
      <w:szCs w:val="24"/>
    </w:rPr>
  </w:style>
  <w:style w:type="paragraph" w:customStyle="1" w:styleId="aff4">
    <w:name w:val="兴业银行议案"/>
    <w:basedOn w:val="aff2"/>
    <w:link w:val="Charf3"/>
    <w:qFormat/>
    <w:rsid w:val="00092652"/>
  </w:style>
  <w:style w:type="character" w:customStyle="1" w:styleId="CharChar">
    <w:name w:val="Char Char"/>
    <w:rsid w:val="00092652"/>
    <w:rPr>
      <w:rFonts w:eastAsia="宋体" w:cs="Times New Roman"/>
      <w:kern w:val="2"/>
      <w:sz w:val="18"/>
      <w:szCs w:val="18"/>
      <w:lang w:val="en-US" w:eastAsia="zh-CN" w:bidi="ar-SA"/>
    </w:rPr>
  </w:style>
  <w:style w:type="character" w:customStyle="1" w:styleId="Char2">
    <w:name w:val="称呼 Char"/>
    <w:link w:val="a9"/>
    <w:uiPriority w:val="99"/>
    <w:rsid w:val="00092652"/>
    <w:rPr>
      <w:kern w:val="2"/>
      <w:sz w:val="21"/>
      <w:szCs w:val="21"/>
    </w:rPr>
  </w:style>
  <w:style w:type="character" w:customStyle="1" w:styleId="4Char1">
    <w:name w:val="标题 4 Char1"/>
    <w:uiPriority w:val="9"/>
    <w:semiHidden/>
    <w:rsid w:val="00092652"/>
    <w:rPr>
      <w:rFonts w:ascii="Cambria" w:eastAsia="宋体" w:hAnsi="Cambria" w:cs="Times New Roman"/>
      <w:b/>
      <w:bCs/>
      <w:kern w:val="2"/>
      <w:sz w:val="28"/>
      <w:szCs w:val="28"/>
    </w:rPr>
  </w:style>
  <w:style w:type="character" w:customStyle="1" w:styleId="-Char">
    <w:name w:val="季报-正文 Char"/>
    <w:link w:val="-"/>
    <w:uiPriority w:val="99"/>
    <w:locked/>
    <w:rsid w:val="00092652"/>
    <w:rPr>
      <w:rFonts w:ascii="仿宋_GB2312" w:eastAsia="仿宋_GB2312" w:hAnsi="Arial" w:cs="Arial"/>
      <w:kern w:val="2"/>
      <w:sz w:val="24"/>
      <w:szCs w:val="24"/>
    </w:rPr>
  </w:style>
  <w:style w:type="paragraph" w:customStyle="1" w:styleId="-">
    <w:name w:val="季报-正文"/>
    <w:basedOn w:val="a0"/>
    <w:link w:val="-Char"/>
    <w:uiPriority w:val="99"/>
    <w:qFormat/>
    <w:rsid w:val="00092652"/>
    <w:pPr>
      <w:adjustRightInd w:val="0"/>
      <w:snapToGrid w:val="0"/>
      <w:spacing w:line="500" w:lineRule="exact"/>
      <w:ind w:firstLineChars="200" w:firstLine="482"/>
    </w:pPr>
    <w:rPr>
      <w:rFonts w:ascii="仿宋_GB2312" w:eastAsia="仿宋_GB2312" w:hAnsi="Arial" w:cs="Arial"/>
      <w:sz w:val="24"/>
      <w:szCs w:val="24"/>
    </w:rPr>
  </w:style>
  <w:style w:type="character" w:customStyle="1" w:styleId="2Char1">
    <w:name w:val="正文文本 2 Char"/>
    <w:link w:val="23"/>
    <w:rsid w:val="00092652"/>
    <w:rPr>
      <w:kern w:val="2"/>
      <w:sz w:val="21"/>
      <w:szCs w:val="24"/>
    </w:rPr>
  </w:style>
  <w:style w:type="character" w:customStyle="1" w:styleId="Char">
    <w:name w:val="注释标题 Char"/>
    <w:link w:val="a4"/>
    <w:uiPriority w:val="99"/>
    <w:rsid w:val="00092652"/>
    <w:rPr>
      <w:kern w:val="2"/>
      <w:sz w:val="21"/>
      <w:szCs w:val="21"/>
    </w:rPr>
  </w:style>
  <w:style w:type="character" w:customStyle="1" w:styleId="Charf4">
    <w:name w:val="副标题 Char"/>
    <w:link w:val="14"/>
    <w:rsid w:val="00092652"/>
    <w:rPr>
      <w:rFonts w:eastAsia="黑体"/>
      <w:bCs/>
      <w:color w:val="92D400"/>
      <w:sz w:val="72"/>
      <w:szCs w:val="28"/>
    </w:rPr>
  </w:style>
  <w:style w:type="paragraph" w:customStyle="1" w:styleId="14">
    <w:name w:val="副标题1"/>
    <w:basedOn w:val="af6"/>
    <w:next w:val="a0"/>
    <w:link w:val="Charf4"/>
    <w:qFormat/>
    <w:rsid w:val="00092652"/>
    <w:rPr>
      <w:rFonts w:ascii="Times New Roman" w:eastAsia="黑体" w:hAnsi="Times New Roman"/>
      <w:b w:val="0"/>
      <w:color w:val="92D400"/>
      <w:kern w:val="0"/>
      <w:sz w:val="72"/>
      <w:szCs w:val="28"/>
    </w:rPr>
  </w:style>
  <w:style w:type="character" w:customStyle="1" w:styleId="Char10">
    <w:name w:val="副标题 Char1"/>
    <w:link w:val="af2"/>
    <w:uiPriority w:val="11"/>
    <w:rsid w:val="00092652"/>
    <w:rPr>
      <w:rFonts w:ascii="Cambria" w:hAnsi="Cambria"/>
      <w:b/>
      <w:bCs/>
      <w:kern w:val="28"/>
      <w:sz w:val="32"/>
      <w:szCs w:val="32"/>
    </w:rPr>
  </w:style>
  <w:style w:type="character" w:customStyle="1" w:styleId="6Char1">
    <w:name w:val="标题 6 Char1"/>
    <w:uiPriority w:val="9"/>
    <w:semiHidden/>
    <w:rsid w:val="00092652"/>
    <w:rPr>
      <w:rFonts w:ascii="Cambria" w:eastAsia="宋体" w:hAnsi="Cambria" w:cs="Times New Roman"/>
      <w:b/>
      <w:bCs/>
      <w:kern w:val="2"/>
      <w:sz w:val="24"/>
      <w:szCs w:val="24"/>
    </w:rPr>
  </w:style>
  <w:style w:type="character" w:customStyle="1" w:styleId="Char1b">
    <w:name w:val="引用 Char1"/>
    <w:link w:val="aff3"/>
    <w:uiPriority w:val="29"/>
    <w:qFormat/>
    <w:rsid w:val="00092652"/>
    <w:rPr>
      <w:i/>
      <w:iCs/>
      <w:color w:val="000000"/>
      <w:kern w:val="2"/>
      <w:sz w:val="21"/>
    </w:rPr>
  </w:style>
  <w:style w:type="character" w:customStyle="1" w:styleId="Charf5">
    <w:name w:val="核销报告 Char"/>
    <w:link w:val="aff5"/>
    <w:uiPriority w:val="99"/>
    <w:qFormat/>
    <w:rsid w:val="00092652"/>
    <w:rPr>
      <w:rFonts w:ascii="仿宋_GB2312" w:eastAsia="仿宋_GB2312"/>
      <w:sz w:val="28"/>
      <w:szCs w:val="28"/>
    </w:rPr>
  </w:style>
  <w:style w:type="paragraph" w:customStyle="1" w:styleId="aff5">
    <w:name w:val="核销报告"/>
    <w:basedOn w:val="a0"/>
    <w:link w:val="Charf5"/>
    <w:uiPriority w:val="99"/>
    <w:qFormat/>
    <w:rsid w:val="00092652"/>
    <w:pPr>
      <w:spacing w:line="500" w:lineRule="exact"/>
      <w:ind w:firstLineChars="200" w:firstLine="560"/>
    </w:pPr>
    <w:rPr>
      <w:rFonts w:ascii="仿宋_GB2312" w:eastAsia="仿宋_GB2312"/>
      <w:kern w:val="0"/>
      <w:sz w:val="28"/>
      <w:szCs w:val="28"/>
    </w:rPr>
  </w:style>
  <w:style w:type="character" w:customStyle="1" w:styleId="CharChar2">
    <w:name w:val="Char Char2"/>
    <w:qFormat/>
    <w:rsid w:val="00092652"/>
    <w:rPr>
      <w:rFonts w:eastAsia="宋体" w:cs="Times New Roman"/>
      <w:kern w:val="2"/>
      <w:sz w:val="18"/>
      <w:szCs w:val="18"/>
      <w:lang w:val="en-US" w:eastAsia="zh-CN" w:bidi="ar-SA"/>
    </w:rPr>
  </w:style>
  <w:style w:type="character" w:customStyle="1" w:styleId="aff6">
    <w:name w:val="一级标题"/>
    <w:rsid w:val="00092652"/>
    <w:rPr>
      <w:rFonts w:ascii="仿宋_GB2312" w:eastAsia="仿宋_GB2312" w:hAnsi="仿宋_GB2312" w:cs="Times New Roman"/>
      <w:kern w:val="0"/>
      <w:sz w:val="28"/>
    </w:rPr>
  </w:style>
  <w:style w:type="character" w:customStyle="1" w:styleId="Charf6">
    <w:name w:val="明显引用 Char"/>
    <w:link w:val="15"/>
    <w:uiPriority w:val="30"/>
    <w:qFormat/>
    <w:rsid w:val="00092652"/>
    <w:rPr>
      <w:rFonts w:eastAsia="黑体"/>
      <w:bCs/>
      <w:color w:val="3C8A2E"/>
      <w:sz w:val="32"/>
      <w:szCs w:val="28"/>
    </w:rPr>
  </w:style>
  <w:style w:type="paragraph" w:customStyle="1" w:styleId="15">
    <w:name w:val="明显引用1"/>
    <w:basedOn w:val="aff3"/>
    <w:next w:val="aff1"/>
    <w:link w:val="Charf6"/>
    <w:uiPriority w:val="30"/>
    <w:qFormat/>
    <w:rsid w:val="00092652"/>
    <w:rPr>
      <w:rFonts w:eastAsia="黑体"/>
      <w:bCs/>
      <w:i w:val="0"/>
      <w:iCs w:val="0"/>
      <w:color w:val="3C8A2E"/>
      <w:kern w:val="0"/>
      <w:sz w:val="32"/>
      <w:szCs w:val="28"/>
    </w:rPr>
  </w:style>
  <w:style w:type="character" w:customStyle="1" w:styleId="HTMLChar">
    <w:name w:val="HTML 预设格式 Char"/>
    <w:link w:val="HTML"/>
    <w:uiPriority w:val="99"/>
    <w:rsid w:val="00092652"/>
    <w:rPr>
      <w:rFonts w:ascii="宋体" w:hAnsi="宋体" w:cs="宋体"/>
      <w:sz w:val="24"/>
      <w:szCs w:val="24"/>
    </w:rPr>
  </w:style>
  <w:style w:type="character" w:customStyle="1" w:styleId="1Char0">
    <w:name w:val="样式1 Char"/>
    <w:link w:val="16"/>
    <w:qFormat/>
    <w:rsid w:val="00092652"/>
    <w:rPr>
      <w:rFonts w:eastAsia="仿宋_GB2312"/>
      <w:kern w:val="2"/>
      <w:sz w:val="30"/>
      <w:szCs w:val="24"/>
    </w:rPr>
  </w:style>
  <w:style w:type="paragraph" w:customStyle="1" w:styleId="16">
    <w:name w:val="样式1"/>
    <w:basedOn w:val="a0"/>
    <w:link w:val="1Char0"/>
    <w:qFormat/>
    <w:rsid w:val="00092652"/>
    <w:rPr>
      <w:rFonts w:eastAsia="仿宋_GB2312"/>
      <w:sz w:val="30"/>
      <w:szCs w:val="24"/>
    </w:rPr>
  </w:style>
  <w:style w:type="character" w:customStyle="1" w:styleId="Char1c">
    <w:name w:val="称呼 Char1"/>
    <w:basedOn w:val="a1"/>
    <w:uiPriority w:val="99"/>
    <w:semiHidden/>
    <w:qFormat/>
    <w:rsid w:val="00092652"/>
    <w:rPr>
      <w:kern w:val="2"/>
      <w:sz w:val="21"/>
    </w:rPr>
  </w:style>
  <w:style w:type="character" w:customStyle="1" w:styleId="Char1d">
    <w:name w:val="文档结构图 Char1"/>
    <w:basedOn w:val="a1"/>
    <w:uiPriority w:val="99"/>
    <w:semiHidden/>
    <w:qFormat/>
    <w:rsid w:val="00092652"/>
    <w:rPr>
      <w:rFonts w:ascii="宋体"/>
      <w:kern w:val="2"/>
      <w:sz w:val="18"/>
      <w:szCs w:val="18"/>
    </w:rPr>
  </w:style>
  <w:style w:type="character" w:customStyle="1" w:styleId="Char1e">
    <w:name w:val="注释标题 Char1"/>
    <w:basedOn w:val="a1"/>
    <w:uiPriority w:val="99"/>
    <w:semiHidden/>
    <w:qFormat/>
    <w:rsid w:val="00092652"/>
    <w:rPr>
      <w:kern w:val="2"/>
      <w:sz w:val="21"/>
    </w:rPr>
  </w:style>
  <w:style w:type="character" w:customStyle="1" w:styleId="HTMLChar1">
    <w:name w:val="HTML 预设格式 Char1"/>
    <w:basedOn w:val="a1"/>
    <w:uiPriority w:val="99"/>
    <w:semiHidden/>
    <w:qFormat/>
    <w:rsid w:val="00092652"/>
    <w:rPr>
      <w:rFonts w:ascii="Courier New" w:hAnsi="Courier New" w:cs="Courier New"/>
      <w:kern w:val="2"/>
    </w:rPr>
  </w:style>
  <w:style w:type="paragraph" w:customStyle="1" w:styleId="aff7">
    <w:name w:val="普通段落"/>
    <w:basedOn w:val="a0"/>
    <w:qFormat/>
    <w:rsid w:val="00092652"/>
    <w:pPr>
      <w:spacing w:line="312" w:lineRule="auto"/>
      <w:ind w:firstLineChars="200" w:firstLine="200"/>
    </w:pPr>
    <w:rPr>
      <w:rFonts w:ascii="Calibri" w:eastAsia="华文楷体" w:hAnsi="Calibri"/>
      <w:sz w:val="24"/>
      <w:szCs w:val="22"/>
    </w:rPr>
  </w:style>
  <w:style w:type="character" w:customStyle="1" w:styleId="2Char11">
    <w:name w:val="正文文本 2 Char1"/>
    <w:basedOn w:val="a1"/>
    <w:uiPriority w:val="99"/>
    <w:semiHidden/>
    <w:qFormat/>
    <w:rsid w:val="00092652"/>
    <w:rPr>
      <w:kern w:val="2"/>
      <w:sz w:val="21"/>
    </w:rPr>
  </w:style>
  <w:style w:type="paragraph" w:customStyle="1" w:styleId="font7">
    <w:name w:val="font7"/>
    <w:basedOn w:val="a0"/>
    <w:rsid w:val="00092652"/>
    <w:pPr>
      <w:widowControl/>
      <w:spacing w:before="100" w:beforeAutospacing="1" w:after="100" w:afterAutospacing="1"/>
      <w:jc w:val="left"/>
    </w:pPr>
    <w:rPr>
      <w:rFonts w:ascii="宋体" w:hAnsi="宋体" w:cs="宋体"/>
      <w:kern w:val="0"/>
      <w:sz w:val="18"/>
      <w:szCs w:val="18"/>
    </w:rPr>
  </w:style>
  <w:style w:type="paragraph" w:customStyle="1" w:styleId="Style8">
    <w:name w:val="Style8"/>
    <w:basedOn w:val="a0"/>
    <w:qFormat/>
    <w:rsid w:val="00092652"/>
    <w:pPr>
      <w:widowControl/>
      <w:numPr>
        <w:numId w:val="1"/>
      </w:numPr>
      <w:spacing w:after="120" w:line="312" w:lineRule="auto"/>
      <w:jc w:val="left"/>
    </w:pPr>
    <w:rPr>
      <w:rFonts w:ascii="Calibri" w:eastAsia="华文楷体" w:hAnsi="Calibri"/>
      <w:kern w:val="0"/>
      <w:sz w:val="24"/>
    </w:rPr>
  </w:style>
  <w:style w:type="character" w:customStyle="1" w:styleId="Char20">
    <w:name w:val="副标题 Char2"/>
    <w:basedOn w:val="a1"/>
    <w:uiPriority w:val="11"/>
    <w:qFormat/>
    <w:rsid w:val="00092652"/>
    <w:rPr>
      <w:rFonts w:asciiTheme="majorHAnsi" w:hAnsiTheme="majorHAnsi" w:cstheme="majorBidi"/>
      <w:b/>
      <w:bCs/>
      <w:kern w:val="28"/>
      <w:sz w:val="32"/>
      <w:szCs w:val="32"/>
    </w:rPr>
  </w:style>
  <w:style w:type="paragraph" w:customStyle="1" w:styleId="TOC1">
    <w:name w:val="TOC 标题1"/>
    <w:basedOn w:val="1"/>
    <w:next w:val="a0"/>
    <w:uiPriority w:val="39"/>
    <w:unhideWhenUsed/>
    <w:qFormat/>
    <w:rsid w:val="00092652"/>
    <w:pPr>
      <w:widowControl/>
      <w:tabs>
        <w:tab w:val="clear" w:pos="432"/>
      </w:tabs>
      <w:spacing w:before="240" w:after="1200" w:line="240" w:lineRule="auto"/>
      <w:ind w:left="0" w:firstLine="0"/>
      <w:contextualSpacing/>
      <w:jc w:val="left"/>
      <w:outlineLvl w:val="9"/>
    </w:pPr>
    <w:rPr>
      <w:rFonts w:ascii="Times New Roman"/>
      <w:bCs/>
      <w:color w:val="00A1DE"/>
      <w:kern w:val="0"/>
      <w:sz w:val="60"/>
      <w:szCs w:val="28"/>
      <w:lang w:val="en-GB"/>
    </w:rPr>
  </w:style>
  <w:style w:type="paragraph" w:customStyle="1" w:styleId="xl69">
    <w:name w:val="xl69"/>
    <w:basedOn w:val="a0"/>
    <w:qFormat/>
    <w:rsid w:val="000926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64">
    <w:name w:val="xl64"/>
    <w:basedOn w:val="a0"/>
    <w:qFormat/>
    <w:rsid w:val="000926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91">
    <w:name w:val="标题 91"/>
    <w:next w:val="a0"/>
    <w:uiPriority w:val="9"/>
    <w:unhideWhenUsed/>
    <w:qFormat/>
    <w:rsid w:val="00092652"/>
    <w:pPr>
      <w:spacing w:before="240" w:after="120"/>
      <w:contextualSpacing/>
      <w:outlineLvl w:val="8"/>
    </w:pPr>
    <w:rPr>
      <w:rFonts w:ascii="Arial" w:eastAsia="黑体" w:hAnsi="Arial"/>
      <w:bCs/>
      <w:i/>
      <w:sz w:val="24"/>
      <w:szCs w:val="28"/>
      <w:lang w:val="en-GB"/>
    </w:rPr>
  </w:style>
  <w:style w:type="paragraph" w:customStyle="1" w:styleId="10025">
    <w:name w:val="样式 标题 1 + 新宋体 小四 非加粗 段前: 0 磅 段后: 0 磅 行距: 固定值 25 磅"/>
    <w:basedOn w:val="1"/>
    <w:qFormat/>
    <w:rsid w:val="00092652"/>
    <w:pPr>
      <w:tabs>
        <w:tab w:val="clear" w:pos="432"/>
      </w:tabs>
      <w:spacing w:before="0" w:after="0" w:line="500" w:lineRule="exact"/>
      <w:ind w:left="0" w:firstLine="0"/>
      <w:jc w:val="both"/>
    </w:pPr>
    <w:rPr>
      <w:rFonts w:ascii="新宋体" w:eastAsia="新宋体" w:hAnsi="新宋体" w:cs="宋体"/>
      <w:b/>
      <w:sz w:val="24"/>
    </w:rPr>
  </w:style>
  <w:style w:type="paragraph" w:customStyle="1" w:styleId="41">
    <w:name w:val="标题 41"/>
    <w:next w:val="a0"/>
    <w:uiPriority w:val="9"/>
    <w:unhideWhenUsed/>
    <w:qFormat/>
    <w:rsid w:val="00092652"/>
    <w:pPr>
      <w:spacing w:before="240" w:after="120"/>
      <w:contextualSpacing/>
      <w:outlineLvl w:val="3"/>
    </w:pPr>
    <w:rPr>
      <w:rFonts w:ascii="Arial" w:eastAsia="黑体" w:hAnsi="Arial"/>
      <w:b/>
      <w:bCs/>
      <w:color w:val="00A1DE"/>
      <w:sz w:val="24"/>
      <w:szCs w:val="28"/>
      <w:lang w:val="en-GB"/>
    </w:rPr>
  </w:style>
  <w:style w:type="paragraph" w:customStyle="1" w:styleId="xl63">
    <w:name w:val="xl63"/>
    <w:basedOn w:val="a0"/>
    <w:qFormat/>
    <w:rsid w:val="000926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rPr>
  </w:style>
  <w:style w:type="paragraph" w:customStyle="1" w:styleId="220">
    <w:name w:val="样式 样式 内容 + 首行缩进:  2 字符 + 首行缩进:  2 字符"/>
    <w:basedOn w:val="a0"/>
    <w:rsid w:val="00092652"/>
    <w:pPr>
      <w:widowControl/>
      <w:spacing w:line="290" w:lineRule="exact"/>
    </w:pPr>
    <w:rPr>
      <w:rFonts w:ascii="Arial" w:hAnsi="Arial"/>
      <w:color w:val="000000"/>
      <w:sz w:val="24"/>
      <w:szCs w:val="24"/>
    </w:rPr>
  </w:style>
  <w:style w:type="paragraph" w:customStyle="1" w:styleId="xl70">
    <w:name w:val="xl70"/>
    <w:basedOn w:val="a0"/>
    <w:qFormat/>
    <w:rsid w:val="00092652"/>
    <w:pPr>
      <w:widowControl/>
      <w:pBdr>
        <w:bottom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65">
    <w:name w:val="xl65"/>
    <w:basedOn w:val="a0"/>
    <w:qFormat/>
    <w:rsid w:val="000926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font6">
    <w:name w:val="font6"/>
    <w:basedOn w:val="a0"/>
    <w:rsid w:val="00092652"/>
    <w:pPr>
      <w:widowControl/>
      <w:spacing w:before="100" w:beforeAutospacing="1" w:after="100" w:afterAutospacing="1"/>
      <w:jc w:val="left"/>
    </w:pPr>
    <w:rPr>
      <w:rFonts w:ascii="宋体" w:hAnsi="宋体" w:cs="宋体"/>
      <w:kern w:val="0"/>
      <w:sz w:val="18"/>
      <w:szCs w:val="18"/>
    </w:rPr>
  </w:style>
  <w:style w:type="paragraph" w:customStyle="1" w:styleId="aff8">
    <w:name w:val="a. 段落"/>
    <w:basedOn w:val="a0"/>
    <w:qFormat/>
    <w:rsid w:val="00092652"/>
    <w:pPr>
      <w:widowControl/>
      <w:spacing w:after="120"/>
      <w:ind w:firstLineChars="200" w:firstLine="200"/>
      <w:jc w:val="left"/>
    </w:pPr>
    <w:rPr>
      <w:rFonts w:ascii="Calibri" w:eastAsia="华文楷体" w:hAnsi="Calibri"/>
      <w:kern w:val="0"/>
      <w:sz w:val="24"/>
    </w:rPr>
  </w:style>
  <w:style w:type="paragraph" w:customStyle="1" w:styleId="p0">
    <w:name w:val="p0"/>
    <w:basedOn w:val="a0"/>
    <w:uiPriority w:val="99"/>
    <w:rsid w:val="00092652"/>
    <w:pPr>
      <w:widowControl/>
    </w:pPr>
    <w:rPr>
      <w:kern w:val="0"/>
      <w:szCs w:val="21"/>
    </w:rPr>
  </w:style>
  <w:style w:type="paragraph" w:customStyle="1" w:styleId="xl68">
    <w:name w:val="xl68"/>
    <w:basedOn w:val="a0"/>
    <w:qFormat/>
    <w:rsid w:val="000926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67">
    <w:name w:val="xl67"/>
    <w:basedOn w:val="a0"/>
    <w:qFormat/>
    <w:rsid w:val="000926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75">
    <w:name w:val="xl75"/>
    <w:basedOn w:val="a0"/>
    <w:rsid w:val="00092652"/>
    <w:pPr>
      <w:widowControl/>
      <w:spacing w:before="100" w:beforeAutospacing="1" w:after="100" w:afterAutospacing="1"/>
      <w:jc w:val="right"/>
      <w:textAlignment w:val="center"/>
    </w:pPr>
    <w:rPr>
      <w:rFonts w:ascii="宋体" w:hAnsi="宋体" w:cs="宋体"/>
      <w:kern w:val="0"/>
      <w:sz w:val="24"/>
      <w:szCs w:val="24"/>
    </w:rPr>
  </w:style>
  <w:style w:type="paragraph" w:customStyle="1" w:styleId="xl71">
    <w:name w:val="xl71"/>
    <w:basedOn w:val="a0"/>
    <w:rsid w:val="000926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color w:val="000000"/>
      <w:kern w:val="0"/>
      <w:sz w:val="20"/>
    </w:rPr>
  </w:style>
  <w:style w:type="paragraph" w:customStyle="1" w:styleId="aff9">
    <w:name w:val="二级标题"/>
    <w:basedOn w:val="a0"/>
    <w:qFormat/>
    <w:rsid w:val="00092652"/>
    <w:pPr>
      <w:jc w:val="left"/>
    </w:pPr>
    <w:rPr>
      <w:rFonts w:ascii="宋体" w:eastAsia="仿宋_GB2312" w:hAnsi="宋体" w:cs="宋体"/>
      <w:b/>
      <w:bCs/>
      <w:kern w:val="0"/>
      <w:sz w:val="22"/>
    </w:rPr>
  </w:style>
  <w:style w:type="paragraph" w:customStyle="1" w:styleId="affa">
    <w:name w:val="箭头"/>
    <w:basedOn w:val="aff7"/>
    <w:qFormat/>
    <w:rsid w:val="00092652"/>
    <w:pPr>
      <w:spacing w:before="120" w:after="120"/>
      <w:ind w:left="3120" w:firstLineChars="0" w:firstLine="0"/>
    </w:pPr>
  </w:style>
  <w:style w:type="paragraph" w:customStyle="1" w:styleId="xl66">
    <w:name w:val="xl66"/>
    <w:basedOn w:val="a0"/>
    <w:qFormat/>
    <w:rsid w:val="00092652"/>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0"/>
    <w:rsid w:val="00092652"/>
    <w:pPr>
      <w:widowControl/>
      <w:spacing w:before="100" w:beforeAutospacing="1" w:after="100" w:afterAutospacing="1"/>
      <w:jc w:val="left"/>
    </w:pPr>
    <w:rPr>
      <w:rFonts w:ascii="宋体" w:hAnsi="宋体" w:cs="宋体"/>
      <w:kern w:val="0"/>
      <w:sz w:val="18"/>
      <w:szCs w:val="18"/>
    </w:rPr>
  </w:style>
  <w:style w:type="paragraph" w:customStyle="1" w:styleId="Style1">
    <w:name w:val="Style1"/>
    <w:basedOn w:val="a0"/>
    <w:qFormat/>
    <w:rsid w:val="00092652"/>
    <w:pPr>
      <w:ind w:firstLineChars="200" w:firstLine="200"/>
    </w:pPr>
    <w:rPr>
      <w:rFonts w:ascii="黑体" w:eastAsia="黑体" w:hAnsi="黑体"/>
      <w:sz w:val="24"/>
      <w:szCs w:val="28"/>
    </w:rPr>
  </w:style>
  <w:style w:type="paragraph" w:styleId="a">
    <w:name w:val="List Paragraph"/>
    <w:basedOn w:val="a0"/>
    <w:uiPriority w:val="99"/>
    <w:qFormat/>
    <w:rsid w:val="00092652"/>
    <w:pPr>
      <w:numPr>
        <w:numId w:val="2"/>
      </w:numPr>
      <w:adjustRightInd w:val="0"/>
      <w:snapToGrid w:val="0"/>
      <w:spacing w:line="500" w:lineRule="exact"/>
    </w:pPr>
    <w:rPr>
      <w:rFonts w:ascii="Calibri" w:hAnsi="Calibri"/>
      <w:sz w:val="24"/>
      <w:szCs w:val="22"/>
    </w:rPr>
  </w:style>
  <w:style w:type="paragraph" w:customStyle="1" w:styleId="Char21">
    <w:name w:val="Char2"/>
    <w:basedOn w:val="a0"/>
    <w:qFormat/>
    <w:rsid w:val="00092652"/>
    <w:rPr>
      <w:rFonts w:ascii="Arial" w:hAnsi="Arial" w:cs="Arial"/>
      <w:sz w:val="20"/>
    </w:rPr>
  </w:style>
  <w:style w:type="paragraph" w:customStyle="1" w:styleId="xl74">
    <w:name w:val="xl74"/>
    <w:basedOn w:val="a0"/>
    <w:rsid w:val="00092652"/>
    <w:pPr>
      <w:widowControl/>
      <w:pBdr>
        <w:bottom w:val="single" w:sz="4" w:space="0" w:color="auto"/>
      </w:pBdr>
      <w:spacing w:before="100" w:beforeAutospacing="1" w:after="100" w:afterAutospacing="1"/>
      <w:jc w:val="left"/>
    </w:pPr>
    <w:rPr>
      <w:rFonts w:ascii="宋体" w:hAnsi="宋体" w:cs="宋体"/>
      <w:b/>
      <w:bCs/>
      <w:kern w:val="0"/>
      <w:sz w:val="24"/>
      <w:szCs w:val="24"/>
    </w:rPr>
  </w:style>
  <w:style w:type="paragraph" w:customStyle="1" w:styleId="25">
    <w:name w:val="列出段落2"/>
    <w:basedOn w:val="a0"/>
    <w:uiPriority w:val="34"/>
    <w:qFormat/>
    <w:rsid w:val="00092652"/>
    <w:pPr>
      <w:ind w:firstLineChars="200" w:firstLine="420"/>
    </w:pPr>
    <w:rPr>
      <w:rFonts w:ascii="Calibri" w:hAnsi="Calibri"/>
      <w:szCs w:val="22"/>
    </w:rPr>
  </w:style>
  <w:style w:type="paragraph" w:customStyle="1" w:styleId="font1">
    <w:name w:val="font1"/>
    <w:basedOn w:val="a0"/>
    <w:qFormat/>
    <w:rsid w:val="00092652"/>
    <w:pPr>
      <w:widowControl/>
      <w:spacing w:before="100" w:beforeAutospacing="1" w:after="100" w:afterAutospacing="1"/>
      <w:jc w:val="left"/>
    </w:pPr>
    <w:rPr>
      <w:rFonts w:ascii="宋体" w:hAnsi="宋体" w:cs="宋体"/>
      <w:kern w:val="0"/>
      <w:sz w:val="24"/>
      <w:szCs w:val="24"/>
    </w:rPr>
  </w:style>
  <w:style w:type="paragraph" w:customStyle="1" w:styleId="51">
    <w:name w:val="标题 51"/>
    <w:next w:val="a0"/>
    <w:uiPriority w:val="9"/>
    <w:unhideWhenUsed/>
    <w:qFormat/>
    <w:rsid w:val="00092652"/>
    <w:pPr>
      <w:spacing w:before="240" w:after="120"/>
      <w:contextualSpacing/>
      <w:outlineLvl w:val="4"/>
    </w:pPr>
    <w:rPr>
      <w:rFonts w:ascii="Arial" w:eastAsia="黑体" w:hAnsi="Arial"/>
      <w:b/>
      <w:bCs/>
      <w:color w:val="92D400"/>
      <w:sz w:val="24"/>
      <w:szCs w:val="28"/>
      <w:lang w:val="en-GB"/>
    </w:rPr>
  </w:style>
  <w:style w:type="paragraph" w:customStyle="1" w:styleId="61">
    <w:name w:val="标题 61"/>
    <w:next w:val="a0"/>
    <w:uiPriority w:val="9"/>
    <w:unhideWhenUsed/>
    <w:qFormat/>
    <w:rsid w:val="00092652"/>
    <w:pPr>
      <w:spacing w:before="240" w:after="120"/>
      <w:contextualSpacing/>
      <w:outlineLvl w:val="5"/>
    </w:pPr>
    <w:rPr>
      <w:rFonts w:ascii="Arial" w:eastAsia="黑体" w:hAnsi="Arial"/>
      <w:b/>
      <w:bCs/>
      <w:color w:val="72C7E7"/>
      <w:sz w:val="24"/>
      <w:szCs w:val="28"/>
      <w:lang w:val="en-GB"/>
    </w:rPr>
  </w:style>
  <w:style w:type="paragraph" w:customStyle="1" w:styleId="font8">
    <w:name w:val="font8"/>
    <w:basedOn w:val="a0"/>
    <w:qFormat/>
    <w:rsid w:val="00092652"/>
    <w:pPr>
      <w:widowControl/>
      <w:spacing w:before="100" w:beforeAutospacing="1" w:after="100" w:afterAutospacing="1"/>
      <w:jc w:val="left"/>
    </w:pPr>
    <w:rPr>
      <w:rFonts w:ascii="宋体" w:hAnsi="宋体" w:cs="宋体"/>
      <w:kern w:val="0"/>
      <w:sz w:val="24"/>
      <w:szCs w:val="24"/>
    </w:rPr>
  </w:style>
  <w:style w:type="paragraph" w:customStyle="1" w:styleId="71">
    <w:name w:val="标题 71"/>
    <w:next w:val="a0"/>
    <w:uiPriority w:val="9"/>
    <w:unhideWhenUsed/>
    <w:qFormat/>
    <w:rsid w:val="00092652"/>
    <w:pPr>
      <w:spacing w:before="240" w:after="120"/>
      <w:contextualSpacing/>
      <w:outlineLvl w:val="6"/>
    </w:pPr>
    <w:rPr>
      <w:rFonts w:ascii="Arial" w:eastAsia="黑体" w:hAnsi="Arial"/>
      <w:b/>
      <w:bCs/>
      <w:color w:val="C9DD03"/>
      <w:sz w:val="24"/>
      <w:szCs w:val="28"/>
      <w:lang w:val="en-GB"/>
    </w:rPr>
  </w:style>
  <w:style w:type="paragraph" w:customStyle="1" w:styleId="font9">
    <w:name w:val="font9"/>
    <w:basedOn w:val="a0"/>
    <w:rsid w:val="00092652"/>
    <w:pPr>
      <w:widowControl/>
      <w:spacing w:before="100" w:beforeAutospacing="1" w:after="100" w:afterAutospacing="1"/>
      <w:jc w:val="left"/>
    </w:pPr>
    <w:rPr>
      <w:rFonts w:ascii="宋体" w:hAnsi="宋体" w:cs="宋体"/>
      <w:b/>
      <w:bCs/>
      <w:kern w:val="0"/>
      <w:sz w:val="24"/>
      <w:szCs w:val="24"/>
    </w:rPr>
  </w:style>
  <w:style w:type="paragraph" w:customStyle="1" w:styleId="81">
    <w:name w:val="标题 81"/>
    <w:next w:val="a0"/>
    <w:uiPriority w:val="9"/>
    <w:unhideWhenUsed/>
    <w:qFormat/>
    <w:rsid w:val="00092652"/>
    <w:pPr>
      <w:spacing w:before="240" w:after="120"/>
      <w:contextualSpacing/>
      <w:outlineLvl w:val="7"/>
    </w:pPr>
    <w:rPr>
      <w:rFonts w:ascii="Arial" w:eastAsia="黑体" w:hAnsi="Arial"/>
      <w:b/>
      <w:bCs/>
      <w:i/>
      <w:sz w:val="24"/>
      <w:szCs w:val="28"/>
      <w:lang w:val="en-GB"/>
    </w:rPr>
  </w:style>
  <w:style w:type="paragraph" w:customStyle="1" w:styleId="17">
    <w:name w:val="标题1"/>
    <w:next w:val="af2"/>
    <w:uiPriority w:val="10"/>
    <w:qFormat/>
    <w:rsid w:val="00092652"/>
    <w:pPr>
      <w:framePr w:wrap="notBeside" w:vAnchor="text" w:hAnchor="text" w:y="1"/>
      <w:spacing w:before="1200" w:after="240"/>
      <w:contextualSpacing/>
    </w:pPr>
    <w:rPr>
      <w:rFonts w:eastAsia="黑体"/>
      <w:bCs/>
      <w:color w:val="002776"/>
      <w:sz w:val="72"/>
      <w:szCs w:val="28"/>
      <w:lang w:val="en-GB"/>
    </w:rPr>
  </w:style>
  <w:style w:type="character" w:customStyle="1" w:styleId="Char22">
    <w:name w:val="引用 Char2"/>
    <w:basedOn w:val="a1"/>
    <w:uiPriority w:val="29"/>
    <w:qFormat/>
    <w:rsid w:val="00092652"/>
    <w:rPr>
      <w:i/>
      <w:iCs/>
      <w:color w:val="000000" w:themeColor="text1"/>
      <w:kern w:val="2"/>
      <w:sz w:val="21"/>
    </w:rPr>
  </w:style>
  <w:style w:type="paragraph" w:customStyle="1" w:styleId="d">
    <w:name w:val="d. 斜杠"/>
    <w:basedOn w:val="a0"/>
    <w:qFormat/>
    <w:rsid w:val="00092652"/>
    <w:pPr>
      <w:widowControl/>
      <w:tabs>
        <w:tab w:val="left" w:pos="839"/>
      </w:tabs>
      <w:spacing w:after="120"/>
      <w:ind w:left="839" w:hanging="359"/>
      <w:contextualSpacing/>
      <w:jc w:val="left"/>
    </w:pPr>
    <w:rPr>
      <w:rFonts w:ascii="Calibri" w:eastAsia="华文楷体" w:hAnsi="Calibri"/>
      <w:kern w:val="0"/>
      <w:sz w:val="24"/>
    </w:rPr>
  </w:style>
  <w:style w:type="character" w:customStyle="1" w:styleId="Char23">
    <w:name w:val="明显引用 Char2"/>
    <w:basedOn w:val="a1"/>
    <w:uiPriority w:val="30"/>
    <w:qFormat/>
    <w:rsid w:val="00092652"/>
    <w:rPr>
      <w:b/>
      <w:bCs/>
      <w:i/>
      <w:iCs/>
      <w:color w:val="4F81BD" w:themeColor="accent1"/>
      <w:kern w:val="2"/>
      <w:sz w:val="21"/>
    </w:rPr>
  </w:style>
  <w:style w:type="paragraph" w:customStyle="1" w:styleId="18">
    <w:name w:val="修订1"/>
    <w:uiPriority w:val="99"/>
    <w:semiHidden/>
    <w:qFormat/>
    <w:rsid w:val="00092652"/>
    <w:rPr>
      <w:kern w:val="2"/>
      <w:sz w:val="21"/>
    </w:rPr>
  </w:style>
  <w:style w:type="paragraph" w:customStyle="1" w:styleId="CGBheading2">
    <w:name w:val="CGB heading 2"/>
    <w:basedOn w:val="a0"/>
    <w:next w:val="a0"/>
    <w:qFormat/>
    <w:rsid w:val="00092652"/>
    <w:pPr>
      <w:keepNext/>
      <w:widowControl/>
      <w:tabs>
        <w:tab w:val="left" w:pos="964"/>
      </w:tabs>
      <w:spacing w:before="200" w:after="60" w:line="300" w:lineRule="auto"/>
      <w:jc w:val="left"/>
      <w:outlineLvl w:val="1"/>
    </w:pPr>
    <w:rPr>
      <w:rFonts w:ascii="微软雅黑" w:eastAsia="微软雅黑" w:hAnsi="微软雅黑"/>
      <w:b/>
      <w:bCs/>
      <w:kern w:val="32"/>
      <w:sz w:val="28"/>
      <w:szCs w:val="28"/>
      <w:lang w:val="en-GB"/>
    </w:rPr>
  </w:style>
  <w:style w:type="paragraph" w:customStyle="1" w:styleId="TOC2">
    <w:name w:val="TOC 标题2"/>
    <w:basedOn w:val="1"/>
    <w:next w:val="a0"/>
    <w:uiPriority w:val="39"/>
    <w:unhideWhenUsed/>
    <w:qFormat/>
    <w:rsid w:val="00092652"/>
    <w:pPr>
      <w:widowControl/>
      <w:tabs>
        <w:tab w:val="clear" w:pos="432"/>
      </w:tabs>
      <w:spacing w:before="240" w:after="1200" w:line="240" w:lineRule="auto"/>
      <w:ind w:left="0" w:firstLine="0"/>
      <w:contextualSpacing/>
      <w:jc w:val="left"/>
      <w:outlineLvl w:val="9"/>
    </w:pPr>
    <w:rPr>
      <w:rFonts w:ascii="Times New Roman"/>
      <w:bCs/>
      <w:color w:val="00A1DE"/>
      <w:kern w:val="0"/>
      <w:sz w:val="60"/>
      <w:szCs w:val="28"/>
      <w:lang w:val="en-GB"/>
    </w:rPr>
  </w:style>
  <w:style w:type="paragraph" w:customStyle="1" w:styleId="bulletpoint-2">
    <w:name w:val="bullet point-2"/>
    <w:basedOn w:val="a0"/>
    <w:rsid w:val="00092652"/>
    <w:pPr>
      <w:widowControl/>
      <w:tabs>
        <w:tab w:val="left" w:pos="993"/>
      </w:tabs>
      <w:spacing w:after="120" w:line="312" w:lineRule="auto"/>
      <w:ind w:left="1960" w:hanging="360"/>
      <w:contextualSpacing/>
      <w:jc w:val="left"/>
    </w:pPr>
    <w:rPr>
      <w:rFonts w:ascii="Calibri" w:eastAsia="华文楷体" w:hAnsi="Calibri"/>
      <w:kern w:val="0"/>
      <w:sz w:val="24"/>
      <w:szCs w:val="24"/>
    </w:rPr>
  </w:style>
  <w:style w:type="paragraph" w:customStyle="1" w:styleId="affb">
    <w:name w:val="方点。"/>
    <w:basedOn w:val="a0"/>
    <w:qFormat/>
    <w:rsid w:val="00092652"/>
    <w:pPr>
      <w:spacing w:before="120" w:after="120" w:line="312" w:lineRule="auto"/>
      <w:ind w:left="1956" w:hanging="357"/>
      <w:contextualSpacing/>
    </w:pPr>
    <w:rPr>
      <w:rFonts w:ascii="Calibri" w:eastAsia="华文楷体" w:hAnsi="Calibri"/>
      <w:sz w:val="24"/>
      <w:szCs w:val="22"/>
    </w:rPr>
  </w:style>
  <w:style w:type="paragraph" w:customStyle="1" w:styleId="affc">
    <w:name w:val="圆圈"/>
    <w:basedOn w:val="d"/>
    <w:qFormat/>
    <w:rsid w:val="00092652"/>
    <w:pPr>
      <w:tabs>
        <w:tab w:val="clear" w:pos="839"/>
      </w:tabs>
      <w:ind w:left="2100" w:hanging="360"/>
    </w:pPr>
  </w:style>
  <w:style w:type="paragraph" w:customStyle="1" w:styleId="xl72">
    <w:name w:val="xl72"/>
    <w:basedOn w:val="a0"/>
    <w:qFormat/>
    <w:rsid w:val="000926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color w:val="000000"/>
      <w:kern w:val="0"/>
      <w:sz w:val="20"/>
    </w:rPr>
  </w:style>
  <w:style w:type="paragraph" w:customStyle="1" w:styleId="xl73">
    <w:name w:val="xl73"/>
    <w:basedOn w:val="a0"/>
    <w:qFormat/>
    <w:rsid w:val="000926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0"/>
    </w:rPr>
  </w:style>
  <w:style w:type="paragraph" w:styleId="affd">
    <w:name w:val="No Spacing"/>
    <w:uiPriority w:val="99"/>
    <w:qFormat/>
    <w:rsid w:val="00092652"/>
    <w:pPr>
      <w:widowControl w:val="0"/>
      <w:jc w:val="both"/>
    </w:pPr>
    <w:rPr>
      <w:rFonts w:ascii="Calibri" w:hAnsi="Calibri"/>
      <w:kern w:val="2"/>
      <w:sz w:val="21"/>
      <w:szCs w:val="22"/>
    </w:rPr>
  </w:style>
  <w:style w:type="table" w:customStyle="1" w:styleId="26">
    <w:name w:val="全面风险2"/>
    <w:basedOn w:val="33"/>
    <w:uiPriority w:val="99"/>
    <w:qFormat/>
    <w:rsid w:val="00092652"/>
    <w:pPr>
      <w:spacing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affe">
    <w:name w:val="全面风险"/>
    <w:basedOn w:val="33"/>
    <w:uiPriority w:val="99"/>
    <w:qFormat/>
    <w:rsid w:val="00092652"/>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9">
    <w:name w:val="全面风险1"/>
    <w:basedOn w:val="33"/>
    <w:uiPriority w:val="99"/>
    <w:qFormat/>
    <w:rsid w:val="00092652"/>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0">
    <w:name w:val="简明型 31"/>
    <w:basedOn w:val="a2"/>
    <w:uiPriority w:val="99"/>
    <w:unhideWhenUsed/>
    <w:rsid w:val="00092652"/>
    <w:pPr>
      <w:widowControl w:val="0"/>
      <w:spacing w:line="500" w:lineRule="exact"/>
      <w:jc w:val="both"/>
    </w:pPr>
    <w:rPr>
      <w:rFonts w:ascii="Calibri" w:hAnsi="Calibri"/>
      <w:kern w:val="2"/>
      <w:sz w:val="21"/>
      <w:szCs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a">
    <w:name w:val="网格型1"/>
    <w:basedOn w:val="a2"/>
    <w:uiPriority w:val="59"/>
    <w:qFormat/>
    <w:rsid w:val="0009265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网格型2"/>
    <w:basedOn w:val="a2"/>
    <w:uiPriority w:val="59"/>
    <w:rsid w:val="0009265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网格型3"/>
    <w:basedOn w:val="a2"/>
    <w:uiPriority w:val="59"/>
    <w:rsid w:val="0009265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092652"/>
    <w:rPr>
      <w:rFonts w:ascii="仿宋_GB2312" w:eastAsia="仿宋_GB2312" w:hint="eastAsia"/>
      <w:color w:val="000000"/>
      <w:sz w:val="28"/>
      <w:szCs w:val="28"/>
    </w:rPr>
  </w:style>
  <w:style w:type="character" w:customStyle="1" w:styleId="header11">
    <w:name w:val="header11"/>
    <w:rsid w:val="00092652"/>
    <w:rPr>
      <w:sz w:val="30"/>
      <w:szCs w:val="30"/>
    </w:rPr>
  </w:style>
  <w:style w:type="character" w:customStyle="1" w:styleId="Char24">
    <w:name w:val="标题 Char2"/>
    <w:uiPriority w:val="10"/>
    <w:rsid w:val="00092652"/>
    <w:rPr>
      <w:rFonts w:ascii="Cambria" w:hAnsi="Cambria" w:cs="Times New Roman"/>
      <w:b/>
      <w:bCs/>
      <w:kern w:val="2"/>
      <w:sz w:val="32"/>
      <w:szCs w:val="32"/>
    </w:rPr>
  </w:style>
  <w:style w:type="character" w:customStyle="1" w:styleId="Char25">
    <w:name w:val="批注文字 Char2"/>
    <w:uiPriority w:val="99"/>
    <w:semiHidden/>
    <w:rsid w:val="00092652"/>
    <w:rPr>
      <w:rFonts w:ascii="Times New Roman" w:hAnsi="Times New Roman"/>
      <w:kern w:val="2"/>
      <w:sz w:val="21"/>
    </w:rPr>
  </w:style>
  <w:style w:type="character" w:customStyle="1" w:styleId="Char26">
    <w:name w:val="批注主题 Char2"/>
    <w:uiPriority w:val="99"/>
    <w:semiHidden/>
    <w:rsid w:val="00092652"/>
    <w:rPr>
      <w:rFonts w:ascii="Times New Roman" w:hAnsi="Times New Roman"/>
      <w:b/>
      <w:bCs/>
      <w:kern w:val="2"/>
      <w:sz w:val="21"/>
    </w:rPr>
  </w:style>
  <w:style w:type="character" w:customStyle="1" w:styleId="Char1f">
    <w:name w:val="批注框文本 Char1"/>
    <w:uiPriority w:val="99"/>
    <w:semiHidden/>
    <w:rsid w:val="00092652"/>
    <w:rPr>
      <w:rFonts w:ascii="Times New Roman" w:hAnsi="Times New Roman"/>
      <w:kern w:val="2"/>
      <w:sz w:val="18"/>
      <w:szCs w:val="18"/>
    </w:rPr>
  </w:style>
  <w:style w:type="character" w:customStyle="1" w:styleId="Char1f0">
    <w:name w:val="正文文本缩进 Char1"/>
    <w:uiPriority w:val="99"/>
    <w:semiHidden/>
    <w:rsid w:val="00092652"/>
    <w:rPr>
      <w:rFonts w:ascii="Times New Roman" w:hAnsi="Times New Roman"/>
      <w:kern w:val="2"/>
      <w:sz w:val="21"/>
    </w:rPr>
  </w:style>
  <w:style w:type="character" w:customStyle="1" w:styleId="Char1f1">
    <w:name w:val="正文文本 Char1"/>
    <w:uiPriority w:val="99"/>
    <w:semiHidden/>
    <w:rsid w:val="00092652"/>
    <w:rPr>
      <w:rFonts w:ascii="Times New Roman" w:hAnsi="Times New Roman"/>
      <w:kern w:val="2"/>
      <w:sz w:val="21"/>
    </w:rPr>
  </w:style>
  <w:style w:type="character" w:customStyle="1" w:styleId="Char27">
    <w:name w:val="纯文本 Char2"/>
    <w:uiPriority w:val="99"/>
    <w:semiHidden/>
    <w:rsid w:val="00092652"/>
    <w:rPr>
      <w:rFonts w:ascii="宋体" w:hAnsi="Courier New" w:cs="Courier New"/>
      <w:kern w:val="2"/>
      <w:sz w:val="21"/>
      <w:szCs w:val="21"/>
    </w:rPr>
  </w:style>
  <w:style w:type="character" w:customStyle="1" w:styleId="Char28">
    <w:name w:val="脚注文本 Char2"/>
    <w:uiPriority w:val="99"/>
    <w:semiHidden/>
    <w:rsid w:val="00092652"/>
    <w:rPr>
      <w:rFonts w:ascii="Times New Roman" w:hAnsi="Times New Roman"/>
      <w:kern w:val="2"/>
      <w:sz w:val="18"/>
      <w:szCs w:val="18"/>
    </w:rPr>
  </w:style>
  <w:style w:type="paragraph" w:customStyle="1" w:styleId="CharCharCharCharCharChar">
    <w:name w:val="Char Char Char Char Char Char"/>
    <w:basedOn w:val="a0"/>
    <w:rsid w:val="00092652"/>
    <w:rPr>
      <w:rFonts w:ascii="Calibri" w:hAnsi="Calibri"/>
      <w:szCs w:val="22"/>
    </w:rPr>
  </w:style>
  <w:style w:type="paragraph" w:customStyle="1" w:styleId="CharCharCharChar1">
    <w:name w:val="Char Char Char Char1"/>
    <w:basedOn w:val="a0"/>
    <w:uiPriority w:val="99"/>
    <w:rsid w:val="00092652"/>
    <w:pPr>
      <w:widowControl/>
      <w:tabs>
        <w:tab w:val="left" w:pos="720"/>
      </w:tabs>
      <w:spacing w:before="100" w:beforeAutospacing="1" w:after="100" w:afterAutospacing="1"/>
      <w:ind w:left="720" w:hanging="720"/>
    </w:pPr>
    <w:rPr>
      <w:rFonts w:ascii="Tahoma" w:eastAsia="仿宋_GB2312" w:hAnsi="Tahoma" w:cs="Tahoma"/>
      <w:kern w:val="4"/>
      <w:sz w:val="24"/>
      <w:szCs w:val="24"/>
    </w:rPr>
  </w:style>
  <w:style w:type="paragraph" w:customStyle="1" w:styleId="CharCharCharChar2">
    <w:name w:val="Char Char Char Char2"/>
    <w:basedOn w:val="a0"/>
    <w:uiPriority w:val="99"/>
    <w:rsid w:val="00092652"/>
    <w:pPr>
      <w:widowControl/>
      <w:tabs>
        <w:tab w:val="left" w:pos="720"/>
      </w:tabs>
      <w:spacing w:before="100" w:beforeAutospacing="1" w:after="100" w:afterAutospacing="1"/>
      <w:ind w:left="720" w:hanging="720"/>
    </w:pPr>
    <w:rPr>
      <w:rFonts w:ascii="Tahoma" w:eastAsia="仿宋_GB2312" w:hAnsi="Tahoma" w:cs="Tahoma"/>
      <w:kern w:val="4"/>
      <w:sz w:val="24"/>
      <w:szCs w:val="24"/>
    </w:rPr>
  </w:style>
  <w:style w:type="paragraph" w:customStyle="1" w:styleId="CharCharCharChar3">
    <w:name w:val="Char Char Char Char3"/>
    <w:basedOn w:val="a0"/>
    <w:uiPriority w:val="99"/>
    <w:rsid w:val="00092652"/>
    <w:pPr>
      <w:widowControl/>
      <w:tabs>
        <w:tab w:val="left" w:pos="360"/>
      </w:tabs>
      <w:spacing w:before="100" w:beforeAutospacing="1" w:after="100" w:afterAutospacing="1"/>
    </w:pPr>
    <w:rPr>
      <w:rFonts w:ascii="Tahoma" w:eastAsia="仿宋_GB2312" w:hAnsi="Tahoma" w:cs="Tahoma"/>
      <w:kern w:val="4"/>
      <w:sz w:val="24"/>
      <w:szCs w:val="24"/>
    </w:rPr>
  </w:style>
  <w:style w:type="paragraph" w:customStyle="1" w:styleId="36">
    <w:name w:val="列出段落3"/>
    <w:basedOn w:val="a0"/>
    <w:rsid w:val="00092652"/>
    <w:pPr>
      <w:ind w:left="720"/>
      <w:contextualSpacing/>
    </w:pPr>
    <w:rPr>
      <w:rFonts w:ascii="Calibri" w:hAnsi="Calibri"/>
      <w:szCs w:val="22"/>
    </w:rPr>
  </w:style>
  <w:style w:type="table" w:customStyle="1" w:styleId="42">
    <w:name w:val="网格型4"/>
    <w:basedOn w:val="a2"/>
    <w:uiPriority w:val="59"/>
    <w:qFormat/>
    <w:rsid w:val="0009265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列表型 31"/>
    <w:basedOn w:val="a2"/>
    <w:rsid w:val="00092652"/>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customStyle="1" w:styleId="320">
    <w:name w:val="简明型 32"/>
    <w:basedOn w:val="a2"/>
    <w:uiPriority w:val="99"/>
    <w:unhideWhenUsed/>
    <w:rsid w:val="00092652"/>
    <w:pPr>
      <w:widowControl w:val="0"/>
      <w:spacing w:line="500" w:lineRule="exact"/>
      <w:jc w:val="both"/>
    </w:pPr>
    <w:rPr>
      <w:rFonts w:ascii="Calibri" w:hAnsi="Calibri"/>
      <w:kern w:val="2"/>
      <w:sz w:val="21"/>
      <w:szCs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7">
    <w:name w:val="全面风险3"/>
    <w:basedOn w:val="33"/>
    <w:uiPriority w:val="99"/>
    <w:qFormat/>
    <w:rsid w:val="00092652"/>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10">
    <w:name w:val="网格型11"/>
    <w:basedOn w:val="a2"/>
    <w:uiPriority w:val="59"/>
    <w:qFormat/>
    <w:rsid w:val="0009265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网格型21"/>
    <w:basedOn w:val="a2"/>
    <w:uiPriority w:val="59"/>
    <w:rsid w:val="0009265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全面风险11"/>
    <w:basedOn w:val="33"/>
    <w:uiPriority w:val="99"/>
    <w:qFormat/>
    <w:rsid w:val="00092652"/>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10">
    <w:name w:val="简明型 311"/>
    <w:basedOn w:val="a2"/>
    <w:uiPriority w:val="99"/>
    <w:unhideWhenUsed/>
    <w:rsid w:val="00092652"/>
    <w:pPr>
      <w:widowControl w:val="0"/>
      <w:spacing w:line="500" w:lineRule="exact"/>
      <w:jc w:val="both"/>
    </w:pPr>
    <w:rPr>
      <w:rFonts w:ascii="Calibri" w:hAnsi="Calibri"/>
      <w:kern w:val="2"/>
      <w:sz w:val="21"/>
      <w:szCs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11">
    <w:name w:val="全面风险21"/>
    <w:basedOn w:val="33"/>
    <w:uiPriority w:val="99"/>
    <w:qFormat/>
    <w:rsid w:val="00092652"/>
    <w:pPr>
      <w:spacing w:line="240" w:lineRule="auto"/>
    </w:pPr>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2">
    <w:name w:val="网格型31"/>
    <w:basedOn w:val="a2"/>
    <w:uiPriority w:val="59"/>
    <w:rsid w:val="0009265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editboxdisponly">
    <w:name w:val="pseditbox_disponly"/>
    <w:rsid w:val="00092652"/>
  </w:style>
  <w:style w:type="paragraph" w:customStyle="1" w:styleId="xl108">
    <w:name w:val="xl108"/>
    <w:basedOn w:val="a0"/>
    <w:rsid w:val="00092652"/>
    <w:pPr>
      <w:widowControl/>
      <w:spacing w:before="100" w:beforeAutospacing="1" w:after="100" w:afterAutospacing="1"/>
      <w:jc w:val="left"/>
      <w:textAlignment w:val="center"/>
    </w:pPr>
    <w:rPr>
      <w:rFonts w:ascii="宋体" w:hAnsi="宋体" w:cs="宋体"/>
      <w:kern w:val="0"/>
      <w:sz w:val="24"/>
      <w:szCs w:val="24"/>
    </w:rPr>
  </w:style>
  <w:style w:type="paragraph" w:customStyle="1" w:styleId="xl109">
    <w:name w:val="xl109"/>
    <w:basedOn w:val="a0"/>
    <w:rsid w:val="000926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10">
    <w:name w:val="xl110"/>
    <w:basedOn w:val="a0"/>
    <w:rsid w:val="000926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111">
    <w:name w:val="xl111"/>
    <w:basedOn w:val="a0"/>
    <w:rsid w:val="000926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12">
    <w:name w:val="xl112"/>
    <w:basedOn w:val="a0"/>
    <w:rsid w:val="000926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13">
    <w:name w:val="xl113"/>
    <w:basedOn w:val="a0"/>
    <w:rsid w:val="00092652"/>
    <w:pPr>
      <w:widowControl/>
      <w:spacing w:before="100" w:beforeAutospacing="1" w:after="100" w:afterAutospacing="1"/>
      <w:jc w:val="center"/>
      <w:textAlignment w:val="center"/>
    </w:pPr>
    <w:rPr>
      <w:rFonts w:ascii="宋体" w:hAnsi="宋体" w:cs="宋体"/>
      <w:kern w:val="0"/>
      <w:sz w:val="24"/>
      <w:szCs w:val="24"/>
    </w:rPr>
  </w:style>
  <w:style w:type="paragraph" w:customStyle="1" w:styleId="xl114">
    <w:name w:val="xl114"/>
    <w:basedOn w:val="a0"/>
    <w:rsid w:val="00092652"/>
    <w:pPr>
      <w:widowControl/>
      <w:spacing w:before="100" w:beforeAutospacing="1" w:after="100" w:afterAutospacing="1"/>
      <w:jc w:val="left"/>
      <w:textAlignment w:val="center"/>
    </w:pPr>
    <w:rPr>
      <w:rFonts w:ascii="宋体" w:hAnsi="宋体" w:cs="宋体"/>
      <w:color w:val="C00000"/>
      <w:kern w:val="0"/>
      <w:sz w:val="24"/>
      <w:szCs w:val="24"/>
    </w:rPr>
  </w:style>
  <w:style w:type="paragraph" w:customStyle="1" w:styleId="xl115">
    <w:name w:val="xl115"/>
    <w:basedOn w:val="a0"/>
    <w:rsid w:val="000926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rPr>
  </w:style>
  <w:style w:type="paragraph" w:customStyle="1" w:styleId="xl116">
    <w:name w:val="xl116"/>
    <w:basedOn w:val="a0"/>
    <w:rsid w:val="0009265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117">
    <w:name w:val="xl117"/>
    <w:basedOn w:val="a0"/>
    <w:rsid w:val="00092652"/>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rPr>
  </w:style>
  <w:style w:type="paragraph" w:customStyle="1" w:styleId="xl118">
    <w:name w:val="xl118"/>
    <w:basedOn w:val="a0"/>
    <w:rsid w:val="00092652"/>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19">
    <w:name w:val="xl119"/>
    <w:basedOn w:val="a0"/>
    <w:rsid w:val="00092652"/>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20">
    <w:name w:val="xl120"/>
    <w:basedOn w:val="a0"/>
    <w:rsid w:val="000926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rPr>
  </w:style>
  <w:style w:type="paragraph" w:customStyle="1" w:styleId="xl121">
    <w:name w:val="xl121"/>
    <w:basedOn w:val="a0"/>
    <w:rsid w:val="000926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rPr>
  </w:style>
  <w:style w:type="paragraph" w:customStyle="1" w:styleId="xl122">
    <w:name w:val="xl122"/>
    <w:basedOn w:val="a0"/>
    <w:rsid w:val="000926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C00000"/>
      <w:kern w:val="0"/>
      <w:sz w:val="20"/>
    </w:rPr>
  </w:style>
  <w:style w:type="paragraph" w:customStyle="1" w:styleId="xl123">
    <w:name w:val="xl123"/>
    <w:basedOn w:val="a0"/>
    <w:rsid w:val="000926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C00000"/>
      <w:kern w:val="0"/>
      <w:sz w:val="20"/>
    </w:rPr>
  </w:style>
  <w:style w:type="paragraph" w:customStyle="1" w:styleId="xl124">
    <w:name w:val="xl124"/>
    <w:basedOn w:val="a0"/>
    <w:rsid w:val="000926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C00000"/>
      <w:kern w:val="0"/>
      <w:sz w:val="20"/>
    </w:rPr>
  </w:style>
  <w:style w:type="paragraph" w:customStyle="1" w:styleId="xl125">
    <w:name w:val="xl125"/>
    <w:basedOn w:val="a0"/>
    <w:rsid w:val="00092652"/>
    <w:pPr>
      <w:widowControl/>
      <w:pBdr>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kern w:val="0"/>
      <w:sz w:val="20"/>
    </w:rPr>
  </w:style>
  <w:style w:type="paragraph" w:customStyle="1" w:styleId="xl126">
    <w:name w:val="xl126"/>
    <w:basedOn w:val="a0"/>
    <w:rsid w:val="0009265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kern w:val="0"/>
      <w:sz w:val="20"/>
    </w:rPr>
  </w:style>
  <w:style w:type="paragraph" w:customStyle="1" w:styleId="xl127">
    <w:name w:val="xl127"/>
    <w:basedOn w:val="a0"/>
    <w:rsid w:val="00092652"/>
    <w:pPr>
      <w:widowControl/>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宋体" w:hAnsi="宋体" w:cs="宋体"/>
      <w:kern w:val="0"/>
      <w:sz w:val="20"/>
    </w:rPr>
  </w:style>
  <w:style w:type="paragraph" w:customStyle="1" w:styleId="afff">
    <w:name w:val="意见内容"/>
    <w:basedOn w:val="a0"/>
    <w:link w:val="Charf7"/>
    <w:qFormat/>
    <w:rsid w:val="00092652"/>
    <w:pPr>
      <w:spacing w:line="360" w:lineRule="exact"/>
      <w:ind w:firstLineChars="200" w:firstLine="420"/>
    </w:pPr>
    <w:rPr>
      <w:rFonts w:ascii="宋体" w:hAnsi="宋体"/>
      <w:szCs w:val="21"/>
    </w:rPr>
  </w:style>
  <w:style w:type="paragraph" w:customStyle="1" w:styleId="afff0">
    <w:name w:val="报告内容"/>
    <w:basedOn w:val="a0"/>
    <w:link w:val="Charf8"/>
    <w:rsid w:val="00092652"/>
    <w:pPr>
      <w:ind w:firstLineChars="200" w:firstLine="420"/>
    </w:pPr>
    <w:rPr>
      <w:rFonts w:ascii="宋体" w:hAnsi="宋体"/>
      <w:szCs w:val="21"/>
    </w:rPr>
  </w:style>
  <w:style w:type="character" w:customStyle="1" w:styleId="Charf7">
    <w:name w:val="意见内容 Char"/>
    <w:link w:val="afff"/>
    <w:rsid w:val="00092652"/>
    <w:rPr>
      <w:rFonts w:ascii="宋体" w:hAnsi="宋体"/>
      <w:kern w:val="2"/>
      <w:sz w:val="21"/>
      <w:szCs w:val="21"/>
    </w:rPr>
  </w:style>
  <w:style w:type="character" w:customStyle="1" w:styleId="Charf8">
    <w:name w:val="报告内容 Char"/>
    <w:link w:val="afff0"/>
    <w:rsid w:val="00092652"/>
    <w:rPr>
      <w:rFonts w:ascii="宋体" w:hAnsi="宋体"/>
      <w:kern w:val="2"/>
      <w:sz w:val="21"/>
      <w:szCs w:val="21"/>
    </w:rPr>
  </w:style>
  <w:style w:type="paragraph" w:customStyle="1" w:styleId="afff1">
    <w:name w:val="复核意见"/>
    <w:basedOn w:val="a0"/>
    <w:link w:val="Charf9"/>
    <w:rsid w:val="00092652"/>
    <w:pPr>
      <w:ind w:firstLineChars="200" w:firstLine="420"/>
    </w:pPr>
    <w:rPr>
      <w:rFonts w:ascii="宋体" w:hAnsi="宋体"/>
      <w:color w:val="C00000"/>
      <w:szCs w:val="21"/>
    </w:rPr>
  </w:style>
  <w:style w:type="character" w:customStyle="1" w:styleId="Charf9">
    <w:name w:val="复核意见 Char"/>
    <w:link w:val="afff1"/>
    <w:rsid w:val="00092652"/>
    <w:rPr>
      <w:rFonts w:ascii="宋体" w:hAnsi="宋体"/>
      <w:color w:val="C00000"/>
      <w:kern w:val="2"/>
      <w:sz w:val="21"/>
      <w:szCs w:val="21"/>
    </w:rPr>
  </w:style>
  <w:style w:type="paragraph" w:customStyle="1" w:styleId="xl29">
    <w:name w:val="xl29"/>
    <w:basedOn w:val="a0"/>
    <w:uiPriority w:val="99"/>
    <w:rsid w:val="00092652"/>
    <w:pPr>
      <w:widowControl/>
      <w:pBdr>
        <w:bottom w:val="single" w:sz="4" w:space="0" w:color="auto"/>
        <w:right w:val="single" w:sz="4" w:space="0" w:color="auto"/>
      </w:pBdr>
      <w:spacing w:before="100" w:beforeAutospacing="1" w:after="100" w:afterAutospacing="1"/>
      <w:textAlignment w:val="center"/>
    </w:pPr>
    <w:rPr>
      <w:rFonts w:ascii="仿宋_GB2312" w:eastAsia="仿宋_GB2312" w:hAnsi="宋体"/>
      <w:kern w:val="0"/>
      <w:szCs w:val="21"/>
    </w:rPr>
  </w:style>
  <w:style w:type="paragraph" w:customStyle="1" w:styleId="afff2">
    <w:name w:val="转让报告"/>
    <w:basedOn w:val="a0"/>
    <w:link w:val="Charfa"/>
    <w:qFormat/>
    <w:rsid w:val="00092652"/>
    <w:pPr>
      <w:spacing w:line="500" w:lineRule="exact"/>
      <w:ind w:firstLineChars="200" w:firstLine="560"/>
    </w:pPr>
    <w:rPr>
      <w:rFonts w:ascii="仿宋_GB2312" w:eastAsia="仿宋_GB2312" w:hAnsi="Arial"/>
      <w:sz w:val="28"/>
      <w:szCs w:val="28"/>
    </w:rPr>
  </w:style>
  <w:style w:type="character" w:customStyle="1" w:styleId="Charfa">
    <w:name w:val="转让报告 Char"/>
    <w:link w:val="afff2"/>
    <w:qFormat/>
    <w:rsid w:val="00092652"/>
    <w:rPr>
      <w:rFonts w:ascii="仿宋_GB2312" w:eastAsia="仿宋_GB2312" w:hAnsi="Arial"/>
      <w:kern w:val="2"/>
      <w:sz w:val="28"/>
      <w:szCs w:val="28"/>
    </w:rPr>
  </w:style>
  <w:style w:type="paragraph" w:customStyle="1" w:styleId="xl76">
    <w:name w:val="xl76"/>
    <w:basedOn w:val="a0"/>
    <w:rsid w:val="000926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77">
    <w:name w:val="xl77"/>
    <w:basedOn w:val="a0"/>
    <w:rsid w:val="000926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szCs w:val="24"/>
    </w:rPr>
  </w:style>
  <w:style w:type="paragraph" w:customStyle="1" w:styleId="xl78">
    <w:name w:val="xl78"/>
    <w:basedOn w:val="a0"/>
    <w:rsid w:val="000926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79">
    <w:name w:val="xl79"/>
    <w:basedOn w:val="a0"/>
    <w:rsid w:val="0009265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kern w:val="0"/>
      <w:sz w:val="24"/>
      <w:szCs w:val="24"/>
    </w:rPr>
  </w:style>
  <w:style w:type="paragraph" w:customStyle="1" w:styleId="xl80">
    <w:name w:val="xl80"/>
    <w:basedOn w:val="a0"/>
    <w:rsid w:val="000926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81">
    <w:name w:val="xl81"/>
    <w:basedOn w:val="a0"/>
    <w:rsid w:val="000926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82">
    <w:name w:val="xl82"/>
    <w:basedOn w:val="a0"/>
    <w:rsid w:val="00092652"/>
    <w:pPr>
      <w:widowControl/>
      <w:pBdr>
        <w:bottom w:val="single" w:sz="4" w:space="0" w:color="auto"/>
      </w:pBdr>
      <w:spacing w:before="100" w:beforeAutospacing="1" w:after="100" w:afterAutospacing="1"/>
      <w:jc w:val="center"/>
      <w:textAlignment w:val="center"/>
    </w:pPr>
    <w:rPr>
      <w:rFonts w:ascii="宋体" w:hAnsi="宋体" w:cs="宋体"/>
      <w:b/>
      <w:bCs/>
      <w:kern w:val="0"/>
      <w:sz w:val="32"/>
      <w:szCs w:val="32"/>
    </w:rPr>
  </w:style>
  <w:style w:type="paragraph" w:customStyle="1" w:styleId="1b">
    <w:name w:val="无间隔1"/>
    <w:uiPriority w:val="99"/>
    <w:qFormat/>
    <w:rsid w:val="00092652"/>
    <w:pPr>
      <w:widowControl w:val="0"/>
      <w:spacing w:line="360" w:lineRule="auto"/>
      <w:ind w:firstLineChars="236" w:firstLine="566"/>
      <w:jc w:val="both"/>
    </w:pPr>
    <w:rPr>
      <w:rFonts w:ascii="Calibri" w:hAnsi="Calibri"/>
      <w:color w:val="0238BE"/>
      <w:kern w:val="2"/>
      <w:sz w:val="24"/>
      <w:szCs w:val="22"/>
    </w:rPr>
  </w:style>
  <w:style w:type="character" w:customStyle="1" w:styleId="1c">
    <w:name w:val="不明显强调1"/>
    <w:uiPriority w:val="19"/>
    <w:qFormat/>
    <w:rsid w:val="00092652"/>
    <w:rPr>
      <w:i/>
      <w:iCs/>
      <w:color w:val="808080"/>
    </w:rPr>
  </w:style>
  <w:style w:type="character" w:customStyle="1" w:styleId="1d">
    <w:name w:val="明显强调1"/>
    <w:uiPriority w:val="21"/>
    <w:qFormat/>
    <w:rsid w:val="00092652"/>
    <w:rPr>
      <w:b/>
      <w:bCs/>
      <w:i/>
      <w:iCs/>
      <w:color w:val="2DA2BF"/>
    </w:rPr>
  </w:style>
  <w:style w:type="character" w:customStyle="1" w:styleId="1e">
    <w:name w:val="不明显参考1"/>
    <w:uiPriority w:val="31"/>
    <w:qFormat/>
    <w:rsid w:val="00092652"/>
    <w:rPr>
      <w:smallCaps/>
      <w:color w:val="DA1F28"/>
      <w:u w:val="single"/>
    </w:rPr>
  </w:style>
  <w:style w:type="character" w:customStyle="1" w:styleId="1f">
    <w:name w:val="明显参考1"/>
    <w:uiPriority w:val="32"/>
    <w:qFormat/>
    <w:rsid w:val="00092652"/>
    <w:rPr>
      <w:b/>
      <w:bCs/>
      <w:smallCaps/>
      <w:color w:val="DA1F28"/>
      <w:spacing w:val="5"/>
      <w:u w:val="single"/>
    </w:rPr>
  </w:style>
  <w:style w:type="character" w:customStyle="1" w:styleId="1f0">
    <w:name w:val="书籍标题1"/>
    <w:uiPriority w:val="33"/>
    <w:qFormat/>
    <w:rsid w:val="00092652"/>
    <w:rPr>
      <w:b/>
      <w:bCs/>
      <w:smallCaps/>
      <w:spacing w:val="5"/>
    </w:rPr>
  </w:style>
  <w:style w:type="paragraph" w:customStyle="1" w:styleId="TOC3">
    <w:name w:val="TOC 标题3"/>
    <w:basedOn w:val="1"/>
    <w:next w:val="a0"/>
    <w:uiPriority w:val="39"/>
    <w:semiHidden/>
    <w:unhideWhenUsed/>
    <w:qFormat/>
    <w:rsid w:val="00092652"/>
    <w:pPr>
      <w:widowControl/>
      <w:tabs>
        <w:tab w:val="clear" w:pos="432"/>
      </w:tabs>
      <w:spacing w:before="0" w:after="0"/>
      <w:ind w:left="0" w:firstLine="0"/>
      <w:contextualSpacing/>
      <w:jc w:val="left"/>
      <w:outlineLvl w:val="9"/>
    </w:pPr>
    <w:rPr>
      <w:rFonts w:ascii="Cambria" w:eastAsia="宋体" w:hAnsi="Cambria"/>
      <w:b/>
      <w:bCs/>
      <w:color w:val="21798E"/>
      <w:kern w:val="0"/>
      <w:sz w:val="30"/>
      <w:szCs w:val="28"/>
    </w:rPr>
  </w:style>
  <w:style w:type="paragraph" w:customStyle="1" w:styleId="BT01">
    <w:name w:val="BT01"/>
    <w:basedOn w:val="10"/>
    <w:rsid w:val="00092652"/>
    <w:pPr>
      <w:widowControl/>
      <w:tabs>
        <w:tab w:val="clear" w:pos="8302"/>
        <w:tab w:val="right" w:leader="dot" w:pos="8296"/>
      </w:tabs>
      <w:spacing w:line="360" w:lineRule="auto"/>
      <w:jc w:val="left"/>
      <w:outlineLvl w:val="0"/>
    </w:pPr>
    <w:rPr>
      <w:rFonts w:eastAsia="黑体" w:hAnsi="Helvetica" w:cs="Helvetica"/>
      <w:b/>
      <w:color w:val="3E3E3E"/>
      <w:kern w:val="0"/>
      <w:sz w:val="30"/>
      <w:szCs w:val="20"/>
    </w:rPr>
  </w:style>
  <w:style w:type="paragraph" w:customStyle="1" w:styleId="28">
    <w:name w:val="样式2"/>
    <w:basedOn w:val="22"/>
    <w:qFormat/>
    <w:rsid w:val="00092652"/>
    <w:pPr>
      <w:widowControl/>
      <w:tabs>
        <w:tab w:val="right" w:leader="dot" w:pos="8296"/>
      </w:tabs>
      <w:adjustRightInd/>
      <w:snapToGrid/>
      <w:spacing w:line="240" w:lineRule="auto"/>
      <w:ind w:leftChars="200" w:left="400" w:firstLineChars="0" w:firstLine="0"/>
    </w:pPr>
    <w:rPr>
      <w:rFonts w:eastAsia="仿宋"/>
      <w:smallCaps w:val="0"/>
      <w:kern w:val="0"/>
      <w:sz w:val="28"/>
    </w:rPr>
  </w:style>
  <w:style w:type="character" w:customStyle="1" w:styleId="afff3">
    <w:name w:val="脚注文本 字符"/>
    <w:semiHidden/>
    <w:locked/>
    <w:rsid w:val="00092652"/>
    <w:rPr>
      <w:rFonts w:ascii="Calibri" w:hAnsi="Calibri"/>
      <w:kern w:val="2"/>
      <w:sz w:val="18"/>
      <w:szCs w:val="18"/>
    </w:rPr>
  </w:style>
  <w:style w:type="table" w:customStyle="1" w:styleId="52">
    <w:name w:val="网格型5"/>
    <w:basedOn w:val="a2"/>
    <w:uiPriority w:val="59"/>
    <w:rsid w:val="0009265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普通(网站)1"/>
    <w:basedOn w:val="a0"/>
    <w:rsid w:val="00092652"/>
    <w:pPr>
      <w:widowControl/>
      <w:spacing w:before="100" w:beforeAutospacing="1" w:after="100" w:afterAutospacing="1"/>
      <w:jc w:val="left"/>
    </w:pPr>
    <w:rPr>
      <w:rFonts w:ascii="宋体" w:hAnsi="宋体" w:cs="Vrinda" w:hint="eastAsia"/>
      <w:kern w:val="0"/>
      <w:sz w:val="24"/>
      <w:lang w:bidi="bn-IN"/>
    </w:rPr>
  </w:style>
  <w:style w:type="paragraph" w:customStyle="1" w:styleId="Char110">
    <w:name w:val="Char11"/>
    <w:basedOn w:val="a0"/>
    <w:rsid w:val="00092652"/>
    <w:rPr>
      <w:rFonts w:ascii="Tahoma" w:hAnsi="Tahoma"/>
      <w:sz w:val="24"/>
    </w:rPr>
  </w:style>
  <w:style w:type="paragraph" w:customStyle="1" w:styleId="CharCharCharCharCharCharChar">
    <w:name w:val="Char Char Char Char Char Char Char"/>
    <w:basedOn w:val="a0"/>
    <w:rsid w:val="00092652"/>
    <w:pPr>
      <w:tabs>
        <w:tab w:val="left" w:pos="360"/>
      </w:tabs>
      <w:adjustRightInd w:val="0"/>
      <w:textAlignment w:val="baseline"/>
    </w:pPr>
    <w:rPr>
      <w:rFonts w:hAnsi="仿宋_GB2312"/>
      <w:kern w:val="0"/>
      <w:sz w:val="24"/>
    </w:rPr>
  </w:style>
  <w:style w:type="paragraph" w:customStyle="1" w:styleId="CharChar1CharChar2CharChar">
    <w:name w:val="Char Char1 Char Char2 Char Char"/>
    <w:basedOn w:val="a0"/>
    <w:rsid w:val="00092652"/>
    <w:pPr>
      <w:widowControl/>
      <w:spacing w:after="160" w:line="240" w:lineRule="exact"/>
      <w:jc w:val="left"/>
    </w:pPr>
    <w:rPr>
      <w:rFonts w:ascii="Verdana" w:hAnsi="Verdana"/>
      <w:kern w:val="0"/>
      <w:sz w:val="20"/>
      <w:lang w:eastAsia="en-US"/>
    </w:rPr>
  </w:style>
  <w:style w:type="character" w:customStyle="1" w:styleId="DeltaViewInsertion">
    <w:name w:val="DeltaView Insertion"/>
    <w:rsid w:val="00092652"/>
    <w:rPr>
      <w:color w:val="0000FF"/>
      <w:spacing w:val="0"/>
      <w:u w:val="double"/>
    </w:rPr>
  </w:style>
  <w:style w:type="character" w:customStyle="1" w:styleId="DeltaViewDeletion">
    <w:name w:val="DeltaView Deletion"/>
    <w:rsid w:val="00092652"/>
    <w:rPr>
      <w:strike/>
      <w:color w:val="FF0000"/>
      <w:spacing w:val="0"/>
    </w:rPr>
  </w:style>
  <w:style w:type="paragraph" w:customStyle="1" w:styleId="112">
    <w:name w:val="普通(网站)11"/>
    <w:basedOn w:val="a0"/>
    <w:rsid w:val="00092652"/>
    <w:pPr>
      <w:widowControl/>
      <w:spacing w:before="100" w:beforeAutospacing="1" w:after="100" w:afterAutospacing="1"/>
      <w:jc w:val="left"/>
    </w:pPr>
    <w:rPr>
      <w:rFonts w:ascii="宋体" w:hAnsi="宋体" w:cs="Vrinda" w:hint="eastAsia"/>
      <w:kern w:val="0"/>
      <w:sz w:val="24"/>
      <w:lang w:bidi="bn-IN"/>
    </w:rPr>
  </w:style>
  <w:style w:type="paragraph" w:customStyle="1" w:styleId="29">
    <w:name w:val="普通(网站)2"/>
    <w:basedOn w:val="a0"/>
    <w:rsid w:val="00092652"/>
    <w:pPr>
      <w:widowControl/>
      <w:spacing w:before="100" w:beforeAutospacing="1" w:after="100" w:afterAutospacing="1"/>
      <w:jc w:val="left"/>
    </w:pPr>
    <w:rPr>
      <w:rFonts w:ascii="宋体" w:hAnsi="宋体" w:cs="Vrinda" w:hint="eastAsia"/>
      <w:kern w:val="0"/>
      <w:sz w:val="24"/>
      <w:lang w:bidi="bn-IN"/>
    </w:rPr>
  </w:style>
  <w:style w:type="paragraph" w:customStyle="1" w:styleId="Char120">
    <w:name w:val="Char12"/>
    <w:basedOn w:val="a0"/>
    <w:rsid w:val="00092652"/>
    <w:rPr>
      <w:rFonts w:ascii="Tahoma" w:hAnsi="Tahoma"/>
      <w:sz w:val="24"/>
    </w:rPr>
  </w:style>
  <w:style w:type="paragraph" w:customStyle="1" w:styleId="CharCharCharCharCharCharChar1">
    <w:name w:val="Char Char Char Char Char Char Char1"/>
    <w:basedOn w:val="a0"/>
    <w:rsid w:val="00092652"/>
    <w:pPr>
      <w:tabs>
        <w:tab w:val="left" w:pos="360"/>
      </w:tabs>
      <w:adjustRightInd w:val="0"/>
      <w:textAlignment w:val="baseline"/>
    </w:pPr>
    <w:rPr>
      <w:rFonts w:hAnsi="仿宋_GB2312"/>
      <w:kern w:val="0"/>
      <w:sz w:val="24"/>
    </w:rPr>
  </w:style>
  <w:style w:type="paragraph" w:customStyle="1" w:styleId="43">
    <w:name w:val="列出段落4"/>
    <w:basedOn w:val="a0"/>
    <w:rsid w:val="00092652"/>
    <w:pPr>
      <w:ind w:firstLineChars="200" w:firstLine="420"/>
    </w:pPr>
    <w:rPr>
      <w:rFonts w:eastAsia="仿宋_GB2312"/>
      <w:sz w:val="28"/>
      <w:szCs w:val="24"/>
    </w:rPr>
  </w:style>
  <w:style w:type="paragraph" w:customStyle="1" w:styleId="53">
    <w:name w:val="列出段落5"/>
    <w:basedOn w:val="a0"/>
    <w:rsid w:val="00092652"/>
    <w:pPr>
      <w:ind w:left="720"/>
      <w:contextualSpacing/>
    </w:pPr>
    <w:rPr>
      <w:rFonts w:ascii="Calibri" w:hAnsi="Calibri"/>
      <w:szCs w:val="22"/>
    </w:rPr>
  </w:style>
  <w:style w:type="paragraph" w:customStyle="1" w:styleId="38">
    <w:name w:val="普通(网站)3"/>
    <w:basedOn w:val="a0"/>
    <w:rsid w:val="00092652"/>
    <w:pPr>
      <w:widowControl/>
      <w:spacing w:before="100" w:beforeAutospacing="1" w:after="100" w:afterAutospacing="1"/>
      <w:jc w:val="left"/>
    </w:pPr>
    <w:rPr>
      <w:rFonts w:ascii="宋体" w:hAnsi="宋体" w:cs="Vrinda" w:hint="eastAsia"/>
      <w:kern w:val="0"/>
      <w:sz w:val="24"/>
      <w:lang w:bidi="bn-IN"/>
    </w:rPr>
  </w:style>
  <w:style w:type="paragraph" w:customStyle="1" w:styleId="Char130">
    <w:name w:val="Char13"/>
    <w:basedOn w:val="a0"/>
    <w:rsid w:val="00092652"/>
    <w:rPr>
      <w:rFonts w:ascii="Tahoma" w:hAnsi="Tahoma"/>
      <w:sz w:val="24"/>
    </w:rPr>
  </w:style>
  <w:style w:type="paragraph" w:customStyle="1" w:styleId="CharCharCharCharCharCharChar2">
    <w:name w:val="Char Char Char Char Char Char Char2"/>
    <w:basedOn w:val="a0"/>
    <w:rsid w:val="00092652"/>
    <w:pPr>
      <w:tabs>
        <w:tab w:val="left" w:pos="360"/>
      </w:tabs>
      <w:adjustRightInd w:val="0"/>
      <w:textAlignment w:val="baseline"/>
    </w:pPr>
    <w:rPr>
      <w:rFonts w:hAnsi="仿宋_GB2312"/>
      <w:kern w:val="0"/>
      <w:sz w:val="24"/>
    </w:rPr>
  </w:style>
  <w:style w:type="character" w:customStyle="1" w:styleId="apple-converted-space">
    <w:name w:val="apple-converted-space"/>
    <w:basedOn w:val="a1"/>
    <w:rsid w:val="00092652"/>
  </w:style>
  <w:style w:type="character" w:customStyle="1" w:styleId="Charfb">
    <w:name w:val="案例 Char"/>
    <w:basedOn w:val="a1"/>
    <w:link w:val="afff4"/>
    <w:locked/>
    <w:rsid w:val="00092652"/>
    <w:rPr>
      <w:rFonts w:ascii="仿宋_GB2312" w:eastAsia="仿宋_GB2312" w:hAnsi="宋体"/>
      <w:sz w:val="24"/>
      <w:szCs w:val="24"/>
    </w:rPr>
  </w:style>
  <w:style w:type="paragraph" w:customStyle="1" w:styleId="afff4">
    <w:name w:val="案例"/>
    <w:basedOn w:val="a0"/>
    <w:link w:val="Charfb"/>
    <w:qFormat/>
    <w:rsid w:val="00092652"/>
    <w:pPr>
      <w:spacing w:line="440" w:lineRule="exact"/>
      <w:ind w:firstLineChars="200" w:firstLine="480"/>
    </w:pPr>
    <w:rPr>
      <w:rFonts w:ascii="仿宋_GB2312" w:eastAsia="仿宋_GB2312" w:hAnsi="宋体"/>
      <w:kern w:val="0"/>
      <w:sz w:val="24"/>
      <w:szCs w:val="24"/>
    </w:rPr>
  </w:style>
  <w:style w:type="paragraph" w:customStyle="1" w:styleId="afff5">
    <w:name w:val="删除"/>
    <w:basedOn w:val="a0"/>
    <w:link w:val="Charfc"/>
    <w:qFormat/>
    <w:rsid w:val="00092652"/>
    <w:pPr>
      <w:spacing w:line="380" w:lineRule="exact"/>
      <w:ind w:firstLineChars="200" w:firstLine="480"/>
    </w:pPr>
    <w:rPr>
      <w:rFonts w:ascii="仿宋_GB2312" w:eastAsia="仿宋_GB2312"/>
      <w:dstrike/>
      <w:sz w:val="24"/>
      <w:szCs w:val="24"/>
    </w:rPr>
  </w:style>
  <w:style w:type="character" w:customStyle="1" w:styleId="Charfc">
    <w:name w:val="删除 Char"/>
    <w:link w:val="afff5"/>
    <w:rsid w:val="00092652"/>
    <w:rPr>
      <w:rFonts w:ascii="仿宋_GB2312" w:eastAsia="仿宋_GB2312"/>
      <w:dstrike/>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semiHidden="0" w:uiPriority="9" w:qFormat="1"/>
    <w:lsdException w:name="heading 5" w:semiHidden="0" w:uiPriority="9" w:unhideWhenUsed="0" w:qFormat="1"/>
    <w:lsdException w:name="heading 6" w:semiHidden="0"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qFormat="1"/>
    <w:lsdException w:name="toc 2" w:uiPriority="39" w:qFormat="1"/>
    <w:lsdException w:name="toc 3" w:uiPriority="39" w:qFormat="1"/>
    <w:lsdException w:name="toc 4" w:uiPriority="99" w:qFormat="1"/>
    <w:lsdException w:name="toc 5" w:uiPriority="99" w:qFormat="1"/>
    <w:lsdException w:name="toc 6" w:uiPriority="99" w:qFormat="1"/>
    <w:lsdException w:name="toc 7" w:uiPriority="99"/>
    <w:lsdException w:name="toc 8" w:uiPriority="99" w:qFormat="1"/>
    <w:lsdException w:name="toc 9" w:uiPriority="99" w:qFormat="1"/>
    <w:lsdException w:name="Normal Indent" w:unhideWhenUsed="0" w:qFormat="1"/>
    <w:lsdException w:name="footnote text" w:uiPriority="99" w:qFormat="1"/>
    <w:lsdException w:name="annotation text" w:uiPriority="99"/>
    <w:lsdException w:name="header" w:qFormat="1"/>
    <w:lsdException w:name="footer" w:uiPriority="99" w:qFormat="1"/>
    <w:lsdException w:name="caption" w:uiPriority="35" w:unhideWhenUsed="0" w:qFormat="1"/>
    <w:lsdException w:name="footnote reference" w:uiPriority="99" w:unhideWhenUsed="0" w:qFormat="1"/>
    <w:lsdException w:name="annotation reference" w:uiPriority="99" w:qFormat="1"/>
    <w:lsdException w:name="page number" w:unhideWhenUsed="0" w:qFormat="1"/>
    <w:lsdException w:name="endnote reference" w:uiPriority="99"/>
    <w:lsdException w:name="endnote text" w:uiPriority="99" w:qFormat="1"/>
    <w:lsdException w:name="List" w:uiPriority="99"/>
    <w:lsdException w:name="List 2" w:qFormat="1"/>
    <w:lsdException w:name="List 3"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iPriority="99" w:unhideWhenUsed="0" w:qFormat="1"/>
    <w:lsdException w:name="Date" w:semiHidden="0"/>
    <w:lsdException w:name="Note Heading" w:uiPriority="99" w:unhideWhenUsed="0"/>
    <w:lsdException w:name="Body Text 2" w:unhideWhenUsed="0"/>
    <w:lsdException w:name="Body Text Indent 2" w:qFormat="1"/>
    <w:lsdException w:name="Body Text Indent 3" w:qFormat="1"/>
    <w:lsdException w:name="Hyperlink" w:uiPriority="99" w:qFormat="1"/>
    <w:lsdException w:name="FollowedHyperlink" w:uiPriority="99"/>
    <w:lsdException w:name="Strong" w:semiHidden="0" w:unhideWhenUsed="0" w:qFormat="1"/>
    <w:lsdException w:name="Emphasis" w:semiHidden="0" w:uiPriority="20" w:unhideWhenUsed="0" w:qFormat="1"/>
    <w:lsdException w:name="Plain Text" w:qFormat="1"/>
    <w:lsdException w:name="HTML Top of Form" w:uiPriority="99"/>
    <w:lsdException w:name="HTML Bottom of Form" w:uiPriority="99"/>
    <w:lsdException w:name="Normal (Web)" w:uiPriority="99" w:qFormat="1"/>
    <w:lsdException w:name="HTML Preformatted" w:uiPriority="99"/>
    <w:lsdException w:name="Normal Table" w:uiPriority="99" w:qFormat="1"/>
    <w:lsdException w:name="annotation subject" w:uiPriority="99"/>
    <w:lsdException w:name="No List" w:uiPriority="99"/>
    <w:lsdException w:name="Outline List 1" w:uiPriority="99"/>
    <w:lsdException w:name="Outline List 2" w:uiPriority="99"/>
    <w:lsdException w:name="Outline List 3" w:uiPriority="99"/>
    <w:lsdException w:name="Table Simple 3" w:uiPriority="99"/>
    <w:lsdException w:name="Balloon Text" w:uiPriority="99" w:qFormat="1"/>
    <w:lsdException w:name="Table Grid" w:semiHidden="0" w:uiPriority="59" w:unhideWhenUsed="0" w:qFormat="1"/>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2652"/>
    <w:pPr>
      <w:widowControl w:val="0"/>
      <w:jc w:val="both"/>
    </w:pPr>
    <w:rPr>
      <w:kern w:val="2"/>
      <w:sz w:val="21"/>
    </w:rPr>
  </w:style>
  <w:style w:type="paragraph" w:styleId="1">
    <w:name w:val="heading 1"/>
    <w:basedOn w:val="a0"/>
    <w:next w:val="a0"/>
    <w:link w:val="1Char"/>
    <w:qFormat/>
    <w:rsid w:val="00092652"/>
    <w:pPr>
      <w:keepNext/>
      <w:keepLines/>
      <w:tabs>
        <w:tab w:val="left" w:pos="432"/>
      </w:tabs>
      <w:spacing w:before="120" w:after="120" w:line="360" w:lineRule="auto"/>
      <w:ind w:left="432" w:hanging="432"/>
      <w:jc w:val="center"/>
      <w:outlineLvl w:val="0"/>
    </w:pPr>
    <w:rPr>
      <w:rFonts w:ascii="黑体" w:eastAsia="黑体"/>
      <w:kern w:val="44"/>
      <w:sz w:val="32"/>
    </w:rPr>
  </w:style>
  <w:style w:type="paragraph" w:styleId="2">
    <w:name w:val="heading 2"/>
    <w:basedOn w:val="a0"/>
    <w:next w:val="a0"/>
    <w:link w:val="2Char"/>
    <w:unhideWhenUsed/>
    <w:qFormat/>
    <w:rsid w:val="00092652"/>
    <w:pPr>
      <w:keepNext/>
      <w:keepLines/>
      <w:spacing w:before="260" w:after="260" w:line="416" w:lineRule="auto"/>
      <w:outlineLvl w:val="1"/>
    </w:pPr>
    <w:rPr>
      <w:rFonts w:ascii="Cambria" w:hAnsi="Cambria" w:cs="黑体"/>
      <w:b/>
      <w:bCs/>
      <w:sz w:val="32"/>
      <w:szCs w:val="32"/>
    </w:rPr>
  </w:style>
  <w:style w:type="paragraph" w:styleId="3">
    <w:name w:val="heading 3"/>
    <w:basedOn w:val="a0"/>
    <w:next w:val="a0"/>
    <w:link w:val="3Char"/>
    <w:unhideWhenUsed/>
    <w:qFormat/>
    <w:rsid w:val="00092652"/>
    <w:pPr>
      <w:keepNext/>
      <w:keepLines/>
      <w:spacing w:before="260" w:after="260" w:line="416" w:lineRule="auto"/>
      <w:outlineLvl w:val="2"/>
    </w:pPr>
    <w:rPr>
      <w:b/>
      <w:bCs/>
      <w:sz w:val="32"/>
      <w:szCs w:val="32"/>
    </w:rPr>
  </w:style>
  <w:style w:type="paragraph" w:styleId="4">
    <w:name w:val="heading 4"/>
    <w:basedOn w:val="a0"/>
    <w:next w:val="a0"/>
    <w:link w:val="4Char"/>
    <w:uiPriority w:val="9"/>
    <w:unhideWhenUsed/>
    <w:qFormat/>
    <w:rsid w:val="00092652"/>
    <w:pPr>
      <w:keepNext/>
      <w:keepLines/>
      <w:spacing w:before="280" w:after="290" w:line="376" w:lineRule="auto"/>
      <w:outlineLvl w:val="3"/>
    </w:pPr>
    <w:rPr>
      <w:rFonts w:ascii="Cambria" w:hAnsi="Cambria" w:cs="黑体"/>
      <w:b/>
      <w:bCs/>
      <w:sz w:val="28"/>
      <w:szCs w:val="28"/>
    </w:rPr>
  </w:style>
  <w:style w:type="paragraph" w:styleId="5">
    <w:name w:val="heading 5"/>
    <w:basedOn w:val="a0"/>
    <w:next w:val="a0"/>
    <w:link w:val="5Char"/>
    <w:uiPriority w:val="9"/>
    <w:qFormat/>
    <w:rsid w:val="00092652"/>
    <w:pPr>
      <w:keepNext/>
      <w:keepLines/>
      <w:spacing w:before="280" w:after="290" w:line="376" w:lineRule="auto"/>
      <w:outlineLvl w:val="4"/>
    </w:pPr>
    <w:rPr>
      <w:rFonts w:ascii="Calibri" w:eastAsia="黑体" w:hAnsi="Calibri"/>
      <w:b/>
      <w:bCs/>
      <w:color w:val="92D400"/>
      <w:kern w:val="0"/>
      <w:sz w:val="24"/>
      <w:szCs w:val="28"/>
    </w:rPr>
  </w:style>
  <w:style w:type="paragraph" w:styleId="6">
    <w:name w:val="heading 6"/>
    <w:basedOn w:val="a0"/>
    <w:next w:val="a0"/>
    <w:link w:val="6Char"/>
    <w:uiPriority w:val="9"/>
    <w:qFormat/>
    <w:rsid w:val="00092652"/>
    <w:pPr>
      <w:keepNext/>
      <w:keepLines/>
      <w:spacing w:before="240" w:after="64" w:line="320" w:lineRule="auto"/>
      <w:outlineLvl w:val="5"/>
    </w:pPr>
    <w:rPr>
      <w:rFonts w:ascii="Calibri" w:eastAsia="黑体" w:hAnsi="Calibri"/>
      <w:b/>
      <w:bCs/>
      <w:color w:val="72C7E7"/>
      <w:kern w:val="0"/>
      <w:sz w:val="24"/>
      <w:szCs w:val="28"/>
    </w:rPr>
  </w:style>
  <w:style w:type="paragraph" w:styleId="7">
    <w:name w:val="heading 7"/>
    <w:basedOn w:val="a0"/>
    <w:next w:val="a0"/>
    <w:link w:val="7Char"/>
    <w:uiPriority w:val="9"/>
    <w:qFormat/>
    <w:rsid w:val="00092652"/>
    <w:pPr>
      <w:keepNext/>
      <w:keepLines/>
      <w:spacing w:before="240" w:after="64" w:line="320" w:lineRule="auto"/>
      <w:outlineLvl w:val="6"/>
    </w:pPr>
    <w:rPr>
      <w:rFonts w:ascii="Calibri" w:eastAsia="黑体" w:hAnsi="Calibri"/>
      <w:b/>
      <w:bCs/>
      <w:color w:val="C9DD03"/>
      <w:kern w:val="0"/>
      <w:sz w:val="24"/>
      <w:szCs w:val="28"/>
    </w:rPr>
  </w:style>
  <w:style w:type="paragraph" w:styleId="8">
    <w:name w:val="heading 8"/>
    <w:basedOn w:val="a0"/>
    <w:next w:val="a0"/>
    <w:link w:val="8Char"/>
    <w:uiPriority w:val="9"/>
    <w:qFormat/>
    <w:rsid w:val="00092652"/>
    <w:pPr>
      <w:keepNext/>
      <w:keepLines/>
      <w:spacing w:before="240" w:after="64" w:line="320" w:lineRule="auto"/>
      <w:outlineLvl w:val="7"/>
    </w:pPr>
    <w:rPr>
      <w:rFonts w:ascii="Calibri" w:eastAsia="黑体" w:hAnsi="Calibri"/>
      <w:b/>
      <w:bCs/>
      <w:i/>
      <w:kern w:val="0"/>
      <w:sz w:val="24"/>
      <w:szCs w:val="28"/>
    </w:rPr>
  </w:style>
  <w:style w:type="paragraph" w:styleId="9">
    <w:name w:val="heading 9"/>
    <w:basedOn w:val="a0"/>
    <w:next w:val="a0"/>
    <w:link w:val="9Char"/>
    <w:uiPriority w:val="9"/>
    <w:qFormat/>
    <w:rsid w:val="00092652"/>
    <w:pPr>
      <w:keepNext/>
      <w:keepLines/>
      <w:spacing w:before="240" w:after="64" w:line="320" w:lineRule="auto"/>
      <w:outlineLvl w:val="8"/>
    </w:pPr>
    <w:rPr>
      <w:rFonts w:ascii="Calibri" w:eastAsia="黑体" w:hAnsi="Calibri"/>
      <w:bCs/>
      <w:i/>
      <w:kern w:val="0"/>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0">
    <w:name w:val="List 3"/>
    <w:basedOn w:val="a0"/>
    <w:rsid w:val="00092652"/>
    <w:pPr>
      <w:ind w:leftChars="400" w:left="100" w:hangingChars="200" w:hanging="200"/>
    </w:pPr>
    <w:rPr>
      <w:szCs w:val="24"/>
    </w:rPr>
  </w:style>
  <w:style w:type="paragraph" w:styleId="70">
    <w:name w:val="toc 7"/>
    <w:basedOn w:val="a0"/>
    <w:next w:val="a0"/>
    <w:uiPriority w:val="99"/>
    <w:unhideWhenUsed/>
    <w:rsid w:val="00092652"/>
    <w:pPr>
      <w:adjustRightInd w:val="0"/>
      <w:snapToGrid w:val="0"/>
      <w:spacing w:line="500" w:lineRule="exact"/>
      <w:ind w:left="1440" w:firstLineChars="200" w:firstLine="200"/>
      <w:jc w:val="left"/>
    </w:pPr>
    <w:rPr>
      <w:rFonts w:ascii="Calibri" w:hAnsi="Calibri"/>
      <w:sz w:val="18"/>
      <w:szCs w:val="18"/>
    </w:rPr>
  </w:style>
  <w:style w:type="paragraph" w:styleId="a4">
    <w:name w:val="Note Heading"/>
    <w:basedOn w:val="a0"/>
    <w:next w:val="a0"/>
    <w:link w:val="Char"/>
    <w:uiPriority w:val="99"/>
    <w:rsid w:val="00092652"/>
    <w:pPr>
      <w:jc w:val="center"/>
    </w:pPr>
    <w:rPr>
      <w:szCs w:val="21"/>
    </w:rPr>
  </w:style>
  <w:style w:type="paragraph" w:styleId="a5">
    <w:name w:val="Normal Indent"/>
    <w:basedOn w:val="a0"/>
    <w:qFormat/>
    <w:rsid w:val="00092652"/>
    <w:pPr>
      <w:ind w:firstLine="420"/>
    </w:pPr>
    <w:rPr>
      <w:rFonts w:eastAsia="楷体"/>
      <w:spacing w:val="20"/>
      <w:sz w:val="28"/>
    </w:rPr>
  </w:style>
  <w:style w:type="paragraph" w:styleId="a6">
    <w:name w:val="caption"/>
    <w:basedOn w:val="a0"/>
    <w:next w:val="a0"/>
    <w:uiPriority w:val="35"/>
    <w:qFormat/>
    <w:rsid w:val="00092652"/>
    <w:rPr>
      <w:rFonts w:ascii="Cambria" w:eastAsia="黑体" w:hAnsi="Cambria"/>
      <w:sz w:val="20"/>
    </w:rPr>
  </w:style>
  <w:style w:type="paragraph" w:styleId="a7">
    <w:name w:val="Document Map"/>
    <w:basedOn w:val="a0"/>
    <w:link w:val="Char0"/>
    <w:unhideWhenUsed/>
    <w:rsid w:val="00092652"/>
    <w:pPr>
      <w:adjustRightInd w:val="0"/>
      <w:snapToGrid w:val="0"/>
      <w:spacing w:line="500" w:lineRule="exact"/>
      <w:ind w:firstLineChars="200" w:firstLine="200"/>
    </w:pPr>
    <w:rPr>
      <w:rFonts w:ascii="宋体"/>
      <w:sz w:val="18"/>
      <w:szCs w:val="18"/>
    </w:rPr>
  </w:style>
  <w:style w:type="paragraph" w:styleId="a8">
    <w:name w:val="annotation text"/>
    <w:basedOn w:val="a0"/>
    <w:link w:val="Char1"/>
    <w:uiPriority w:val="99"/>
    <w:unhideWhenUsed/>
    <w:rsid w:val="00092652"/>
    <w:pPr>
      <w:jc w:val="left"/>
    </w:pPr>
    <w:rPr>
      <w:szCs w:val="24"/>
    </w:rPr>
  </w:style>
  <w:style w:type="paragraph" w:styleId="a9">
    <w:name w:val="Salutation"/>
    <w:basedOn w:val="a0"/>
    <w:next w:val="a0"/>
    <w:link w:val="Char2"/>
    <w:uiPriority w:val="99"/>
    <w:qFormat/>
    <w:rsid w:val="00092652"/>
    <w:rPr>
      <w:szCs w:val="21"/>
    </w:rPr>
  </w:style>
  <w:style w:type="paragraph" w:styleId="aa">
    <w:name w:val="Body Text"/>
    <w:basedOn w:val="a0"/>
    <w:link w:val="Char3"/>
    <w:unhideWhenUsed/>
    <w:qFormat/>
    <w:rsid w:val="00092652"/>
    <w:pPr>
      <w:spacing w:after="120"/>
    </w:pPr>
  </w:style>
  <w:style w:type="paragraph" w:styleId="ab">
    <w:name w:val="Body Text Indent"/>
    <w:basedOn w:val="a0"/>
    <w:link w:val="Char4"/>
    <w:unhideWhenUsed/>
    <w:rsid w:val="00092652"/>
    <w:pPr>
      <w:spacing w:line="500" w:lineRule="exact"/>
      <w:ind w:firstLineChars="200" w:firstLine="562"/>
    </w:pPr>
    <w:rPr>
      <w:rFonts w:ascii="仿宋_GB2312" w:eastAsia="仿宋_GB2312" w:hAnsi="宋体"/>
      <w:b/>
      <w:bCs/>
      <w:color w:val="000000"/>
      <w:kern w:val="0"/>
      <w:sz w:val="28"/>
      <w:szCs w:val="28"/>
    </w:rPr>
  </w:style>
  <w:style w:type="paragraph" w:styleId="20">
    <w:name w:val="List 2"/>
    <w:basedOn w:val="a0"/>
    <w:unhideWhenUsed/>
    <w:qFormat/>
    <w:rsid w:val="00092652"/>
    <w:pPr>
      <w:ind w:leftChars="200" w:left="100" w:hangingChars="200" w:hanging="200"/>
      <w:contextualSpacing/>
    </w:pPr>
  </w:style>
  <w:style w:type="paragraph" w:styleId="50">
    <w:name w:val="toc 5"/>
    <w:basedOn w:val="a0"/>
    <w:next w:val="a0"/>
    <w:uiPriority w:val="99"/>
    <w:unhideWhenUsed/>
    <w:qFormat/>
    <w:rsid w:val="00092652"/>
    <w:pPr>
      <w:adjustRightInd w:val="0"/>
      <w:snapToGrid w:val="0"/>
      <w:spacing w:line="500" w:lineRule="exact"/>
      <w:ind w:left="960" w:firstLineChars="200" w:firstLine="200"/>
      <w:jc w:val="left"/>
    </w:pPr>
    <w:rPr>
      <w:rFonts w:ascii="Calibri" w:hAnsi="Calibri"/>
      <w:sz w:val="18"/>
      <w:szCs w:val="18"/>
    </w:rPr>
  </w:style>
  <w:style w:type="paragraph" w:styleId="31">
    <w:name w:val="toc 3"/>
    <w:basedOn w:val="a0"/>
    <w:next w:val="a0"/>
    <w:uiPriority w:val="39"/>
    <w:unhideWhenUsed/>
    <w:qFormat/>
    <w:rsid w:val="00092652"/>
    <w:pPr>
      <w:adjustRightInd w:val="0"/>
      <w:snapToGrid w:val="0"/>
      <w:spacing w:line="500" w:lineRule="exact"/>
      <w:ind w:left="480" w:firstLineChars="200" w:firstLine="200"/>
      <w:jc w:val="left"/>
    </w:pPr>
    <w:rPr>
      <w:rFonts w:ascii="Calibri" w:hAnsi="Calibri"/>
      <w:i/>
      <w:iCs/>
      <w:sz w:val="20"/>
    </w:rPr>
  </w:style>
  <w:style w:type="paragraph" w:styleId="ac">
    <w:name w:val="Plain Text"/>
    <w:basedOn w:val="a0"/>
    <w:link w:val="Char5"/>
    <w:unhideWhenUsed/>
    <w:qFormat/>
    <w:rsid w:val="00092652"/>
    <w:rPr>
      <w:rFonts w:ascii="宋体" w:eastAsia="仿宋_GB2312" w:hAnsi="Courier New" w:cs="Courier New"/>
      <w:sz w:val="32"/>
      <w:szCs w:val="21"/>
    </w:rPr>
  </w:style>
  <w:style w:type="paragraph" w:styleId="80">
    <w:name w:val="toc 8"/>
    <w:basedOn w:val="a0"/>
    <w:next w:val="a0"/>
    <w:uiPriority w:val="99"/>
    <w:unhideWhenUsed/>
    <w:qFormat/>
    <w:rsid w:val="00092652"/>
    <w:pPr>
      <w:adjustRightInd w:val="0"/>
      <w:snapToGrid w:val="0"/>
      <w:spacing w:line="500" w:lineRule="exact"/>
      <w:ind w:left="1680" w:firstLineChars="200" w:firstLine="200"/>
      <w:jc w:val="left"/>
    </w:pPr>
    <w:rPr>
      <w:rFonts w:ascii="Calibri" w:hAnsi="Calibri"/>
      <w:sz w:val="18"/>
      <w:szCs w:val="18"/>
    </w:rPr>
  </w:style>
  <w:style w:type="paragraph" w:styleId="ad">
    <w:name w:val="Date"/>
    <w:basedOn w:val="a0"/>
    <w:next w:val="a0"/>
    <w:link w:val="Char6"/>
    <w:unhideWhenUsed/>
    <w:rsid w:val="00092652"/>
    <w:pPr>
      <w:ind w:leftChars="2500" w:left="100"/>
    </w:pPr>
    <w:rPr>
      <w:sz w:val="30"/>
      <w:szCs w:val="24"/>
    </w:rPr>
  </w:style>
  <w:style w:type="paragraph" w:styleId="21">
    <w:name w:val="Body Text Indent 2"/>
    <w:basedOn w:val="a0"/>
    <w:link w:val="2Char0"/>
    <w:unhideWhenUsed/>
    <w:qFormat/>
    <w:rsid w:val="00092652"/>
    <w:pPr>
      <w:spacing w:after="120" w:line="480" w:lineRule="auto"/>
      <w:ind w:leftChars="200" w:left="420"/>
    </w:pPr>
  </w:style>
  <w:style w:type="paragraph" w:styleId="ae">
    <w:name w:val="endnote text"/>
    <w:basedOn w:val="a0"/>
    <w:link w:val="Char7"/>
    <w:uiPriority w:val="99"/>
    <w:unhideWhenUsed/>
    <w:qFormat/>
    <w:rsid w:val="00092652"/>
    <w:pPr>
      <w:snapToGrid w:val="0"/>
      <w:jc w:val="left"/>
    </w:pPr>
    <w:rPr>
      <w:szCs w:val="24"/>
    </w:rPr>
  </w:style>
  <w:style w:type="paragraph" w:styleId="af">
    <w:name w:val="Balloon Text"/>
    <w:basedOn w:val="a0"/>
    <w:link w:val="Char8"/>
    <w:uiPriority w:val="99"/>
    <w:unhideWhenUsed/>
    <w:qFormat/>
    <w:rsid w:val="00092652"/>
    <w:rPr>
      <w:sz w:val="18"/>
      <w:szCs w:val="18"/>
    </w:rPr>
  </w:style>
  <w:style w:type="paragraph" w:styleId="af0">
    <w:name w:val="footer"/>
    <w:basedOn w:val="a0"/>
    <w:link w:val="Char9"/>
    <w:uiPriority w:val="99"/>
    <w:unhideWhenUsed/>
    <w:qFormat/>
    <w:rsid w:val="00092652"/>
    <w:pPr>
      <w:tabs>
        <w:tab w:val="center" w:pos="4153"/>
        <w:tab w:val="right" w:pos="8306"/>
      </w:tabs>
      <w:snapToGrid w:val="0"/>
      <w:jc w:val="left"/>
    </w:pPr>
    <w:rPr>
      <w:sz w:val="18"/>
      <w:szCs w:val="18"/>
    </w:rPr>
  </w:style>
  <w:style w:type="paragraph" w:styleId="af1">
    <w:name w:val="header"/>
    <w:basedOn w:val="a0"/>
    <w:link w:val="Chara"/>
    <w:unhideWhenUsed/>
    <w:qFormat/>
    <w:rsid w:val="00092652"/>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unhideWhenUsed/>
    <w:qFormat/>
    <w:rsid w:val="00092652"/>
    <w:pPr>
      <w:tabs>
        <w:tab w:val="right" w:leader="dot" w:pos="8302"/>
      </w:tabs>
      <w:spacing w:line="520" w:lineRule="exact"/>
    </w:pPr>
    <w:rPr>
      <w:rFonts w:ascii="楷体_GB2312" w:eastAsia="楷体_GB2312"/>
      <w:sz w:val="28"/>
      <w:szCs w:val="28"/>
    </w:rPr>
  </w:style>
  <w:style w:type="paragraph" w:styleId="40">
    <w:name w:val="toc 4"/>
    <w:basedOn w:val="a0"/>
    <w:next w:val="a0"/>
    <w:uiPriority w:val="99"/>
    <w:unhideWhenUsed/>
    <w:qFormat/>
    <w:rsid w:val="00092652"/>
    <w:pPr>
      <w:adjustRightInd w:val="0"/>
      <w:snapToGrid w:val="0"/>
      <w:spacing w:line="500" w:lineRule="exact"/>
      <w:ind w:left="720" w:firstLineChars="200" w:firstLine="200"/>
      <w:jc w:val="left"/>
    </w:pPr>
    <w:rPr>
      <w:rFonts w:ascii="Calibri" w:hAnsi="Calibri"/>
      <w:sz w:val="18"/>
      <w:szCs w:val="18"/>
    </w:rPr>
  </w:style>
  <w:style w:type="paragraph" w:styleId="af2">
    <w:name w:val="Subtitle"/>
    <w:basedOn w:val="a0"/>
    <w:next w:val="a0"/>
    <w:link w:val="Char10"/>
    <w:qFormat/>
    <w:rsid w:val="00092652"/>
    <w:pPr>
      <w:spacing w:before="240" w:after="60" w:line="312" w:lineRule="auto"/>
      <w:jc w:val="center"/>
      <w:outlineLvl w:val="1"/>
    </w:pPr>
    <w:rPr>
      <w:rFonts w:ascii="Cambria" w:hAnsi="Cambria"/>
      <w:b/>
      <w:bCs/>
      <w:kern w:val="28"/>
      <w:sz w:val="32"/>
      <w:szCs w:val="32"/>
    </w:rPr>
  </w:style>
  <w:style w:type="paragraph" w:styleId="af3">
    <w:name w:val="List"/>
    <w:basedOn w:val="a0"/>
    <w:uiPriority w:val="99"/>
    <w:semiHidden/>
    <w:unhideWhenUsed/>
    <w:rsid w:val="00092652"/>
    <w:pPr>
      <w:widowControl/>
      <w:ind w:left="200" w:hangingChars="200" w:hanging="200"/>
      <w:contextualSpacing/>
      <w:jc w:val="left"/>
    </w:pPr>
    <w:rPr>
      <w:rFonts w:ascii="Calibri" w:hAnsi="Calibri"/>
      <w:kern w:val="0"/>
      <w:sz w:val="20"/>
    </w:rPr>
  </w:style>
  <w:style w:type="paragraph" w:styleId="af4">
    <w:name w:val="footnote text"/>
    <w:basedOn w:val="a0"/>
    <w:link w:val="Charb"/>
    <w:uiPriority w:val="99"/>
    <w:unhideWhenUsed/>
    <w:qFormat/>
    <w:rsid w:val="00092652"/>
    <w:pPr>
      <w:snapToGrid w:val="0"/>
      <w:jc w:val="left"/>
    </w:pPr>
    <w:rPr>
      <w:sz w:val="18"/>
      <w:szCs w:val="18"/>
    </w:rPr>
  </w:style>
  <w:style w:type="paragraph" w:styleId="60">
    <w:name w:val="toc 6"/>
    <w:basedOn w:val="a0"/>
    <w:next w:val="a0"/>
    <w:uiPriority w:val="99"/>
    <w:unhideWhenUsed/>
    <w:qFormat/>
    <w:rsid w:val="00092652"/>
    <w:pPr>
      <w:adjustRightInd w:val="0"/>
      <w:snapToGrid w:val="0"/>
      <w:spacing w:line="500" w:lineRule="exact"/>
      <w:ind w:left="1200" w:firstLineChars="200" w:firstLine="200"/>
      <w:jc w:val="left"/>
    </w:pPr>
    <w:rPr>
      <w:rFonts w:ascii="Calibri" w:hAnsi="Calibri"/>
      <w:sz w:val="18"/>
      <w:szCs w:val="18"/>
    </w:rPr>
  </w:style>
  <w:style w:type="paragraph" w:styleId="32">
    <w:name w:val="Body Text Indent 3"/>
    <w:basedOn w:val="a0"/>
    <w:link w:val="3Char0"/>
    <w:unhideWhenUsed/>
    <w:qFormat/>
    <w:rsid w:val="00092652"/>
    <w:pPr>
      <w:spacing w:after="120"/>
      <w:ind w:leftChars="200" w:left="420"/>
    </w:pPr>
    <w:rPr>
      <w:sz w:val="16"/>
      <w:szCs w:val="16"/>
    </w:rPr>
  </w:style>
  <w:style w:type="paragraph" w:styleId="22">
    <w:name w:val="toc 2"/>
    <w:basedOn w:val="a0"/>
    <w:next w:val="a0"/>
    <w:uiPriority w:val="39"/>
    <w:unhideWhenUsed/>
    <w:qFormat/>
    <w:rsid w:val="00092652"/>
    <w:pPr>
      <w:adjustRightInd w:val="0"/>
      <w:snapToGrid w:val="0"/>
      <w:spacing w:line="500" w:lineRule="exact"/>
      <w:ind w:left="240" w:firstLineChars="200" w:firstLine="200"/>
      <w:jc w:val="left"/>
    </w:pPr>
    <w:rPr>
      <w:rFonts w:ascii="Calibri" w:hAnsi="Calibri"/>
      <w:smallCaps/>
      <w:sz w:val="20"/>
    </w:rPr>
  </w:style>
  <w:style w:type="paragraph" w:styleId="90">
    <w:name w:val="toc 9"/>
    <w:basedOn w:val="a0"/>
    <w:next w:val="a0"/>
    <w:uiPriority w:val="99"/>
    <w:unhideWhenUsed/>
    <w:qFormat/>
    <w:rsid w:val="00092652"/>
    <w:pPr>
      <w:adjustRightInd w:val="0"/>
      <w:snapToGrid w:val="0"/>
      <w:spacing w:line="500" w:lineRule="exact"/>
      <w:ind w:left="1920" w:firstLineChars="200" w:firstLine="200"/>
      <w:jc w:val="left"/>
    </w:pPr>
    <w:rPr>
      <w:rFonts w:ascii="Calibri" w:hAnsi="Calibri"/>
      <w:sz w:val="18"/>
      <w:szCs w:val="18"/>
    </w:rPr>
  </w:style>
  <w:style w:type="paragraph" w:styleId="23">
    <w:name w:val="Body Text 2"/>
    <w:basedOn w:val="a0"/>
    <w:link w:val="2Char1"/>
    <w:rsid w:val="00092652"/>
    <w:pPr>
      <w:spacing w:after="120" w:line="480" w:lineRule="auto"/>
    </w:pPr>
    <w:rPr>
      <w:szCs w:val="24"/>
    </w:rPr>
  </w:style>
  <w:style w:type="paragraph" w:styleId="24">
    <w:name w:val="List Continue 2"/>
    <w:basedOn w:val="a0"/>
    <w:unhideWhenUsed/>
    <w:rsid w:val="00092652"/>
    <w:pPr>
      <w:spacing w:after="120"/>
      <w:ind w:leftChars="400" w:left="840"/>
      <w:contextualSpacing/>
    </w:pPr>
  </w:style>
  <w:style w:type="paragraph" w:styleId="HTML">
    <w:name w:val="HTML Preformatted"/>
    <w:basedOn w:val="a0"/>
    <w:link w:val="HTMLChar"/>
    <w:uiPriority w:val="99"/>
    <w:unhideWhenUsed/>
    <w:rsid w:val="000926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5">
    <w:name w:val="Normal (Web)"/>
    <w:basedOn w:val="a0"/>
    <w:uiPriority w:val="99"/>
    <w:unhideWhenUsed/>
    <w:qFormat/>
    <w:rsid w:val="00092652"/>
    <w:pPr>
      <w:widowControl/>
      <w:spacing w:before="100" w:beforeAutospacing="1" w:after="100" w:afterAutospacing="1"/>
      <w:jc w:val="left"/>
    </w:pPr>
    <w:rPr>
      <w:rFonts w:ascii="宋体" w:hAnsi="宋体" w:cs="宋体"/>
      <w:kern w:val="0"/>
      <w:sz w:val="24"/>
      <w:szCs w:val="24"/>
    </w:rPr>
  </w:style>
  <w:style w:type="paragraph" w:styleId="af6">
    <w:name w:val="Title"/>
    <w:basedOn w:val="a0"/>
    <w:next w:val="a0"/>
    <w:link w:val="Charc"/>
    <w:qFormat/>
    <w:rsid w:val="00092652"/>
    <w:pPr>
      <w:spacing w:before="240" w:after="60"/>
      <w:jc w:val="center"/>
      <w:outlineLvl w:val="0"/>
    </w:pPr>
    <w:rPr>
      <w:rFonts w:ascii="Cambria" w:hAnsi="Cambria"/>
      <w:b/>
      <w:bCs/>
      <w:sz w:val="32"/>
      <w:szCs w:val="32"/>
    </w:rPr>
  </w:style>
  <w:style w:type="paragraph" w:styleId="af7">
    <w:name w:val="annotation subject"/>
    <w:basedOn w:val="a8"/>
    <w:next w:val="a8"/>
    <w:link w:val="Char11"/>
    <w:uiPriority w:val="99"/>
    <w:unhideWhenUsed/>
    <w:rsid w:val="00092652"/>
    <w:rPr>
      <w:b/>
      <w:bCs/>
    </w:rPr>
  </w:style>
  <w:style w:type="table" w:styleId="af8">
    <w:name w:val="Table Grid"/>
    <w:basedOn w:val="a2"/>
    <w:uiPriority w:val="59"/>
    <w:qFormat/>
    <w:rsid w:val="0009265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3">
    <w:name w:val="Table Simple 3"/>
    <w:basedOn w:val="a2"/>
    <w:uiPriority w:val="99"/>
    <w:unhideWhenUsed/>
    <w:rsid w:val="00092652"/>
    <w:pPr>
      <w:widowControl w:val="0"/>
      <w:spacing w:line="500" w:lineRule="exact"/>
      <w:jc w:val="both"/>
    </w:pPr>
    <w:rPr>
      <w:rFonts w:ascii="Calibri" w:hAnsi="Calibri"/>
      <w:kern w:val="2"/>
      <w:sz w:val="21"/>
      <w:szCs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34">
    <w:name w:val="Table List 3"/>
    <w:basedOn w:val="a2"/>
    <w:rsid w:val="00092652"/>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character" w:styleId="af9">
    <w:name w:val="Strong"/>
    <w:basedOn w:val="a1"/>
    <w:qFormat/>
    <w:rsid w:val="00092652"/>
    <w:rPr>
      <w:b/>
      <w:bCs/>
    </w:rPr>
  </w:style>
  <w:style w:type="character" w:styleId="afa">
    <w:name w:val="endnote reference"/>
    <w:uiPriority w:val="99"/>
    <w:unhideWhenUsed/>
    <w:rsid w:val="00092652"/>
    <w:rPr>
      <w:vertAlign w:val="superscript"/>
    </w:rPr>
  </w:style>
  <w:style w:type="character" w:styleId="afb">
    <w:name w:val="page number"/>
    <w:basedOn w:val="a1"/>
    <w:qFormat/>
    <w:rsid w:val="00092652"/>
    <w:rPr>
      <w:rFonts w:cs="Times New Roman"/>
    </w:rPr>
  </w:style>
  <w:style w:type="character" w:styleId="afc">
    <w:name w:val="FollowedHyperlink"/>
    <w:uiPriority w:val="99"/>
    <w:unhideWhenUsed/>
    <w:rsid w:val="00092652"/>
    <w:rPr>
      <w:color w:val="800080"/>
      <w:u w:val="single"/>
    </w:rPr>
  </w:style>
  <w:style w:type="character" w:styleId="afd">
    <w:name w:val="Emphasis"/>
    <w:uiPriority w:val="20"/>
    <w:qFormat/>
    <w:rsid w:val="00092652"/>
    <w:rPr>
      <w:i/>
      <w:iCs/>
    </w:rPr>
  </w:style>
  <w:style w:type="character" w:styleId="afe">
    <w:name w:val="Hyperlink"/>
    <w:basedOn w:val="a1"/>
    <w:uiPriority w:val="99"/>
    <w:unhideWhenUsed/>
    <w:qFormat/>
    <w:rsid w:val="00092652"/>
    <w:rPr>
      <w:color w:val="0000FF"/>
      <w:u w:val="single"/>
    </w:rPr>
  </w:style>
  <w:style w:type="character" w:styleId="aff">
    <w:name w:val="annotation reference"/>
    <w:basedOn w:val="a1"/>
    <w:uiPriority w:val="99"/>
    <w:unhideWhenUsed/>
    <w:qFormat/>
    <w:rsid w:val="00092652"/>
    <w:rPr>
      <w:sz w:val="21"/>
      <w:szCs w:val="21"/>
    </w:rPr>
  </w:style>
  <w:style w:type="character" w:styleId="aff0">
    <w:name w:val="footnote reference"/>
    <w:basedOn w:val="a1"/>
    <w:uiPriority w:val="99"/>
    <w:qFormat/>
    <w:rsid w:val="00092652"/>
    <w:rPr>
      <w:vertAlign w:val="superscript"/>
    </w:rPr>
  </w:style>
  <w:style w:type="paragraph" w:customStyle="1" w:styleId="11">
    <w:name w:val="列出段落1"/>
    <w:basedOn w:val="a0"/>
    <w:qFormat/>
    <w:rsid w:val="00092652"/>
    <w:pPr>
      <w:ind w:firstLineChars="200" w:firstLine="420"/>
    </w:pPr>
    <w:rPr>
      <w:szCs w:val="24"/>
    </w:rPr>
  </w:style>
  <w:style w:type="paragraph" w:customStyle="1" w:styleId="Default">
    <w:name w:val="Default"/>
    <w:qFormat/>
    <w:rsid w:val="00092652"/>
    <w:pPr>
      <w:widowControl w:val="0"/>
      <w:autoSpaceDE w:val="0"/>
      <w:autoSpaceDN w:val="0"/>
      <w:adjustRightInd w:val="0"/>
    </w:pPr>
    <w:rPr>
      <w:rFonts w:ascii="仿宋_GB2312" w:eastAsia="仿宋_GB2312" w:cs="仿宋_GB2312"/>
      <w:color w:val="000000"/>
      <w:sz w:val="24"/>
      <w:szCs w:val="24"/>
    </w:rPr>
  </w:style>
  <w:style w:type="paragraph" w:customStyle="1" w:styleId="Chard">
    <w:name w:val="Char"/>
    <w:basedOn w:val="a0"/>
    <w:rsid w:val="00092652"/>
    <w:rPr>
      <w:szCs w:val="24"/>
    </w:rPr>
  </w:style>
  <w:style w:type="paragraph" w:customStyle="1" w:styleId="yy">
    <w:name w:val="yy"/>
    <w:basedOn w:val="24"/>
    <w:qFormat/>
    <w:rsid w:val="00092652"/>
    <w:pPr>
      <w:widowControl/>
      <w:spacing w:line="360" w:lineRule="auto"/>
      <w:ind w:leftChars="0" w:left="0"/>
      <w:jc w:val="left"/>
    </w:pPr>
    <w:rPr>
      <w:rFonts w:ascii="宋体" w:hAnsi="宋体" w:cs="Arial"/>
      <w:color w:val="000000"/>
      <w:kern w:val="0"/>
      <w:szCs w:val="21"/>
    </w:rPr>
  </w:style>
  <w:style w:type="paragraph" w:customStyle="1" w:styleId="Char12">
    <w:name w:val="Char1"/>
    <w:basedOn w:val="a0"/>
    <w:qFormat/>
    <w:rsid w:val="00092652"/>
    <w:pPr>
      <w:widowControl/>
      <w:spacing w:after="160" w:line="240" w:lineRule="exact"/>
      <w:jc w:val="left"/>
    </w:pPr>
    <w:rPr>
      <w:rFonts w:ascii="Verdana" w:hAnsi="Verdana"/>
      <w:kern w:val="0"/>
      <w:sz w:val="20"/>
      <w:lang w:eastAsia="en-US"/>
    </w:rPr>
  </w:style>
  <w:style w:type="character" w:customStyle="1" w:styleId="1Char">
    <w:name w:val="标题 1 Char"/>
    <w:basedOn w:val="a1"/>
    <w:link w:val="1"/>
    <w:qFormat/>
    <w:rsid w:val="00092652"/>
    <w:rPr>
      <w:rFonts w:ascii="黑体" w:eastAsia="黑体" w:hAnsi="Times New Roman" w:cs="Times New Roman"/>
      <w:kern w:val="44"/>
      <w:sz w:val="32"/>
      <w:szCs w:val="20"/>
    </w:rPr>
  </w:style>
  <w:style w:type="character" w:customStyle="1" w:styleId="2Char">
    <w:name w:val="标题 2 Char"/>
    <w:basedOn w:val="a1"/>
    <w:link w:val="2"/>
    <w:qFormat/>
    <w:rsid w:val="00092652"/>
    <w:rPr>
      <w:rFonts w:ascii="Cambria" w:eastAsia="宋体" w:hAnsi="Cambria" w:cs="黑体"/>
      <w:b/>
      <w:bCs/>
      <w:sz w:val="32"/>
      <w:szCs w:val="32"/>
    </w:rPr>
  </w:style>
  <w:style w:type="character" w:customStyle="1" w:styleId="3Char">
    <w:name w:val="标题 3 Char"/>
    <w:basedOn w:val="a1"/>
    <w:link w:val="3"/>
    <w:rsid w:val="00092652"/>
    <w:rPr>
      <w:rFonts w:ascii="Times New Roman" w:eastAsia="宋体" w:hAnsi="Times New Roman" w:cs="Times New Roman"/>
      <w:b/>
      <w:bCs/>
      <w:sz w:val="32"/>
      <w:szCs w:val="32"/>
    </w:rPr>
  </w:style>
  <w:style w:type="character" w:customStyle="1" w:styleId="4Char">
    <w:name w:val="标题 4 Char"/>
    <w:basedOn w:val="a1"/>
    <w:link w:val="4"/>
    <w:uiPriority w:val="9"/>
    <w:qFormat/>
    <w:rsid w:val="00092652"/>
    <w:rPr>
      <w:rFonts w:ascii="Cambria" w:eastAsia="宋体" w:hAnsi="Cambria" w:cs="黑体"/>
      <w:b/>
      <w:bCs/>
      <w:sz w:val="28"/>
      <w:szCs w:val="28"/>
    </w:rPr>
  </w:style>
  <w:style w:type="character" w:customStyle="1" w:styleId="Char8">
    <w:name w:val="批注框文本 Char"/>
    <w:basedOn w:val="a1"/>
    <w:link w:val="af"/>
    <w:uiPriority w:val="99"/>
    <w:qFormat/>
    <w:rsid w:val="00092652"/>
    <w:rPr>
      <w:rFonts w:ascii="Times New Roman" w:eastAsia="宋体" w:hAnsi="Times New Roman" w:cs="Times New Roman"/>
      <w:sz w:val="18"/>
      <w:szCs w:val="18"/>
    </w:rPr>
  </w:style>
  <w:style w:type="character" w:customStyle="1" w:styleId="1Char1">
    <w:name w:val="标题 1 Char1"/>
    <w:basedOn w:val="a1"/>
    <w:rsid w:val="00092652"/>
    <w:rPr>
      <w:rFonts w:eastAsia="宋体" w:cs="Times New Roman"/>
      <w:b/>
      <w:bCs/>
      <w:kern w:val="44"/>
      <w:sz w:val="44"/>
      <w:szCs w:val="44"/>
    </w:rPr>
  </w:style>
  <w:style w:type="character" w:customStyle="1" w:styleId="Charb">
    <w:name w:val="脚注文本 Char"/>
    <w:basedOn w:val="a1"/>
    <w:link w:val="af4"/>
    <w:uiPriority w:val="99"/>
    <w:qFormat/>
    <w:rsid w:val="00092652"/>
    <w:rPr>
      <w:rFonts w:ascii="Times New Roman" w:eastAsia="宋体" w:hAnsi="Times New Roman" w:cs="Times New Roman"/>
      <w:sz w:val="18"/>
      <w:szCs w:val="18"/>
    </w:rPr>
  </w:style>
  <w:style w:type="character" w:customStyle="1" w:styleId="Char13">
    <w:name w:val="脚注文本 Char1"/>
    <w:basedOn w:val="a1"/>
    <w:uiPriority w:val="99"/>
    <w:rsid w:val="00092652"/>
    <w:rPr>
      <w:rFonts w:ascii="Times New Roman" w:eastAsia="宋体" w:hAnsi="Times New Roman" w:cs="Times New Roman"/>
      <w:sz w:val="18"/>
      <w:szCs w:val="18"/>
    </w:rPr>
  </w:style>
  <w:style w:type="character" w:customStyle="1" w:styleId="Chare">
    <w:name w:val="批注文字 Char"/>
    <w:basedOn w:val="a1"/>
    <w:uiPriority w:val="99"/>
    <w:rsid w:val="00092652"/>
    <w:rPr>
      <w:rFonts w:ascii="Times New Roman" w:eastAsia="宋体" w:hAnsi="Times New Roman" w:cs="Times New Roman"/>
      <w:szCs w:val="20"/>
    </w:rPr>
  </w:style>
  <w:style w:type="character" w:customStyle="1" w:styleId="Char1">
    <w:name w:val="批注文字 Char1"/>
    <w:basedOn w:val="a1"/>
    <w:link w:val="a8"/>
    <w:uiPriority w:val="99"/>
    <w:semiHidden/>
    <w:qFormat/>
    <w:locked/>
    <w:rsid w:val="00092652"/>
    <w:rPr>
      <w:rFonts w:ascii="Times New Roman" w:eastAsia="宋体" w:hAnsi="Times New Roman" w:cs="Times New Roman"/>
      <w:szCs w:val="24"/>
    </w:rPr>
  </w:style>
  <w:style w:type="character" w:customStyle="1" w:styleId="Chara">
    <w:name w:val="页眉 Char"/>
    <w:basedOn w:val="a1"/>
    <w:link w:val="af1"/>
    <w:qFormat/>
    <w:rsid w:val="00092652"/>
    <w:rPr>
      <w:rFonts w:ascii="Times New Roman" w:eastAsia="宋体" w:hAnsi="Times New Roman" w:cs="Times New Roman"/>
      <w:sz w:val="18"/>
      <w:szCs w:val="18"/>
    </w:rPr>
  </w:style>
  <w:style w:type="character" w:customStyle="1" w:styleId="Char14">
    <w:name w:val="页眉 Char1"/>
    <w:basedOn w:val="a1"/>
    <w:uiPriority w:val="99"/>
    <w:semiHidden/>
    <w:rsid w:val="00092652"/>
    <w:rPr>
      <w:rFonts w:ascii="Times New Roman" w:eastAsia="宋体" w:hAnsi="Times New Roman" w:cs="Times New Roman"/>
      <w:sz w:val="18"/>
      <w:szCs w:val="18"/>
    </w:rPr>
  </w:style>
  <w:style w:type="character" w:customStyle="1" w:styleId="Char9">
    <w:name w:val="页脚 Char"/>
    <w:basedOn w:val="a1"/>
    <w:link w:val="af0"/>
    <w:uiPriority w:val="99"/>
    <w:qFormat/>
    <w:rsid w:val="00092652"/>
    <w:rPr>
      <w:rFonts w:ascii="Times New Roman" w:eastAsia="宋体" w:hAnsi="Times New Roman" w:cs="Times New Roman"/>
      <w:sz w:val="18"/>
      <w:szCs w:val="18"/>
    </w:rPr>
  </w:style>
  <w:style w:type="character" w:customStyle="1" w:styleId="Char15">
    <w:name w:val="页脚 Char1"/>
    <w:basedOn w:val="a1"/>
    <w:uiPriority w:val="99"/>
    <w:semiHidden/>
    <w:rsid w:val="00092652"/>
    <w:rPr>
      <w:rFonts w:ascii="Times New Roman" w:eastAsia="宋体" w:hAnsi="Times New Roman" w:cs="Times New Roman"/>
      <w:sz w:val="18"/>
      <w:szCs w:val="18"/>
    </w:rPr>
  </w:style>
  <w:style w:type="character" w:customStyle="1" w:styleId="Char7">
    <w:name w:val="尾注文本 Char"/>
    <w:basedOn w:val="a1"/>
    <w:link w:val="ae"/>
    <w:uiPriority w:val="99"/>
    <w:rsid w:val="00092652"/>
    <w:rPr>
      <w:rFonts w:ascii="Times New Roman" w:eastAsia="宋体" w:hAnsi="Times New Roman" w:cs="Times New Roman"/>
      <w:szCs w:val="24"/>
    </w:rPr>
  </w:style>
  <w:style w:type="character" w:customStyle="1" w:styleId="Char16">
    <w:name w:val="尾注文本 Char1"/>
    <w:basedOn w:val="a1"/>
    <w:uiPriority w:val="99"/>
    <w:semiHidden/>
    <w:rsid w:val="00092652"/>
    <w:rPr>
      <w:rFonts w:ascii="Times New Roman" w:eastAsia="宋体" w:hAnsi="Times New Roman" w:cs="Times New Roman"/>
      <w:szCs w:val="20"/>
    </w:rPr>
  </w:style>
  <w:style w:type="character" w:customStyle="1" w:styleId="Char4">
    <w:name w:val="正文文本缩进 Char"/>
    <w:basedOn w:val="a1"/>
    <w:link w:val="ab"/>
    <w:rsid w:val="00092652"/>
    <w:rPr>
      <w:rFonts w:ascii="仿宋_GB2312" w:eastAsia="仿宋_GB2312" w:hAnsi="宋体" w:cs="Times New Roman"/>
      <w:b/>
      <w:bCs/>
      <w:color w:val="000000"/>
      <w:kern w:val="0"/>
      <w:sz w:val="28"/>
      <w:szCs w:val="28"/>
    </w:rPr>
  </w:style>
  <w:style w:type="character" w:customStyle="1" w:styleId="Char6">
    <w:name w:val="日期 Char"/>
    <w:basedOn w:val="a1"/>
    <w:link w:val="ad"/>
    <w:rsid w:val="00092652"/>
    <w:rPr>
      <w:rFonts w:ascii="Times New Roman" w:eastAsia="宋体" w:hAnsi="Times New Roman" w:cs="Times New Roman"/>
      <w:sz w:val="30"/>
      <w:szCs w:val="24"/>
    </w:rPr>
  </w:style>
  <w:style w:type="character" w:customStyle="1" w:styleId="Char17">
    <w:name w:val="日期 Char1"/>
    <w:basedOn w:val="a1"/>
    <w:uiPriority w:val="99"/>
    <w:semiHidden/>
    <w:rsid w:val="00092652"/>
    <w:rPr>
      <w:rFonts w:ascii="Times New Roman" w:eastAsia="宋体" w:hAnsi="Times New Roman" w:cs="Times New Roman"/>
      <w:szCs w:val="20"/>
    </w:rPr>
  </w:style>
  <w:style w:type="character" w:customStyle="1" w:styleId="2Char0">
    <w:name w:val="正文文本缩进 2 Char"/>
    <w:basedOn w:val="a1"/>
    <w:link w:val="21"/>
    <w:rsid w:val="00092652"/>
    <w:rPr>
      <w:rFonts w:ascii="Times New Roman" w:eastAsia="宋体" w:hAnsi="Times New Roman" w:cs="Times New Roman"/>
      <w:szCs w:val="20"/>
    </w:rPr>
  </w:style>
  <w:style w:type="character" w:customStyle="1" w:styleId="2Char10">
    <w:name w:val="正文文本缩进 2 Char1"/>
    <w:basedOn w:val="a1"/>
    <w:uiPriority w:val="99"/>
    <w:semiHidden/>
    <w:rsid w:val="00092652"/>
    <w:rPr>
      <w:rFonts w:ascii="Times New Roman" w:eastAsia="宋体" w:hAnsi="Times New Roman" w:cs="Times New Roman"/>
      <w:szCs w:val="20"/>
    </w:rPr>
  </w:style>
  <w:style w:type="character" w:customStyle="1" w:styleId="3Char0">
    <w:name w:val="正文文本缩进 3 Char"/>
    <w:basedOn w:val="a1"/>
    <w:link w:val="32"/>
    <w:rsid w:val="00092652"/>
    <w:rPr>
      <w:rFonts w:ascii="Times New Roman" w:eastAsia="宋体" w:hAnsi="Times New Roman" w:cs="Times New Roman"/>
      <w:sz w:val="16"/>
      <w:szCs w:val="16"/>
    </w:rPr>
  </w:style>
  <w:style w:type="character" w:customStyle="1" w:styleId="3Char1">
    <w:name w:val="正文文本缩进 3 Char1"/>
    <w:basedOn w:val="a1"/>
    <w:uiPriority w:val="99"/>
    <w:semiHidden/>
    <w:rsid w:val="00092652"/>
    <w:rPr>
      <w:rFonts w:ascii="Times New Roman" w:eastAsia="宋体" w:hAnsi="Times New Roman" w:cs="Times New Roman"/>
      <w:sz w:val="16"/>
      <w:szCs w:val="16"/>
    </w:rPr>
  </w:style>
  <w:style w:type="character" w:customStyle="1" w:styleId="Char5">
    <w:name w:val="纯文本 Char"/>
    <w:basedOn w:val="a1"/>
    <w:link w:val="ac"/>
    <w:rsid w:val="00092652"/>
    <w:rPr>
      <w:rFonts w:ascii="宋体" w:eastAsia="仿宋_GB2312" w:hAnsi="Courier New" w:cs="Courier New"/>
      <w:sz w:val="32"/>
      <w:szCs w:val="21"/>
    </w:rPr>
  </w:style>
  <w:style w:type="character" w:customStyle="1" w:styleId="Charf">
    <w:name w:val="批注主题 Char"/>
    <w:basedOn w:val="Chare"/>
    <w:uiPriority w:val="99"/>
    <w:rsid w:val="00092652"/>
    <w:rPr>
      <w:rFonts w:ascii="Times New Roman" w:eastAsia="宋体" w:hAnsi="Times New Roman" w:cs="Times New Roman"/>
      <w:b/>
      <w:bCs/>
      <w:szCs w:val="20"/>
    </w:rPr>
  </w:style>
  <w:style w:type="character" w:customStyle="1" w:styleId="Char11">
    <w:name w:val="批注主题 Char1"/>
    <w:basedOn w:val="Char1"/>
    <w:link w:val="af7"/>
    <w:uiPriority w:val="99"/>
    <w:semiHidden/>
    <w:locked/>
    <w:rsid w:val="00092652"/>
    <w:rPr>
      <w:rFonts w:ascii="Times New Roman" w:eastAsia="宋体" w:hAnsi="Times New Roman" w:cs="Times New Roman"/>
      <w:b/>
      <w:bCs/>
      <w:szCs w:val="24"/>
    </w:rPr>
  </w:style>
  <w:style w:type="character" w:customStyle="1" w:styleId="apple-style-span">
    <w:name w:val="apple-style-span"/>
    <w:basedOn w:val="a1"/>
    <w:rsid w:val="00092652"/>
  </w:style>
  <w:style w:type="character" w:customStyle="1" w:styleId="Char3">
    <w:name w:val="正文文本 Char"/>
    <w:basedOn w:val="a1"/>
    <w:link w:val="aa"/>
    <w:rsid w:val="00092652"/>
    <w:rPr>
      <w:rFonts w:ascii="Times New Roman" w:eastAsia="宋体" w:hAnsi="Times New Roman" w:cs="Times New Roman"/>
      <w:szCs w:val="20"/>
    </w:rPr>
  </w:style>
  <w:style w:type="character" w:customStyle="1" w:styleId="Char18">
    <w:name w:val="纯文本 Char1"/>
    <w:rsid w:val="00092652"/>
    <w:rPr>
      <w:rFonts w:ascii="宋体" w:hAnsi="Courier New"/>
    </w:rPr>
  </w:style>
  <w:style w:type="character" w:customStyle="1" w:styleId="Charc">
    <w:name w:val="标题 Char"/>
    <w:basedOn w:val="a1"/>
    <w:link w:val="af6"/>
    <w:rsid w:val="00092652"/>
    <w:rPr>
      <w:rFonts w:ascii="Cambria" w:eastAsia="宋体" w:hAnsi="Cambria" w:cs="Times New Roman"/>
      <w:b/>
      <w:bCs/>
      <w:sz w:val="32"/>
      <w:szCs w:val="32"/>
    </w:rPr>
  </w:style>
  <w:style w:type="character" w:customStyle="1" w:styleId="12">
    <w:name w:val="占位符文本1"/>
    <w:basedOn w:val="a1"/>
    <w:uiPriority w:val="99"/>
    <w:semiHidden/>
    <w:rsid w:val="00092652"/>
  </w:style>
  <w:style w:type="character" w:customStyle="1" w:styleId="5Char">
    <w:name w:val="标题 5 Char"/>
    <w:basedOn w:val="a1"/>
    <w:link w:val="5"/>
    <w:uiPriority w:val="9"/>
    <w:rsid w:val="00092652"/>
    <w:rPr>
      <w:rFonts w:ascii="Calibri" w:eastAsia="黑体" w:hAnsi="Calibri"/>
      <w:b/>
      <w:bCs/>
      <w:color w:val="92D400"/>
      <w:sz w:val="24"/>
      <w:szCs w:val="28"/>
    </w:rPr>
  </w:style>
  <w:style w:type="character" w:customStyle="1" w:styleId="6Char">
    <w:name w:val="标题 6 Char"/>
    <w:basedOn w:val="a1"/>
    <w:link w:val="6"/>
    <w:uiPriority w:val="9"/>
    <w:qFormat/>
    <w:rsid w:val="00092652"/>
    <w:rPr>
      <w:rFonts w:ascii="Calibri" w:eastAsia="黑体" w:hAnsi="Calibri"/>
      <w:b/>
      <w:bCs/>
      <w:color w:val="72C7E7"/>
      <w:sz w:val="24"/>
      <w:szCs w:val="28"/>
    </w:rPr>
  </w:style>
  <w:style w:type="character" w:customStyle="1" w:styleId="7Char">
    <w:name w:val="标题 7 Char"/>
    <w:basedOn w:val="a1"/>
    <w:link w:val="7"/>
    <w:uiPriority w:val="9"/>
    <w:rsid w:val="00092652"/>
    <w:rPr>
      <w:rFonts w:ascii="Calibri" w:eastAsia="黑体" w:hAnsi="Calibri"/>
      <w:b/>
      <w:bCs/>
      <w:color w:val="C9DD03"/>
      <w:sz w:val="24"/>
      <w:szCs w:val="28"/>
    </w:rPr>
  </w:style>
  <w:style w:type="character" w:customStyle="1" w:styleId="8Char">
    <w:name w:val="标题 8 Char"/>
    <w:basedOn w:val="a1"/>
    <w:link w:val="8"/>
    <w:uiPriority w:val="9"/>
    <w:rsid w:val="00092652"/>
    <w:rPr>
      <w:rFonts w:ascii="Calibri" w:eastAsia="黑体" w:hAnsi="Calibri"/>
      <w:b/>
      <w:bCs/>
      <w:i/>
      <w:sz w:val="24"/>
      <w:szCs w:val="28"/>
    </w:rPr>
  </w:style>
  <w:style w:type="character" w:customStyle="1" w:styleId="9Char">
    <w:name w:val="标题 9 Char"/>
    <w:basedOn w:val="a1"/>
    <w:link w:val="9"/>
    <w:uiPriority w:val="9"/>
    <w:rsid w:val="00092652"/>
    <w:rPr>
      <w:rFonts w:ascii="Calibri" w:eastAsia="黑体" w:hAnsi="Calibri"/>
      <w:bCs/>
      <w:i/>
      <w:sz w:val="24"/>
      <w:szCs w:val="28"/>
    </w:rPr>
  </w:style>
  <w:style w:type="character" w:customStyle="1" w:styleId="ParagraphChar">
    <w:name w:val="Paragraph Char"/>
    <w:link w:val="Paragraph"/>
    <w:locked/>
    <w:rsid w:val="00092652"/>
    <w:rPr>
      <w:rFonts w:eastAsia="华文楷体"/>
      <w:sz w:val="24"/>
    </w:rPr>
  </w:style>
  <w:style w:type="paragraph" w:customStyle="1" w:styleId="Paragraph">
    <w:name w:val="Paragraph"/>
    <w:basedOn w:val="a0"/>
    <w:link w:val="ParagraphChar"/>
    <w:qFormat/>
    <w:rsid w:val="00092652"/>
    <w:pPr>
      <w:widowControl/>
      <w:spacing w:after="120" w:line="312" w:lineRule="auto"/>
      <w:ind w:firstLineChars="200" w:firstLine="200"/>
      <w:jc w:val="left"/>
    </w:pPr>
    <w:rPr>
      <w:rFonts w:eastAsia="华文楷体"/>
      <w:kern w:val="0"/>
      <w:sz w:val="24"/>
    </w:rPr>
  </w:style>
  <w:style w:type="character" w:customStyle="1" w:styleId="7Char1">
    <w:name w:val="标题 7 Char1"/>
    <w:uiPriority w:val="9"/>
    <w:semiHidden/>
    <w:rsid w:val="00092652"/>
    <w:rPr>
      <w:rFonts w:ascii="Times New Roman" w:hAnsi="Times New Roman"/>
      <w:b/>
      <w:bCs/>
      <w:kern w:val="2"/>
      <w:sz w:val="24"/>
      <w:szCs w:val="24"/>
    </w:rPr>
  </w:style>
  <w:style w:type="character" w:customStyle="1" w:styleId="font21">
    <w:name w:val="font21"/>
    <w:rsid w:val="00092652"/>
    <w:rPr>
      <w:rFonts w:ascii="Times New Roman" w:hAnsi="Times New Roman" w:cs="Times New Roman" w:hint="default"/>
      <w:color w:val="000000"/>
      <w:sz w:val="20"/>
      <w:szCs w:val="20"/>
      <w:u w:val="none"/>
    </w:rPr>
  </w:style>
  <w:style w:type="character" w:customStyle="1" w:styleId="8Char1">
    <w:name w:val="标题 8 Char1"/>
    <w:uiPriority w:val="9"/>
    <w:semiHidden/>
    <w:rsid w:val="00092652"/>
    <w:rPr>
      <w:rFonts w:ascii="Cambria" w:eastAsia="宋体" w:hAnsi="Cambria" w:cs="Times New Roman"/>
      <w:kern w:val="2"/>
      <w:sz w:val="24"/>
      <w:szCs w:val="24"/>
    </w:rPr>
  </w:style>
  <w:style w:type="character" w:customStyle="1" w:styleId="Char19">
    <w:name w:val="标题 Char1"/>
    <w:uiPriority w:val="10"/>
    <w:rsid w:val="00092652"/>
    <w:rPr>
      <w:rFonts w:ascii="Cambria" w:hAnsi="Cambria" w:cs="Times New Roman"/>
      <w:b/>
      <w:bCs/>
      <w:kern w:val="2"/>
      <w:sz w:val="32"/>
      <w:szCs w:val="32"/>
    </w:rPr>
  </w:style>
  <w:style w:type="character" w:customStyle="1" w:styleId="5Char1">
    <w:name w:val="标题 5 Char1"/>
    <w:uiPriority w:val="9"/>
    <w:semiHidden/>
    <w:rsid w:val="00092652"/>
    <w:rPr>
      <w:rFonts w:ascii="Times New Roman" w:hAnsi="Times New Roman"/>
      <w:b/>
      <w:bCs/>
      <w:kern w:val="2"/>
      <w:sz w:val="28"/>
      <w:szCs w:val="28"/>
    </w:rPr>
  </w:style>
  <w:style w:type="character" w:customStyle="1" w:styleId="CharChar5">
    <w:name w:val="Char Char5"/>
    <w:semiHidden/>
    <w:rsid w:val="00092652"/>
    <w:rPr>
      <w:rFonts w:eastAsia="宋体"/>
      <w:kern w:val="2"/>
      <w:sz w:val="18"/>
      <w:szCs w:val="18"/>
      <w:lang w:val="en-US" w:eastAsia="zh-CN" w:bidi="ar-SA"/>
    </w:rPr>
  </w:style>
  <w:style w:type="character" w:customStyle="1" w:styleId="Char1a">
    <w:name w:val="明显引用 Char1"/>
    <w:link w:val="aff1"/>
    <w:uiPriority w:val="30"/>
    <w:rsid w:val="00092652"/>
    <w:rPr>
      <w:b/>
      <w:bCs/>
      <w:i/>
      <w:iCs/>
      <w:color w:val="4F81BD"/>
      <w:kern w:val="2"/>
      <w:sz w:val="21"/>
    </w:rPr>
  </w:style>
  <w:style w:type="paragraph" w:styleId="aff1">
    <w:name w:val="Intense Quote"/>
    <w:basedOn w:val="a0"/>
    <w:next w:val="a0"/>
    <w:link w:val="Char1a"/>
    <w:uiPriority w:val="30"/>
    <w:qFormat/>
    <w:rsid w:val="00092652"/>
    <w:pPr>
      <w:pBdr>
        <w:bottom w:val="single" w:sz="4" w:space="4" w:color="4F81BD"/>
      </w:pBdr>
      <w:spacing w:before="200" w:after="280"/>
      <w:ind w:left="936" w:right="936"/>
    </w:pPr>
    <w:rPr>
      <w:b/>
      <w:bCs/>
      <w:i/>
      <w:iCs/>
      <w:color w:val="4F81BD"/>
    </w:rPr>
  </w:style>
  <w:style w:type="character" w:customStyle="1" w:styleId="Charf0">
    <w:name w:val="兴业银行正文样式 Char"/>
    <w:link w:val="aff2"/>
    <w:rsid w:val="00092652"/>
    <w:rPr>
      <w:rFonts w:hAnsi="宋体"/>
      <w:b/>
      <w:kern w:val="2"/>
      <w:sz w:val="24"/>
      <w:szCs w:val="24"/>
    </w:rPr>
  </w:style>
  <w:style w:type="paragraph" w:customStyle="1" w:styleId="aff2">
    <w:name w:val="兴业银行正文样式"/>
    <w:basedOn w:val="a0"/>
    <w:link w:val="Charf0"/>
    <w:qFormat/>
    <w:rsid w:val="00092652"/>
    <w:pPr>
      <w:ind w:firstLineChars="200" w:firstLine="482"/>
    </w:pPr>
    <w:rPr>
      <w:rFonts w:hAnsi="宋体"/>
      <w:b/>
      <w:sz w:val="24"/>
      <w:szCs w:val="24"/>
    </w:rPr>
  </w:style>
  <w:style w:type="character" w:customStyle="1" w:styleId="CIBChar">
    <w:name w:val="CIB正文强调 Char"/>
    <w:link w:val="CIB"/>
    <w:uiPriority w:val="99"/>
    <w:locked/>
    <w:rsid w:val="00092652"/>
    <w:rPr>
      <w:rFonts w:eastAsia="仿宋"/>
      <w:b/>
      <w:kern w:val="2"/>
      <w:sz w:val="24"/>
      <w:szCs w:val="24"/>
      <w:lang w:val="en-US" w:eastAsia="zh-CN"/>
    </w:rPr>
  </w:style>
  <w:style w:type="paragraph" w:customStyle="1" w:styleId="CIB">
    <w:name w:val="CIB正文强调"/>
    <w:basedOn w:val="10"/>
    <w:next w:val="a0"/>
    <w:link w:val="CIBChar"/>
    <w:uiPriority w:val="99"/>
    <w:qFormat/>
    <w:rsid w:val="00092652"/>
    <w:pPr>
      <w:tabs>
        <w:tab w:val="clear" w:pos="8302"/>
        <w:tab w:val="right" w:leader="dot" w:pos="8505"/>
      </w:tabs>
      <w:spacing w:line="240" w:lineRule="auto"/>
      <w:ind w:leftChars="-135" w:left="-283"/>
      <w:jc w:val="left"/>
    </w:pPr>
    <w:rPr>
      <w:rFonts w:ascii="Times New Roman" w:eastAsia="仿宋"/>
      <w:b/>
      <w:sz w:val="24"/>
      <w:szCs w:val="24"/>
    </w:rPr>
  </w:style>
  <w:style w:type="character" w:customStyle="1" w:styleId="CIBChar0">
    <w:name w:val="CIB正文 Char"/>
    <w:link w:val="CIB0"/>
    <w:qFormat/>
    <w:locked/>
    <w:rsid w:val="00092652"/>
    <w:rPr>
      <w:rFonts w:ascii="仿宋_GB2312" w:eastAsia="仿宋_GB2312"/>
      <w:sz w:val="28"/>
      <w:szCs w:val="28"/>
    </w:rPr>
  </w:style>
  <w:style w:type="paragraph" w:customStyle="1" w:styleId="CIB0">
    <w:name w:val="CIB正文"/>
    <w:basedOn w:val="a0"/>
    <w:link w:val="CIBChar0"/>
    <w:qFormat/>
    <w:rsid w:val="00092652"/>
    <w:pPr>
      <w:autoSpaceDE w:val="0"/>
      <w:autoSpaceDN w:val="0"/>
      <w:adjustRightInd w:val="0"/>
      <w:ind w:firstLineChars="200" w:firstLine="200"/>
      <w:jc w:val="left"/>
    </w:pPr>
    <w:rPr>
      <w:rFonts w:ascii="仿宋_GB2312" w:eastAsia="仿宋_GB2312"/>
      <w:kern w:val="0"/>
      <w:sz w:val="28"/>
      <w:szCs w:val="28"/>
    </w:rPr>
  </w:style>
  <w:style w:type="character" w:customStyle="1" w:styleId="font11">
    <w:name w:val="font11"/>
    <w:rsid w:val="00092652"/>
    <w:rPr>
      <w:rFonts w:ascii="宋体" w:eastAsia="宋体" w:hAnsi="宋体" w:cs="宋体" w:hint="eastAsia"/>
      <w:color w:val="000000"/>
      <w:sz w:val="20"/>
      <w:szCs w:val="20"/>
      <w:u w:val="none"/>
    </w:rPr>
  </w:style>
  <w:style w:type="character" w:customStyle="1" w:styleId="Char0">
    <w:name w:val="文档结构图 Char"/>
    <w:link w:val="a7"/>
    <w:rsid w:val="00092652"/>
    <w:rPr>
      <w:rFonts w:ascii="宋体"/>
      <w:kern w:val="2"/>
      <w:sz w:val="18"/>
      <w:szCs w:val="18"/>
    </w:rPr>
  </w:style>
  <w:style w:type="character" w:customStyle="1" w:styleId="Charf1">
    <w:name w:val="引用 Char"/>
    <w:link w:val="13"/>
    <w:uiPriority w:val="12"/>
    <w:rsid w:val="00092652"/>
    <w:rPr>
      <w:rFonts w:eastAsia="黑体"/>
      <w:bCs/>
      <w:color w:val="00A1DE"/>
      <w:sz w:val="32"/>
      <w:szCs w:val="28"/>
    </w:rPr>
  </w:style>
  <w:style w:type="paragraph" w:customStyle="1" w:styleId="13">
    <w:name w:val="引用1"/>
    <w:next w:val="aff3"/>
    <w:link w:val="Charf1"/>
    <w:uiPriority w:val="12"/>
    <w:qFormat/>
    <w:rsid w:val="00092652"/>
    <w:pPr>
      <w:framePr w:wrap="notBeside" w:vAnchor="text" w:hAnchor="text" w:y="1"/>
      <w:spacing w:before="360" w:after="360"/>
      <w:contextualSpacing/>
    </w:pPr>
    <w:rPr>
      <w:rFonts w:eastAsia="黑体"/>
      <w:bCs/>
      <w:color w:val="00A1DE"/>
      <w:sz w:val="32"/>
      <w:szCs w:val="28"/>
    </w:rPr>
  </w:style>
  <w:style w:type="paragraph" w:styleId="aff3">
    <w:name w:val="Quote"/>
    <w:basedOn w:val="a0"/>
    <w:next w:val="a0"/>
    <w:link w:val="Char1b"/>
    <w:uiPriority w:val="29"/>
    <w:qFormat/>
    <w:rsid w:val="00092652"/>
    <w:rPr>
      <w:i/>
      <w:iCs/>
      <w:color w:val="000000"/>
    </w:rPr>
  </w:style>
  <w:style w:type="character" w:customStyle="1" w:styleId="9Char1">
    <w:name w:val="标题 9 Char1"/>
    <w:uiPriority w:val="9"/>
    <w:semiHidden/>
    <w:rsid w:val="00092652"/>
    <w:rPr>
      <w:rFonts w:ascii="Cambria" w:eastAsia="宋体" w:hAnsi="Cambria" w:cs="Times New Roman"/>
      <w:kern w:val="2"/>
      <w:sz w:val="21"/>
      <w:szCs w:val="21"/>
    </w:rPr>
  </w:style>
  <w:style w:type="character" w:customStyle="1" w:styleId="Charf2">
    <w:name w:val="列出段落 Char"/>
    <w:link w:val="ListParagraph1"/>
    <w:uiPriority w:val="34"/>
    <w:qFormat/>
    <w:locked/>
    <w:rsid w:val="00092652"/>
    <w:rPr>
      <w:kern w:val="2"/>
      <w:sz w:val="24"/>
      <w:szCs w:val="22"/>
    </w:rPr>
  </w:style>
  <w:style w:type="paragraph" w:customStyle="1" w:styleId="ListParagraph1">
    <w:name w:val="List Paragraph1"/>
    <w:basedOn w:val="a0"/>
    <w:link w:val="Charf2"/>
    <w:uiPriority w:val="34"/>
    <w:rsid w:val="00092652"/>
    <w:pPr>
      <w:adjustRightInd w:val="0"/>
      <w:snapToGrid w:val="0"/>
      <w:spacing w:line="500" w:lineRule="exact"/>
      <w:ind w:firstLineChars="200" w:firstLine="420"/>
    </w:pPr>
    <w:rPr>
      <w:sz w:val="24"/>
      <w:szCs w:val="22"/>
    </w:rPr>
  </w:style>
  <w:style w:type="character" w:customStyle="1" w:styleId="Charf3">
    <w:name w:val="兴业银行议案 Char"/>
    <w:basedOn w:val="Charf0"/>
    <w:link w:val="aff4"/>
    <w:rsid w:val="00092652"/>
    <w:rPr>
      <w:rFonts w:hAnsi="宋体"/>
      <w:b/>
      <w:kern w:val="2"/>
      <w:sz w:val="24"/>
      <w:szCs w:val="24"/>
    </w:rPr>
  </w:style>
  <w:style w:type="paragraph" w:customStyle="1" w:styleId="aff4">
    <w:name w:val="兴业银行议案"/>
    <w:basedOn w:val="aff2"/>
    <w:link w:val="Charf3"/>
    <w:qFormat/>
    <w:rsid w:val="00092652"/>
  </w:style>
  <w:style w:type="character" w:customStyle="1" w:styleId="CharChar">
    <w:name w:val="Char Char"/>
    <w:rsid w:val="00092652"/>
    <w:rPr>
      <w:rFonts w:eastAsia="宋体" w:cs="Times New Roman"/>
      <w:kern w:val="2"/>
      <w:sz w:val="18"/>
      <w:szCs w:val="18"/>
      <w:lang w:val="en-US" w:eastAsia="zh-CN" w:bidi="ar-SA"/>
    </w:rPr>
  </w:style>
  <w:style w:type="character" w:customStyle="1" w:styleId="Char2">
    <w:name w:val="称呼 Char"/>
    <w:link w:val="a9"/>
    <w:uiPriority w:val="99"/>
    <w:rsid w:val="00092652"/>
    <w:rPr>
      <w:kern w:val="2"/>
      <w:sz w:val="21"/>
      <w:szCs w:val="21"/>
    </w:rPr>
  </w:style>
  <w:style w:type="character" w:customStyle="1" w:styleId="4Char1">
    <w:name w:val="标题 4 Char1"/>
    <w:uiPriority w:val="9"/>
    <w:semiHidden/>
    <w:rsid w:val="00092652"/>
    <w:rPr>
      <w:rFonts w:ascii="Cambria" w:eastAsia="宋体" w:hAnsi="Cambria" w:cs="Times New Roman"/>
      <w:b/>
      <w:bCs/>
      <w:kern w:val="2"/>
      <w:sz w:val="28"/>
      <w:szCs w:val="28"/>
    </w:rPr>
  </w:style>
  <w:style w:type="character" w:customStyle="1" w:styleId="-Char">
    <w:name w:val="季报-正文 Char"/>
    <w:link w:val="-"/>
    <w:uiPriority w:val="99"/>
    <w:locked/>
    <w:rsid w:val="00092652"/>
    <w:rPr>
      <w:rFonts w:ascii="仿宋_GB2312" w:eastAsia="仿宋_GB2312" w:hAnsi="Arial" w:cs="Arial"/>
      <w:kern w:val="2"/>
      <w:sz w:val="24"/>
      <w:szCs w:val="24"/>
    </w:rPr>
  </w:style>
  <w:style w:type="paragraph" w:customStyle="1" w:styleId="-">
    <w:name w:val="季报-正文"/>
    <w:basedOn w:val="a0"/>
    <w:link w:val="-Char"/>
    <w:uiPriority w:val="99"/>
    <w:qFormat/>
    <w:rsid w:val="00092652"/>
    <w:pPr>
      <w:adjustRightInd w:val="0"/>
      <w:snapToGrid w:val="0"/>
      <w:spacing w:line="500" w:lineRule="exact"/>
      <w:ind w:firstLineChars="200" w:firstLine="482"/>
    </w:pPr>
    <w:rPr>
      <w:rFonts w:ascii="仿宋_GB2312" w:eastAsia="仿宋_GB2312" w:hAnsi="Arial" w:cs="Arial"/>
      <w:sz w:val="24"/>
      <w:szCs w:val="24"/>
    </w:rPr>
  </w:style>
  <w:style w:type="character" w:customStyle="1" w:styleId="2Char1">
    <w:name w:val="正文文本 2 Char"/>
    <w:link w:val="23"/>
    <w:rsid w:val="00092652"/>
    <w:rPr>
      <w:kern w:val="2"/>
      <w:sz w:val="21"/>
      <w:szCs w:val="24"/>
    </w:rPr>
  </w:style>
  <w:style w:type="character" w:customStyle="1" w:styleId="Char">
    <w:name w:val="注释标题 Char"/>
    <w:link w:val="a4"/>
    <w:uiPriority w:val="99"/>
    <w:rsid w:val="00092652"/>
    <w:rPr>
      <w:kern w:val="2"/>
      <w:sz w:val="21"/>
      <w:szCs w:val="21"/>
    </w:rPr>
  </w:style>
  <w:style w:type="character" w:customStyle="1" w:styleId="Charf4">
    <w:name w:val="副标题 Char"/>
    <w:link w:val="14"/>
    <w:rsid w:val="00092652"/>
    <w:rPr>
      <w:rFonts w:eastAsia="黑体"/>
      <w:bCs/>
      <w:color w:val="92D400"/>
      <w:sz w:val="72"/>
      <w:szCs w:val="28"/>
    </w:rPr>
  </w:style>
  <w:style w:type="paragraph" w:customStyle="1" w:styleId="14">
    <w:name w:val="副标题1"/>
    <w:basedOn w:val="af6"/>
    <w:next w:val="a0"/>
    <w:link w:val="Charf4"/>
    <w:qFormat/>
    <w:rsid w:val="00092652"/>
    <w:rPr>
      <w:rFonts w:ascii="Times New Roman" w:eastAsia="黑体" w:hAnsi="Times New Roman"/>
      <w:b w:val="0"/>
      <w:color w:val="92D400"/>
      <w:kern w:val="0"/>
      <w:sz w:val="72"/>
      <w:szCs w:val="28"/>
    </w:rPr>
  </w:style>
  <w:style w:type="character" w:customStyle="1" w:styleId="Char10">
    <w:name w:val="副标题 Char1"/>
    <w:link w:val="af2"/>
    <w:uiPriority w:val="11"/>
    <w:rsid w:val="00092652"/>
    <w:rPr>
      <w:rFonts w:ascii="Cambria" w:hAnsi="Cambria"/>
      <w:b/>
      <w:bCs/>
      <w:kern w:val="28"/>
      <w:sz w:val="32"/>
      <w:szCs w:val="32"/>
    </w:rPr>
  </w:style>
  <w:style w:type="character" w:customStyle="1" w:styleId="6Char1">
    <w:name w:val="标题 6 Char1"/>
    <w:uiPriority w:val="9"/>
    <w:semiHidden/>
    <w:rsid w:val="00092652"/>
    <w:rPr>
      <w:rFonts w:ascii="Cambria" w:eastAsia="宋体" w:hAnsi="Cambria" w:cs="Times New Roman"/>
      <w:b/>
      <w:bCs/>
      <w:kern w:val="2"/>
      <w:sz w:val="24"/>
      <w:szCs w:val="24"/>
    </w:rPr>
  </w:style>
  <w:style w:type="character" w:customStyle="1" w:styleId="Char1b">
    <w:name w:val="引用 Char1"/>
    <w:link w:val="aff3"/>
    <w:uiPriority w:val="29"/>
    <w:qFormat/>
    <w:rsid w:val="00092652"/>
    <w:rPr>
      <w:i/>
      <w:iCs/>
      <w:color w:val="000000"/>
      <w:kern w:val="2"/>
      <w:sz w:val="21"/>
    </w:rPr>
  </w:style>
  <w:style w:type="character" w:customStyle="1" w:styleId="Charf5">
    <w:name w:val="核销报告 Char"/>
    <w:link w:val="aff5"/>
    <w:uiPriority w:val="99"/>
    <w:qFormat/>
    <w:rsid w:val="00092652"/>
    <w:rPr>
      <w:rFonts w:ascii="仿宋_GB2312" w:eastAsia="仿宋_GB2312"/>
      <w:sz w:val="28"/>
      <w:szCs w:val="28"/>
    </w:rPr>
  </w:style>
  <w:style w:type="paragraph" w:customStyle="1" w:styleId="aff5">
    <w:name w:val="核销报告"/>
    <w:basedOn w:val="a0"/>
    <w:link w:val="Charf5"/>
    <w:uiPriority w:val="99"/>
    <w:qFormat/>
    <w:rsid w:val="00092652"/>
    <w:pPr>
      <w:spacing w:line="500" w:lineRule="exact"/>
      <w:ind w:firstLineChars="200" w:firstLine="560"/>
    </w:pPr>
    <w:rPr>
      <w:rFonts w:ascii="仿宋_GB2312" w:eastAsia="仿宋_GB2312"/>
      <w:kern w:val="0"/>
      <w:sz w:val="28"/>
      <w:szCs w:val="28"/>
    </w:rPr>
  </w:style>
  <w:style w:type="character" w:customStyle="1" w:styleId="CharChar2">
    <w:name w:val="Char Char2"/>
    <w:qFormat/>
    <w:rsid w:val="00092652"/>
    <w:rPr>
      <w:rFonts w:eastAsia="宋体" w:cs="Times New Roman"/>
      <w:kern w:val="2"/>
      <w:sz w:val="18"/>
      <w:szCs w:val="18"/>
      <w:lang w:val="en-US" w:eastAsia="zh-CN" w:bidi="ar-SA"/>
    </w:rPr>
  </w:style>
  <w:style w:type="character" w:customStyle="1" w:styleId="aff6">
    <w:name w:val="一级标题"/>
    <w:rsid w:val="00092652"/>
    <w:rPr>
      <w:rFonts w:ascii="仿宋_GB2312" w:eastAsia="仿宋_GB2312" w:hAnsi="仿宋_GB2312" w:cs="Times New Roman"/>
      <w:kern w:val="0"/>
      <w:sz w:val="28"/>
    </w:rPr>
  </w:style>
  <w:style w:type="character" w:customStyle="1" w:styleId="Charf6">
    <w:name w:val="明显引用 Char"/>
    <w:link w:val="15"/>
    <w:uiPriority w:val="30"/>
    <w:qFormat/>
    <w:rsid w:val="00092652"/>
    <w:rPr>
      <w:rFonts w:eastAsia="黑体"/>
      <w:bCs/>
      <w:color w:val="3C8A2E"/>
      <w:sz w:val="32"/>
      <w:szCs w:val="28"/>
    </w:rPr>
  </w:style>
  <w:style w:type="paragraph" w:customStyle="1" w:styleId="15">
    <w:name w:val="明显引用1"/>
    <w:basedOn w:val="aff3"/>
    <w:next w:val="aff1"/>
    <w:link w:val="Charf6"/>
    <w:uiPriority w:val="30"/>
    <w:qFormat/>
    <w:rsid w:val="00092652"/>
    <w:rPr>
      <w:rFonts w:eastAsia="黑体"/>
      <w:bCs/>
      <w:i w:val="0"/>
      <w:iCs w:val="0"/>
      <w:color w:val="3C8A2E"/>
      <w:kern w:val="0"/>
      <w:sz w:val="32"/>
      <w:szCs w:val="28"/>
    </w:rPr>
  </w:style>
  <w:style w:type="character" w:customStyle="1" w:styleId="HTMLChar">
    <w:name w:val="HTML 预设格式 Char"/>
    <w:link w:val="HTML"/>
    <w:uiPriority w:val="99"/>
    <w:rsid w:val="00092652"/>
    <w:rPr>
      <w:rFonts w:ascii="宋体" w:hAnsi="宋体" w:cs="宋体"/>
      <w:sz w:val="24"/>
      <w:szCs w:val="24"/>
    </w:rPr>
  </w:style>
  <w:style w:type="character" w:customStyle="1" w:styleId="1Char0">
    <w:name w:val="样式1 Char"/>
    <w:link w:val="16"/>
    <w:qFormat/>
    <w:rsid w:val="00092652"/>
    <w:rPr>
      <w:rFonts w:eastAsia="仿宋_GB2312"/>
      <w:kern w:val="2"/>
      <w:sz w:val="30"/>
      <w:szCs w:val="24"/>
    </w:rPr>
  </w:style>
  <w:style w:type="paragraph" w:customStyle="1" w:styleId="16">
    <w:name w:val="样式1"/>
    <w:basedOn w:val="a0"/>
    <w:link w:val="1Char0"/>
    <w:qFormat/>
    <w:rsid w:val="00092652"/>
    <w:rPr>
      <w:rFonts w:eastAsia="仿宋_GB2312"/>
      <w:sz w:val="30"/>
      <w:szCs w:val="24"/>
    </w:rPr>
  </w:style>
  <w:style w:type="character" w:customStyle="1" w:styleId="Char1c">
    <w:name w:val="称呼 Char1"/>
    <w:basedOn w:val="a1"/>
    <w:uiPriority w:val="99"/>
    <w:semiHidden/>
    <w:qFormat/>
    <w:rsid w:val="00092652"/>
    <w:rPr>
      <w:kern w:val="2"/>
      <w:sz w:val="21"/>
    </w:rPr>
  </w:style>
  <w:style w:type="character" w:customStyle="1" w:styleId="Char1d">
    <w:name w:val="文档结构图 Char1"/>
    <w:basedOn w:val="a1"/>
    <w:uiPriority w:val="99"/>
    <w:semiHidden/>
    <w:qFormat/>
    <w:rsid w:val="00092652"/>
    <w:rPr>
      <w:rFonts w:ascii="宋体"/>
      <w:kern w:val="2"/>
      <w:sz w:val="18"/>
      <w:szCs w:val="18"/>
    </w:rPr>
  </w:style>
  <w:style w:type="character" w:customStyle="1" w:styleId="Char1e">
    <w:name w:val="注释标题 Char1"/>
    <w:basedOn w:val="a1"/>
    <w:uiPriority w:val="99"/>
    <w:semiHidden/>
    <w:qFormat/>
    <w:rsid w:val="00092652"/>
    <w:rPr>
      <w:kern w:val="2"/>
      <w:sz w:val="21"/>
    </w:rPr>
  </w:style>
  <w:style w:type="character" w:customStyle="1" w:styleId="HTMLChar1">
    <w:name w:val="HTML 预设格式 Char1"/>
    <w:basedOn w:val="a1"/>
    <w:uiPriority w:val="99"/>
    <w:semiHidden/>
    <w:qFormat/>
    <w:rsid w:val="00092652"/>
    <w:rPr>
      <w:rFonts w:ascii="Courier New" w:hAnsi="Courier New" w:cs="Courier New"/>
      <w:kern w:val="2"/>
    </w:rPr>
  </w:style>
  <w:style w:type="paragraph" w:customStyle="1" w:styleId="aff7">
    <w:name w:val="普通段落"/>
    <w:basedOn w:val="a0"/>
    <w:qFormat/>
    <w:rsid w:val="00092652"/>
    <w:pPr>
      <w:spacing w:line="312" w:lineRule="auto"/>
      <w:ind w:firstLineChars="200" w:firstLine="200"/>
    </w:pPr>
    <w:rPr>
      <w:rFonts w:ascii="Calibri" w:eastAsia="华文楷体" w:hAnsi="Calibri"/>
      <w:sz w:val="24"/>
      <w:szCs w:val="22"/>
    </w:rPr>
  </w:style>
  <w:style w:type="character" w:customStyle="1" w:styleId="2Char11">
    <w:name w:val="正文文本 2 Char1"/>
    <w:basedOn w:val="a1"/>
    <w:uiPriority w:val="99"/>
    <w:semiHidden/>
    <w:qFormat/>
    <w:rsid w:val="00092652"/>
    <w:rPr>
      <w:kern w:val="2"/>
      <w:sz w:val="21"/>
    </w:rPr>
  </w:style>
  <w:style w:type="paragraph" w:customStyle="1" w:styleId="font7">
    <w:name w:val="font7"/>
    <w:basedOn w:val="a0"/>
    <w:rsid w:val="00092652"/>
    <w:pPr>
      <w:widowControl/>
      <w:spacing w:before="100" w:beforeAutospacing="1" w:after="100" w:afterAutospacing="1"/>
      <w:jc w:val="left"/>
    </w:pPr>
    <w:rPr>
      <w:rFonts w:ascii="宋体" w:hAnsi="宋体" w:cs="宋体"/>
      <w:kern w:val="0"/>
      <w:sz w:val="18"/>
      <w:szCs w:val="18"/>
    </w:rPr>
  </w:style>
  <w:style w:type="paragraph" w:customStyle="1" w:styleId="Style8">
    <w:name w:val="Style8"/>
    <w:basedOn w:val="a0"/>
    <w:qFormat/>
    <w:rsid w:val="00092652"/>
    <w:pPr>
      <w:widowControl/>
      <w:numPr>
        <w:numId w:val="1"/>
      </w:numPr>
      <w:spacing w:after="120" w:line="312" w:lineRule="auto"/>
      <w:jc w:val="left"/>
    </w:pPr>
    <w:rPr>
      <w:rFonts w:ascii="Calibri" w:eastAsia="华文楷体" w:hAnsi="Calibri"/>
      <w:kern w:val="0"/>
      <w:sz w:val="24"/>
    </w:rPr>
  </w:style>
  <w:style w:type="character" w:customStyle="1" w:styleId="Char20">
    <w:name w:val="副标题 Char2"/>
    <w:basedOn w:val="a1"/>
    <w:uiPriority w:val="11"/>
    <w:qFormat/>
    <w:rsid w:val="00092652"/>
    <w:rPr>
      <w:rFonts w:asciiTheme="majorHAnsi" w:hAnsiTheme="majorHAnsi" w:cstheme="majorBidi"/>
      <w:b/>
      <w:bCs/>
      <w:kern w:val="28"/>
      <w:sz w:val="32"/>
      <w:szCs w:val="32"/>
    </w:rPr>
  </w:style>
  <w:style w:type="paragraph" w:customStyle="1" w:styleId="TOC1">
    <w:name w:val="TOC 标题1"/>
    <w:basedOn w:val="1"/>
    <w:next w:val="a0"/>
    <w:uiPriority w:val="39"/>
    <w:unhideWhenUsed/>
    <w:qFormat/>
    <w:rsid w:val="00092652"/>
    <w:pPr>
      <w:widowControl/>
      <w:tabs>
        <w:tab w:val="clear" w:pos="432"/>
      </w:tabs>
      <w:spacing w:before="240" w:after="1200" w:line="240" w:lineRule="auto"/>
      <w:ind w:left="0" w:firstLine="0"/>
      <w:contextualSpacing/>
      <w:jc w:val="left"/>
      <w:outlineLvl w:val="9"/>
    </w:pPr>
    <w:rPr>
      <w:rFonts w:ascii="Times New Roman"/>
      <w:bCs/>
      <w:color w:val="00A1DE"/>
      <w:kern w:val="0"/>
      <w:sz w:val="60"/>
      <w:szCs w:val="28"/>
      <w:lang w:val="en-GB"/>
    </w:rPr>
  </w:style>
  <w:style w:type="paragraph" w:customStyle="1" w:styleId="xl69">
    <w:name w:val="xl69"/>
    <w:basedOn w:val="a0"/>
    <w:qFormat/>
    <w:rsid w:val="000926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64">
    <w:name w:val="xl64"/>
    <w:basedOn w:val="a0"/>
    <w:qFormat/>
    <w:rsid w:val="000926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91">
    <w:name w:val="标题 91"/>
    <w:next w:val="a0"/>
    <w:uiPriority w:val="9"/>
    <w:unhideWhenUsed/>
    <w:qFormat/>
    <w:rsid w:val="00092652"/>
    <w:pPr>
      <w:spacing w:before="240" w:after="120"/>
      <w:contextualSpacing/>
      <w:outlineLvl w:val="8"/>
    </w:pPr>
    <w:rPr>
      <w:rFonts w:ascii="Arial" w:eastAsia="黑体" w:hAnsi="Arial"/>
      <w:bCs/>
      <w:i/>
      <w:sz w:val="24"/>
      <w:szCs w:val="28"/>
      <w:lang w:val="en-GB"/>
    </w:rPr>
  </w:style>
  <w:style w:type="paragraph" w:customStyle="1" w:styleId="10025">
    <w:name w:val="样式 标题 1 + 新宋体 小四 非加粗 段前: 0 磅 段后: 0 磅 行距: 固定值 25 磅"/>
    <w:basedOn w:val="1"/>
    <w:qFormat/>
    <w:rsid w:val="00092652"/>
    <w:pPr>
      <w:tabs>
        <w:tab w:val="clear" w:pos="432"/>
      </w:tabs>
      <w:spacing w:before="0" w:after="0" w:line="500" w:lineRule="exact"/>
      <w:ind w:left="0" w:firstLine="0"/>
      <w:jc w:val="both"/>
    </w:pPr>
    <w:rPr>
      <w:rFonts w:ascii="新宋体" w:eastAsia="新宋体" w:hAnsi="新宋体" w:cs="宋体"/>
      <w:b/>
      <w:sz w:val="24"/>
    </w:rPr>
  </w:style>
  <w:style w:type="paragraph" w:customStyle="1" w:styleId="41">
    <w:name w:val="标题 41"/>
    <w:next w:val="a0"/>
    <w:uiPriority w:val="9"/>
    <w:unhideWhenUsed/>
    <w:qFormat/>
    <w:rsid w:val="00092652"/>
    <w:pPr>
      <w:spacing w:before="240" w:after="120"/>
      <w:contextualSpacing/>
      <w:outlineLvl w:val="3"/>
    </w:pPr>
    <w:rPr>
      <w:rFonts w:ascii="Arial" w:eastAsia="黑体" w:hAnsi="Arial"/>
      <w:b/>
      <w:bCs/>
      <w:color w:val="00A1DE"/>
      <w:sz w:val="24"/>
      <w:szCs w:val="28"/>
      <w:lang w:val="en-GB"/>
    </w:rPr>
  </w:style>
  <w:style w:type="paragraph" w:customStyle="1" w:styleId="xl63">
    <w:name w:val="xl63"/>
    <w:basedOn w:val="a0"/>
    <w:qFormat/>
    <w:rsid w:val="000926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rPr>
  </w:style>
  <w:style w:type="paragraph" w:customStyle="1" w:styleId="220">
    <w:name w:val="样式 样式 内容 + 首行缩进:  2 字符 + 首行缩进:  2 字符"/>
    <w:basedOn w:val="a0"/>
    <w:rsid w:val="00092652"/>
    <w:pPr>
      <w:widowControl/>
      <w:spacing w:line="290" w:lineRule="exact"/>
    </w:pPr>
    <w:rPr>
      <w:rFonts w:ascii="Arial" w:hAnsi="Arial"/>
      <w:color w:val="000000"/>
      <w:sz w:val="24"/>
      <w:szCs w:val="24"/>
    </w:rPr>
  </w:style>
  <w:style w:type="paragraph" w:customStyle="1" w:styleId="xl70">
    <w:name w:val="xl70"/>
    <w:basedOn w:val="a0"/>
    <w:qFormat/>
    <w:rsid w:val="00092652"/>
    <w:pPr>
      <w:widowControl/>
      <w:pBdr>
        <w:bottom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65">
    <w:name w:val="xl65"/>
    <w:basedOn w:val="a0"/>
    <w:qFormat/>
    <w:rsid w:val="000926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font6">
    <w:name w:val="font6"/>
    <w:basedOn w:val="a0"/>
    <w:rsid w:val="00092652"/>
    <w:pPr>
      <w:widowControl/>
      <w:spacing w:before="100" w:beforeAutospacing="1" w:after="100" w:afterAutospacing="1"/>
      <w:jc w:val="left"/>
    </w:pPr>
    <w:rPr>
      <w:rFonts w:ascii="宋体" w:hAnsi="宋体" w:cs="宋体"/>
      <w:kern w:val="0"/>
      <w:sz w:val="18"/>
      <w:szCs w:val="18"/>
    </w:rPr>
  </w:style>
  <w:style w:type="paragraph" w:customStyle="1" w:styleId="aff8">
    <w:name w:val="a. 段落"/>
    <w:basedOn w:val="a0"/>
    <w:qFormat/>
    <w:rsid w:val="00092652"/>
    <w:pPr>
      <w:widowControl/>
      <w:spacing w:after="120"/>
      <w:ind w:firstLineChars="200" w:firstLine="200"/>
      <w:jc w:val="left"/>
    </w:pPr>
    <w:rPr>
      <w:rFonts w:ascii="Calibri" w:eastAsia="华文楷体" w:hAnsi="Calibri"/>
      <w:kern w:val="0"/>
      <w:sz w:val="24"/>
    </w:rPr>
  </w:style>
  <w:style w:type="paragraph" w:customStyle="1" w:styleId="p0">
    <w:name w:val="p0"/>
    <w:basedOn w:val="a0"/>
    <w:uiPriority w:val="99"/>
    <w:rsid w:val="00092652"/>
    <w:pPr>
      <w:widowControl/>
    </w:pPr>
    <w:rPr>
      <w:kern w:val="0"/>
      <w:szCs w:val="21"/>
    </w:rPr>
  </w:style>
  <w:style w:type="paragraph" w:customStyle="1" w:styleId="xl68">
    <w:name w:val="xl68"/>
    <w:basedOn w:val="a0"/>
    <w:qFormat/>
    <w:rsid w:val="000926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67">
    <w:name w:val="xl67"/>
    <w:basedOn w:val="a0"/>
    <w:qFormat/>
    <w:rsid w:val="000926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szCs w:val="24"/>
    </w:rPr>
  </w:style>
  <w:style w:type="paragraph" w:customStyle="1" w:styleId="xl75">
    <w:name w:val="xl75"/>
    <w:basedOn w:val="a0"/>
    <w:rsid w:val="00092652"/>
    <w:pPr>
      <w:widowControl/>
      <w:spacing w:before="100" w:beforeAutospacing="1" w:after="100" w:afterAutospacing="1"/>
      <w:jc w:val="right"/>
      <w:textAlignment w:val="center"/>
    </w:pPr>
    <w:rPr>
      <w:rFonts w:ascii="宋体" w:hAnsi="宋体" w:cs="宋体"/>
      <w:kern w:val="0"/>
      <w:sz w:val="24"/>
      <w:szCs w:val="24"/>
    </w:rPr>
  </w:style>
  <w:style w:type="paragraph" w:customStyle="1" w:styleId="xl71">
    <w:name w:val="xl71"/>
    <w:basedOn w:val="a0"/>
    <w:rsid w:val="000926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color w:val="000000"/>
      <w:kern w:val="0"/>
      <w:sz w:val="20"/>
    </w:rPr>
  </w:style>
  <w:style w:type="paragraph" w:customStyle="1" w:styleId="aff9">
    <w:name w:val="二级标题"/>
    <w:basedOn w:val="a0"/>
    <w:qFormat/>
    <w:rsid w:val="00092652"/>
    <w:pPr>
      <w:jc w:val="left"/>
    </w:pPr>
    <w:rPr>
      <w:rFonts w:ascii="宋体" w:eastAsia="仿宋_GB2312" w:hAnsi="宋体" w:cs="宋体"/>
      <w:b/>
      <w:bCs/>
      <w:kern w:val="0"/>
      <w:sz w:val="22"/>
    </w:rPr>
  </w:style>
  <w:style w:type="paragraph" w:customStyle="1" w:styleId="affa">
    <w:name w:val="箭头"/>
    <w:basedOn w:val="aff7"/>
    <w:qFormat/>
    <w:rsid w:val="00092652"/>
    <w:pPr>
      <w:spacing w:before="120" w:after="120"/>
      <w:ind w:left="3120" w:firstLineChars="0" w:firstLine="0"/>
    </w:pPr>
  </w:style>
  <w:style w:type="paragraph" w:customStyle="1" w:styleId="xl66">
    <w:name w:val="xl66"/>
    <w:basedOn w:val="a0"/>
    <w:qFormat/>
    <w:rsid w:val="00092652"/>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0"/>
    <w:rsid w:val="00092652"/>
    <w:pPr>
      <w:widowControl/>
      <w:spacing w:before="100" w:beforeAutospacing="1" w:after="100" w:afterAutospacing="1"/>
      <w:jc w:val="left"/>
    </w:pPr>
    <w:rPr>
      <w:rFonts w:ascii="宋体" w:hAnsi="宋体" w:cs="宋体"/>
      <w:kern w:val="0"/>
      <w:sz w:val="18"/>
      <w:szCs w:val="18"/>
    </w:rPr>
  </w:style>
  <w:style w:type="paragraph" w:customStyle="1" w:styleId="Style1">
    <w:name w:val="Style1"/>
    <w:basedOn w:val="a0"/>
    <w:qFormat/>
    <w:rsid w:val="00092652"/>
    <w:pPr>
      <w:ind w:firstLineChars="200" w:firstLine="200"/>
    </w:pPr>
    <w:rPr>
      <w:rFonts w:ascii="黑体" w:eastAsia="黑体" w:hAnsi="黑体"/>
      <w:sz w:val="24"/>
      <w:szCs w:val="28"/>
    </w:rPr>
  </w:style>
  <w:style w:type="paragraph" w:styleId="a">
    <w:name w:val="List Paragraph"/>
    <w:basedOn w:val="a0"/>
    <w:uiPriority w:val="99"/>
    <w:qFormat/>
    <w:rsid w:val="00092652"/>
    <w:pPr>
      <w:numPr>
        <w:numId w:val="2"/>
      </w:numPr>
      <w:adjustRightInd w:val="0"/>
      <w:snapToGrid w:val="0"/>
      <w:spacing w:line="500" w:lineRule="exact"/>
    </w:pPr>
    <w:rPr>
      <w:rFonts w:ascii="Calibri" w:hAnsi="Calibri"/>
      <w:sz w:val="24"/>
      <w:szCs w:val="22"/>
    </w:rPr>
  </w:style>
  <w:style w:type="paragraph" w:customStyle="1" w:styleId="Char21">
    <w:name w:val="Char2"/>
    <w:basedOn w:val="a0"/>
    <w:qFormat/>
    <w:rsid w:val="00092652"/>
    <w:rPr>
      <w:rFonts w:ascii="Arial" w:hAnsi="Arial" w:cs="Arial"/>
      <w:sz w:val="20"/>
    </w:rPr>
  </w:style>
  <w:style w:type="paragraph" w:customStyle="1" w:styleId="xl74">
    <w:name w:val="xl74"/>
    <w:basedOn w:val="a0"/>
    <w:rsid w:val="00092652"/>
    <w:pPr>
      <w:widowControl/>
      <w:pBdr>
        <w:bottom w:val="single" w:sz="4" w:space="0" w:color="auto"/>
      </w:pBdr>
      <w:spacing w:before="100" w:beforeAutospacing="1" w:after="100" w:afterAutospacing="1"/>
      <w:jc w:val="left"/>
    </w:pPr>
    <w:rPr>
      <w:rFonts w:ascii="宋体" w:hAnsi="宋体" w:cs="宋体"/>
      <w:b/>
      <w:bCs/>
      <w:kern w:val="0"/>
      <w:sz w:val="24"/>
      <w:szCs w:val="24"/>
    </w:rPr>
  </w:style>
  <w:style w:type="paragraph" w:customStyle="1" w:styleId="25">
    <w:name w:val="列出段落2"/>
    <w:basedOn w:val="a0"/>
    <w:uiPriority w:val="34"/>
    <w:qFormat/>
    <w:rsid w:val="00092652"/>
    <w:pPr>
      <w:ind w:firstLineChars="200" w:firstLine="420"/>
    </w:pPr>
    <w:rPr>
      <w:rFonts w:ascii="Calibri" w:hAnsi="Calibri"/>
      <w:szCs w:val="22"/>
    </w:rPr>
  </w:style>
  <w:style w:type="paragraph" w:customStyle="1" w:styleId="font1">
    <w:name w:val="font1"/>
    <w:basedOn w:val="a0"/>
    <w:qFormat/>
    <w:rsid w:val="00092652"/>
    <w:pPr>
      <w:widowControl/>
      <w:spacing w:before="100" w:beforeAutospacing="1" w:after="100" w:afterAutospacing="1"/>
      <w:jc w:val="left"/>
    </w:pPr>
    <w:rPr>
      <w:rFonts w:ascii="宋体" w:hAnsi="宋体" w:cs="宋体"/>
      <w:kern w:val="0"/>
      <w:sz w:val="24"/>
      <w:szCs w:val="24"/>
    </w:rPr>
  </w:style>
  <w:style w:type="paragraph" w:customStyle="1" w:styleId="51">
    <w:name w:val="标题 51"/>
    <w:next w:val="a0"/>
    <w:uiPriority w:val="9"/>
    <w:unhideWhenUsed/>
    <w:qFormat/>
    <w:rsid w:val="00092652"/>
    <w:pPr>
      <w:spacing w:before="240" w:after="120"/>
      <w:contextualSpacing/>
      <w:outlineLvl w:val="4"/>
    </w:pPr>
    <w:rPr>
      <w:rFonts w:ascii="Arial" w:eastAsia="黑体" w:hAnsi="Arial"/>
      <w:b/>
      <w:bCs/>
      <w:color w:val="92D400"/>
      <w:sz w:val="24"/>
      <w:szCs w:val="28"/>
      <w:lang w:val="en-GB"/>
    </w:rPr>
  </w:style>
  <w:style w:type="paragraph" w:customStyle="1" w:styleId="61">
    <w:name w:val="标题 61"/>
    <w:next w:val="a0"/>
    <w:uiPriority w:val="9"/>
    <w:unhideWhenUsed/>
    <w:qFormat/>
    <w:rsid w:val="00092652"/>
    <w:pPr>
      <w:spacing w:before="240" w:after="120"/>
      <w:contextualSpacing/>
      <w:outlineLvl w:val="5"/>
    </w:pPr>
    <w:rPr>
      <w:rFonts w:ascii="Arial" w:eastAsia="黑体" w:hAnsi="Arial"/>
      <w:b/>
      <w:bCs/>
      <w:color w:val="72C7E7"/>
      <w:sz w:val="24"/>
      <w:szCs w:val="28"/>
      <w:lang w:val="en-GB"/>
    </w:rPr>
  </w:style>
  <w:style w:type="paragraph" w:customStyle="1" w:styleId="font8">
    <w:name w:val="font8"/>
    <w:basedOn w:val="a0"/>
    <w:qFormat/>
    <w:rsid w:val="00092652"/>
    <w:pPr>
      <w:widowControl/>
      <w:spacing w:before="100" w:beforeAutospacing="1" w:after="100" w:afterAutospacing="1"/>
      <w:jc w:val="left"/>
    </w:pPr>
    <w:rPr>
      <w:rFonts w:ascii="宋体" w:hAnsi="宋体" w:cs="宋体"/>
      <w:kern w:val="0"/>
      <w:sz w:val="24"/>
      <w:szCs w:val="24"/>
    </w:rPr>
  </w:style>
  <w:style w:type="paragraph" w:customStyle="1" w:styleId="71">
    <w:name w:val="标题 71"/>
    <w:next w:val="a0"/>
    <w:uiPriority w:val="9"/>
    <w:unhideWhenUsed/>
    <w:qFormat/>
    <w:rsid w:val="00092652"/>
    <w:pPr>
      <w:spacing w:before="240" w:after="120"/>
      <w:contextualSpacing/>
      <w:outlineLvl w:val="6"/>
    </w:pPr>
    <w:rPr>
      <w:rFonts w:ascii="Arial" w:eastAsia="黑体" w:hAnsi="Arial"/>
      <w:b/>
      <w:bCs/>
      <w:color w:val="C9DD03"/>
      <w:sz w:val="24"/>
      <w:szCs w:val="28"/>
      <w:lang w:val="en-GB"/>
    </w:rPr>
  </w:style>
  <w:style w:type="paragraph" w:customStyle="1" w:styleId="font9">
    <w:name w:val="font9"/>
    <w:basedOn w:val="a0"/>
    <w:rsid w:val="00092652"/>
    <w:pPr>
      <w:widowControl/>
      <w:spacing w:before="100" w:beforeAutospacing="1" w:after="100" w:afterAutospacing="1"/>
      <w:jc w:val="left"/>
    </w:pPr>
    <w:rPr>
      <w:rFonts w:ascii="宋体" w:hAnsi="宋体" w:cs="宋体"/>
      <w:b/>
      <w:bCs/>
      <w:kern w:val="0"/>
      <w:sz w:val="24"/>
      <w:szCs w:val="24"/>
    </w:rPr>
  </w:style>
  <w:style w:type="paragraph" w:customStyle="1" w:styleId="81">
    <w:name w:val="标题 81"/>
    <w:next w:val="a0"/>
    <w:uiPriority w:val="9"/>
    <w:unhideWhenUsed/>
    <w:qFormat/>
    <w:rsid w:val="00092652"/>
    <w:pPr>
      <w:spacing w:before="240" w:after="120"/>
      <w:contextualSpacing/>
      <w:outlineLvl w:val="7"/>
    </w:pPr>
    <w:rPr>
      <w:rFonts w:ascii="Arial" w:eastAsia="黑体" w:hAnsi="Arial"/>
      <w:b/>
      <w:bCs/>
      <w:i/>
      <w:sz w:val="24"/>
      <w:szCs w:val="28"/>
      <w:lang w:val="en-GB"/>
    </w:rPr>
  </w:style>
  <w:style w:type="paragraph" w:customStyle="1" w:styleId="17">
    <w:name w:val="标题1"/>
    <w:next w:val="af2"/>
    <w:uiPriority w:val="10"/>
    <w:qFormat/>
    <w:rsid w:val="00092652"/>
    <w:pPr>
      <w:framePr w:wrap="notBeside" w:vAnchor="text" w:hAnchor="text" w:y="1"/>
      <w:spacing w:before="1200" w:after="240"/>
      <w:contextualSpacing/>
    </w:pPr>
    <w:rPr>
      <w:rFonts w:eastAsia="黑体"/>
      <w:bCs/>
      <w:color w:val="002776"/>
      <w:sz w:val="72"/>
      <w:szCs w:val="28"/>
      <w:lang w:val="en-GB"/>
    </w:rPr>
  </w:style>
  <w:style w:type="character" w:customStyle="1" w:styleId="Char22">
    <w:name w:val="引用 Char2"/>
    <w:basedOn w:val="a1"/>
    <w:uiPriority w:val="29"/>
    <w:qFormat/>
    <w:rsid w:val="00092652"/>
    <w:rPr>
      <w:i/>
      <w:iCs/>
      <w:color w:val="000000" w:themeColor="text1"/>
      <w:kern w:val="2"/>
      <w:sz w:val="21"/>
    </w:rPr>
  </w:style>
  <w:style w:type="paragraph" w:customStyle="1" w:styleId="d">
    <w:name w:val="d. 斜杠"/>
    <w:basedOn w:val="a0"/>
    <w:qFormat/>
    <w:rsid w:val="00092652"/>
    <w:pPr>
      <w:widowControl/>
      <w:tabs>
        <w:tab w:val="left" w:pos="839"/>
      </w:tabs>
      <w:spacing w:after="120"/>
      <w:ind w:left="839" w:hanging="359"/>
      <w:contextualSpacing/>
      <w:jc w:val="left"/>
    </w:pPr>
    <w:rPr>
      <w:rFonts w:ascii="Calibri" w:eastAsia="华文楷体" w:hAnsi="Calibri"/>
      <w:kern w:val="0"/>
      <w:sz w:val="24"/>
    </w:rPr>
  </w:style>
  <w:style w:type="character" w:customStyle="1" w:styleId="Char23">
    <w:name w:val="明显引用 Char2"/>
    <w:basedOn w:val="a1"/>
    <w:uiPriority w:val="30"/>
    <w:qFormat/>
    <w:rsid w:val="00092652"/>
    <w:rPr>
      <w:b/>
      <w:bCs/>
      <w:i/>
      <w:iCs/>
      <w:color w:val="4F81BD" w:themeColor="accent1"/>
      <w:kern w:val="2"/>
      <w:sz w:val="21"/>
    </w:rPr>
  </w:style>
  <w:style w:type="paragraph" w:customStyle="1" w:styleId="18">
    <w:name w:val="修订1"/>
    <w:uiPriority w:val="99"/>
    <w:semiHidden/>
    <w:qFormat/>
    <w:rsid w:val="00092652"/>
    <w:rPr>
      <w:kern w:val="2"/>
      <w:sz w:val="21"/>
    </w:rPr>
  </w:style>
  <w:style w:type="paragraph" w:customStyle="1" w:styleId="CGBheading2">
    <w:name w:val="CGB heading 2"/>
    <w:basedOn w:val="a0"/>
    <w:next w:val="a0"/>
    <w:qFormat/>
    <w:rsid w:val="00092652"/>
    <w:pPr>
      <w:keepNext/>
      <w:widowControl/>
      <w:tabs>
        <w:tab w:val="left" w:pos="964"/>
      </w:tabs>
      <w:spacing w:before="200" w:after="60" w:line="300" w:lineRule="auto"/>
      <w:jc w:val="left"/>
      <w:outlineLvl w:val="1"/>
    </w:pPr>
    <w:rPr>
      <w:rFonts w:ascii="微软雅黑" w:eastAsia="微软雅黑" w:hAnsi="微软雅黑"/>
      <w:b/>
      <w:bCs/>
      <w:kern w:val="32"/>
      <w:sz w:val="28"/>
      <w:szCs w:val="28"/>
      <w:lang w:val="en-GB"/>
    </w:rPr>
  </w:style>
  <w:style w:type="paragraph" w:customStyle="1" w:styleId="TOC2">
    <w:name w:val="TOC 标题2"/>
    <w:basedOn w:val="1"/>
    <w:next w:val="a0"/>
    <w:uiPriority w:val="39"/>
    <w:unhideWhenUsed/>
    <w:qFormat/>
    <w:rsid w:val="00092652"/>
    <w:pPr>
      <w:widowControl/>
      <w:tabs>
        <w:tab w:val="clear" w:pos="432"/>
      </w:tabs>
      <w:spacing w:before="240" w:after="1200" w:line="240" w:lineRule="auto"/>
      <w:ind w:left="0" w:firstLine="0"/>
      <w:contextualSpacing/>
      <w:jc w:val="left"/>
      <w:outlineLvl w:val="9"/>
    </w:pPr>
    <w:rPr>
      <w:rFonts w:ascii="Times New Roman"/>
      <w:bCs/>
      <w:color w:val="00A1DE"/>
      <w:kern w:val="0"/>
      <w:sz w:val="60"/>
      <w:szCs w:val="28"/>
      <w:lang w:val="en-GB"/>
    </w:rPr>
  </w:style>
  <w:style w:type="paragraph" w:customStyle="1" w:styleId="bulletpoint-2">
    <w:name w:val="bullet point-2"/>
    <w:basedOn w:val="a0"/>
    <w:rsid w:val="00092652"/>
    <w:pPr>
      <w:widowControl/>
      <w:tabs>
        <w:tab w:val="left" w:pos="993"/>
      </w:tabs>
      <w:spacing w:after="120" w:line="312" w:lineRule="auto"/>
      <w:ind w:left="1960" w:hanging="360"/>
      <w:contextualSpacing/>
      <w:jc w:val="left"/>
    </w:pPr>
    <w:rPr>
      <w:rFonts w:ascii="Calibri" w:eastAsia="华文楷体" w:hAnsi="Calibri"/>
      <w:kern w:val="0"/>
      <w:sz w:val="24"/>
      <w:szCs w:val="24"/>
    </w:rPr>
  </w:style>
  <w:style w:type="paragraph" w:customStyle="1" w:styleId="affb">
    <w:name w:val="方点。"/>
    <w:basedOn w:val="a0"/>
    <w:qFormat/>
    <w:rsid w:val="00092652"/>
    <w:pPr>
      <w:spacing w:before="120" w:after="120" w:line="312" w:lineRule="auto"/>
      <w:ind w:left="1956" w:hanging="357"/>
      <w:contextualSpacing/>
    </w:pPr>
    <w:rPr>
      <w:rFonts w:ascii="Calibri" w:eastAsia="华文楷体" w:hAnsi="Calibri"/>
      <w:sz w:val="24"/>
      <w:szCs w:val="22"/>
    </w:rPr>
  </w:style>
  <w:style w:type="paragraph" w:customStyle="1" w:styleId="affc">
    <w:name w:val="圆圈"/>
    <w:basedOn w:val="d"/>
    <w:qFormat/>
    <w:rsid w:val="00092652"/>
    <w:pPr>
      <w:tabs>
        <w:tab w:val="clear" w:pos="839"/>
      </w:tabs>
      <w:ind w:left="2100" w:hanging="360"/>
    </w:pPr>
  </w:style>
  <w:style w:type="paragraph" w:customStyle="1" w:styleId="xl72">
    <w:name w:val="xl72"/>
    <w:basedOn w:val="a0"/>
    <w:qFormat/>
    <w:rsid w:val="000926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color w:val="000000"/>
      <w:kern w:val="0"/>
      <w:sz w:val="20"/>
    </w:rPr>
  </w:style>
  <w:style w:type="paragraph" w:customStyle="1" w:styleId="xl73">
    <w:name w:val="xl73"/>
    <w:basedOn w:val="a0"/>
    <w:qFormat/>
    <w:rsid w:val="0009265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0"/>
    </w:rPr>
  </w:style>
  <w:style w:type="paragraph" w:styleId="affd">
    <w:name w:val="No Spacing"/>
    <w:uiPriority w:val="99"/>
    <w:qFormat/>
    <w:rsid w:val="00092652"/>
    <w:pPr>
      <w:widowControl w:val="0"/>
      <w:jc w:val="both"/>
    </w:pPr>
    <w:rPr>
      <w:rFonts w:ascii="Calibri" w:hAnsi="Calibri"/>
      <w:kern w:val="2"/>
      <w:sz w:val="21"/>
      <w:szCs w:val="22"/>
    </w:rPr>
  </w:style>
  <w:style w:type="table" w:customStyle="1" w:styleId="26">
    <w:name w:val="全面风险2"/>
    <w:basedOn w:val="33"/>
    <w:uiPriority w:val="99"/>
    <w:qFormat/>
    <w:rsid w:val="00092652"/>
    <w:pPr>
      <w:spacing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affe">
    <w:name w:val="全面风险"/>
    <w:basedOn w:val="33"/>
    <w:uiPriority w:val="99"/>
    <w:qFormat/>
    <w:rsid w:val="00092652"/>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9">
    <w:name w:val="全面风险1"/>
    <w:basedOn w:val="33"/>
    <w:uiPriority w:val="99"/>
    <w:qFormat/>
    <w:rsid w:val="00092652"/>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0">
    <w:name w:val="简明型 31"/>
    <w:basedOn w:val="a2"/>
    <w:uiPriority w:val="99"/>
    <w:unhideWhenUsed/>
    <w:rsid w:val="00092652"/>
    <w:pPr>
      <w:widowControl w:val="0"/>
      <w:spacing w:line="500" w:lineRule="exact"/>
      <w:jc w:val="both"/>
    </w:pPr>
    <w:rPr>
      <w:rFonts w:ascii="Calibri" w:hAnsi="Calibri"/>
      <w:kern w:val="2"/>
      <w:sz w:val="21"/>
      <w:szCs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a">
    <w:name w:val="网格型1"/>
    <w:basedOn w:val="a2"/>
    <w:uiPriority w:val="59"/>
    <w:qFormat/>
    <w:rsid w:val="0009265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网格型2"/>
    <w:basedOn w:val="a2"/>
    <w:uiPriority w:val="59"/>
    <w:rsid w:val="0009265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网格型3"/>
    <w:basedOn w:val="a2"/>
    <w:uiPriority w:val="59"/>
    <w:rsid w:val="0009265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092652"/>
    <w:rPr>
      <w:rFonts w:ascii="仿宋_GB2312" w:eastAsia="仿宋_GB2312" w:hint="eastAsia"/>
      <w:color w:val="000000"/>
      <w:sz w:val="28"/>
      <w:szCs w:val="28"/>
    </w:rPr>
  </w:style>
  <w:style w:type="character" w:customStyle="1" w:styleId="header11">
    <w:name w:val="header11"/>
    <w:rsid w:val="00092652"/>
    <w:rPr>
      <w:sz w:val="30"/>
      <w:szCs w:val="30"/>
    </w:rPr>
  </w:style>
  <w:style w:type="character" w:customStyle="1" w:styleId="Char24">
    <w:name w:val="标题 Char2"/>
    <w:uiPriority w:val="10"/>
    <w:rsid w:val="00092652"/>
    <w:rPr>
      <w:rFonts w:ascii="Cambria" w:hAnsi="Cambria" w:cs="Times New Roman"/>
      <w:b/>
      <w:bCs/>
      <w:kern w:val="2"/>
      <w:sz w:val="32"/>
      <w:szCs w:val="32"/>
    </w:rPr>
  </w:style>
  <w:style w:type="character" w:customStyle="1" w:styleId="Char25">
    <w:name w:val="批注文字 Char2"/>
    <w:uiPriority w:val="99"/>
    <w:semiHidden/>
    <w:rsid w:val="00092652"/>
    <w:rPr>
      <w:rFonts w:ascii="Times New Roman" w:hAnsi="Times New Roman"/>
      <w:kern w:val="2"/>
      <w:sz w:val="21"/>
    </w:rPr>
  </w:style>
  <w:style w:type="character" w:customStyle="1" w:styleId="Char26">
    <w:name w:val="批注主题 Char2"/>
    <w:uiPriority w:val="99"/>
    <w:semiHidden/>
    <w:rsid w:val="00092652"/>
    <w:rPr>
      <w:rFonts w:ascii="Times New Roman" w:hAnsi="Times New Roman"/>
      <w:b/>
      <w:bCs/>
      <w:kern w:val="2"/>
      <w:sz w:val="21"/>
    </w:rPr>
  </w:style>
  <w:style w:type="character" w:customStyle="1" w:styleId="Char1f">
    <w:name w:val="批注框文本 Char1"/>
    <w:uiPriority w:val="99"/>
    <w:semiHidden/>
    <w:rsid w:val="00092652"/>
    <w:rPr>
      <w:rFonts w:ascii="Times New Roman" w:hAnsi="Times New Roman"/>
      <w:kern w:val="2"/>
      <w:sz w:val="18"/>
      <w:szCs w:val="18"/>
    </w:rPr>
  </w:style>
  <w:style w:type="character" w:customStyle="1" w:styleId="Char1f0">
    <w:name w:val="正文文本缩进 Char1"/>
    <w:uiPriority w:val="99"/>
    <w:semiHidden/>
    <w:rsid w:val="00092652"/>
    <w:rPr>
      <w:rFonts w:ascii="Times New Roman" w:hAnsi="Times New Roman"/>
      <w:kern w:val="2"/>
      <w:sz w:val="21"/>
    </w:rPr>
  </w:style>
  <w:style w:type="character" w:customStyle="1" w:styleId="Char1f1">
    <w:name w:val="正文文本 Char1"/>
    <w:uiPriority w:val="99"/>
    <w:semiHidden/>
    <w:rsid w:val="00092652"/>
    <w:rPr>
      <w:rFonts w:ascii="Times New Roman" w:hAnsi="Times New Roman"/>
      <w:kern w:val="2"/>
      <w:sz w:val="21"/>
    </w:rPr>
  </w:style>
  <w:style w:type="character" w:customStyle="1" w:styleId="Char27">
    <w:name w:val="纯文本 Char2"/>
    <w:uiPriority w:val="99"/>
    <w:semiHidden/>
    <w:rsid w:val="00092652"/>
    <w:rPr>
      <w:rFonts w:ascii="宋体" w:hAnsi="Courier New" w:cs="Courier New"/>
      <w:kern w:val="2"/>
      <w:sz w:val="21"/>
      <w:szCs w:val="21"/>
    </w:rPr>
  </w:style>
  <w:style w:type="character" w:customStyle="1" w:styleId="Char28">
    <w:name w:val="脚注文本 Char2"/>
    <w:uiPriority w:val="99"/>
    <w:semiHidden/>
    <w:rsid w:val="00092652"/>
    <w:rPr>
      <w:rFonts w:ascii="Times New Roman" w:hAnsi="Times New Roman"/>
      <w:kern w:val="2"/>
      <w:sz w:val="18"/>
      <w:szCs w:val="18"/>
    </w:rPr>
  </w:style>
  <w:style w:type="paragraph" w:customStyle="1" w:styleId="CharCharCharCharCharChar">
    <w:name w:val="Char Char Char Char Char Char"/>
    <w:basedOn w:val="a0"/>
    <w:rsid w:val="00092652"/>
    <w:rPr>
      <w:rFonts w:ascii="Calibri" w:hAnsi="Calibri"/>
      <w:szCs w:val="22"/>
    </w:rPr>
  </w:style>
  <w:style w:type="paragraph" w:customStyle="1" w:styleId="CharCharCharChar1">
    <w:name w:val="Char Char Char Char1"/>
    <w:basedOn w:val="a0"/>
    <w:uiPriority w:val="99"/>
    <w:rsid w:val="00092652"/>
    <w:pPr>
      <w:widowControl/>
      <w:tabs>
        <w:tab w:val="left" w:pos="720"/>
      </w:tabs>
      <w:spacing w:before="100" w:beforeAutospacing="1" w:after="100" w:afterAutospacing="1"/>
      <w:ind w:left="720" w:hanging="720"/>
    </w:pPr>
    <w:rPr>
      <w:rFonts w:ascii="Tahoma" w:eastAsia="仿宋_GB2312" w:hAnsi="Tahoma" w:cs="Tahoma"/>
      <w:kern w:val="4"/>
      <w:sz w:val="24"/>
      <w:szCs w:val="24"/>
    </w:rPr>
  </w:style>
  <w:style w:type="paragraph" w:customStyle="1" w:styleId="CharCharCharChar2">
    <w:name w:val="Char Char Char Char2"/>
    <w:basedOn w:val="a0"/>
    <w:uiPriority w:val="99"/>
    <w:rsid w:val="00092652"/>
    <w:pPr>
      <w:widowControl/>
      <w:tabs>
        <w:tab w:val="left" w:pos="720"/>
      </w:tabs>
      <w:spacing w:before="100" w:beforeAutospacing="1" w:after="100" w:afterAutospacing="1"/>
      <w:ind w:left="720" w:hanging="720"/>
    </w:pPr>
    <w:rPr>
      <w:rFonts w:ascii="Tahoma" w:eastAsia="仿宋_GB2312" w:hAnsi="Tahoma" w:cs="Tahoma"/>
      <w:kern w:val="4"/>
      <w:sz w:val="24"/>
      <w:szCs w:val="24"/>
    </w:rPr>
  </w:style>
  <w:style w:type="paragraph" w:customStyle="1" w:styleId="CharCharCharChar3">
    <w:name w:val="Char Char Char Char3"/>
    <w:basedOn w:val="a0"/>
    <w:uiPriority w:val="99"/>
    <w:rsid w:val="00092652"/>
    <w:pPr>
      <w:widowControl/>
      <w:tabs>
        <w:tab w:val="left" w:pos="360"/>
      </w:tabs>
      <w:spacing w:before="100" w:beforeAutospacing="1" w:after="100" w:afterAutospacing="1"/>
    </w:pPr>
    <w:rPr>
      <w:rFonts w:ascii="Tahoma" w:eastAsia="仿宋_GB2312" w:hAnsi="Tahoma" w:cs="Tahoma"/>
      <w:kern w:val="4"/>
      <w:sz w:val="24"/>
      <w:szCs w:val="24"/>
    </w:rPr>
  </w:style>
  <w:style w:type="paragraph" w:customStyle="1" w:styleId="36">
    <w:name w:val="列出段落3"/>
    <w:basedOn w:val="a0"/>
    <w:rsid w:val="00092652"/>
    <w:pPr>
      <w:ind w:left="720"/>
      <w:contextualSpacing/>
    </w:pPr>
    <w:rPr>
      <w:rFonts w:ascii="Calibri" w:hAnsi="Calibri"/>
      <w:szCs w:val="22"/>
    </w:rPr>
  </w:style>
  <w:style w:type="table" w:customStyle="1" w:styleId="42">
    <w:name w:val="网格型4"/>
    <w:basedOn w:val="a2"/>
    <w:uiPriority w:val="59"/>
    <w:qFormat/>
    <w:rsid w:val="0009265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列表型 31"/>
    <w:basedOn w:val="a2"/>
    <w:rsid w:val="00092652"/>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customStyle="1" w:styleId="320">
    <w:name w:val="简明型 32"/>
    <w:basedOn w:val="a2"/>
    <w:uiPriority w:val="99"/>
    <w:unhideWhenUsed/>
    <w:rsid w:val="00092652"/>
    <w:pPr>
      <w:widowControl w:val="0"/>
      <w:spacing w:line="500" w:lineRule="exact"/>
      <w:jc w:val="both"/>
    </w:pPr>
    <w:rPr>
      <w:rFonts w:ascii="Calibri" w:hAnsi="Calibri"/>
      <w:kern w:val="2"/>
      <w:sz w:val="21"/>
      <w:szCs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7">
    <w:name w:val="全面风险3"/>
    <w:basedOn w:val="33"/>
    <w:uiPriority w:val="99"/>
    <w:qFormat/>
    <w:rsid w:val="00092652"/>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10">
    <w:name w:val="网格型11"/>
    <w:basedOn w:val="a2"/>
    <w:uiPriority w:val="59"/>
    <w:qFormat/>
    <w:rsid w:val="0009265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网格型21"/>
    <w:basedOn w:val="a2"/>
    <w:uiPriority w:val="59"/>
    <w:rsid w:val="0009265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全面风险11"/>
    <w:basedOn w:val="33"/>
    <w:uiPriority w:val="99"/>
    <w:qFormat/>
    <w:rsid w:val="00092652"/>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10">
    <w:name w:val="简明型 311"/>
    <w:basedOn w:val="a2"/>
    <w:uiPriority w:val="99"/>
    <w:unhideWhenUsed/>
    <w:rsid w:val="00092652"/>
    <w:pPr>
      <w:widowControl w:val="0"/>
      <w:spacing w:line="500" w:lineRule="exact"/>
      <w:jc w:val="both"/>
    </w:pPr>
    <w:rPr>
      <w:rFonts w:ascii="Calibri" w:hAnsi="Calibri"/>
      <w:kern w:val="2"/>
      <w:sz w:val="21"/>
      <w:szCs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11">
    <w:name w:val="全面风险21"/>
    <w:basedOn w:val="33"/>
    <w:uiPriority w:val="99"/>
    <w:qFormat/>
    <w:rsid w:val="00092652"/>
    <w:pPr>
      <w:spacing w:line="240" w:lineRule="auto"/>
    </w:pPr>
    <w:rPr>
      <w:rFonts w:ascii="Times New Roman" w:hAnsi="Times New Roman"/>
      <w:kern w:val="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2">
    <w:name w:val="网格型31"/>
    <w:basedOn w:val="a2"/>
    <w:uiPriority w:val="59"/>
    <w:rsid w:val="0009265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editboxdisponly">
    <w:name w:val="pseditbox_disponly"/>
    <w:rsid w:val="00092652"/>
  </w:style>
  <w:style w:type="paragraph" w:customStyle="1" w:styleId="xl108">
    <w:name w:val="xl108"/>
    <w:basedOn w:val="a0"/>
    <w:rsid w:val="00092652"/>
    <w:pPr>
      <w:widowControl/>
      <w:spacing w:before="100" w:beforeAutospacing="1" w:after="100" w:afterAutospacing="1"/>
      <w:jc w:val="left"/>
      <w:textAlignment w:val="center"/>
    </w:pPr>
    <w:rPr>
      <w:rFonts w:ascii="宋体" w:hAnsi="宋体" w:cs="宋体"/>
      <w:kern w:val="0"/>
      <w:sz w:val="24"/>
      <w:szCs w:val="24"/>
    </w:rPr>
  </w:style>
  <w:style w:type="paragraph" w:customStyle="1" w:styleId="xl109">
    <w:name w:val="xl109"/>
    <w:basedOn w:val="a0"/>
    <w:rsid w:val="000926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10">
    <w:name w:val="xl110"/>
    <w:basedOn w:val="a0"/>
    <w:rsid w:val="000926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111">
    <w:name w:val="xl111"/>
    <w:basedOn w:val="a0"/>
    <w:rsid w:val="000926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12">
    <w:name w:val="xl112"/>
    <w:basedOn w:val="a0"/>
    <w:rsid w:val="000926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13">
    <w:name w:val="xl113"/>
    <w:basedOn w:val="a0"/>
    <w:rsid w:val="00092652"/>
    <w:pPr>
      <w:widowControl/>
      <w:spacing w:before="100" w:beforeAutospacing="1" w:after="100" w:afterAutospacing="1"/>
      <w:jc w:val="center"/>
      <w:textAlignment w:val="center"/>
    </w:pPr>
    <w:rPr>
      <w:rFonts w:ascii="宋体" w:hAnsi="宋体" w:cs="宋体"/>
      <w:kern w:val="0"/>
      <w:sz w:val="24"/>
      <w:szCs w:val="24"/>
    </w:rPr>
  </w:style>
  <w:style w:type="paragraph" w:customStyle="1" w:styleId="xl114">
    <w:name w:val="xl114"/>
    <w:basedOn w:val="a0"/>
    <w:rsid w:val="00092652"/>
    <w:pPr>
      <w:widowControl/>
      <w:spacing w:before="100" w:beforeAutospacing="1" w:after="100" w:afterAutospacing="1"/>
      <w:jc w:val="left"/>
      <w:textAlignment w:val="center"/>
    </w:pPr>
    <w:rPr>
      <w:rFonts w:ascii="宋体" w:hAnsi="宋体" w:cs="宋体"/>
      <w:color w:val="C00000"/>
      <w:kern w:val="0"/>
      <w:sz w:val="24"/>
      <w:szCs w:val="24"/>
    </w:rPr>
  </w:style>
  <w:style w:type="paragraph" w:customStyle="1" w:styleId="xl115">
    <w:name w:val="xl115"/>
    <w:basedOn w:val="a0"/>
    <w:rsid w:val="000926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rPr>
  </w:style>
  <w:style w:type="paragraph" w:customStyle="1" w:styleId="xl116">
    <w:name w:val="xl116"/>
    <w:basedOn w:val="a0"/>
    <w:rsid w:val="0009265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117">
    <w:name w:val="xl117"/>
    <w:basedOn w:val="a0"/>
    <w:rsid w:val="00092652"/>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rPr>
  </w:style>
  <w:style w:type="paragraph" w:customStyle="1" w:styleId="xl118">
    <w:name w:val="xl118"/>
    <w:basedOn w:val="a0"/>
    <w:rsid w:val="00092652"/>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19">
    <w:name w:val="xl119"/>
    <w:basedOn w:val="a0"/>
    <w:rsid w:val="00092652"/>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120">
    <w:name w:val="xl120"/>
    <w:basedOn w:val="a0"/>
    <w:rsid w:val="000926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rPr>
  </w:style>
  <w:style w:type="paragraph" w:customStyle="1" w:styleId="xl121">
    <w:name w:val="xl121"/>
    <w:basedOn w:val="a0"/>
    <w:rsid w:val="000926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rPr>
  </w:style>
  <w:style w:type="paragraph" w:customStyle="1" w:styleId="xl122">
    <w:name w:val="xl122"/>
    <w:basedOn w:val="a0"/>
    <w:rsid w:val="000926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C00000"/>
      <w:kern w:val="0"/>
      <w:sz w:val="20"/>
    </w:rPr>
  </w:style>
  <w:style w:type="paragraph" w:customStyle="1" w:styleId="xl123">
    <w:name w:val="xl123"/>
    <w:basedOn w:val="a0"/>
    <w:rsid w:val="000926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C00000"/>
      <w:kern w:val="0"/>
      <w:sz w:val="20"/>
    </w:rPr>
  </w:style>
  <w:style w:type="paragraph" w:customStyle="1" w:styleId="xl124">
    <w:name w:val="xl124"/>
    <w:basedOn w:val="a0"/>
    <w:rsid w:val="000926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C00000"/>
      <w:kern w:val="0"/>
      <w:sz w:val="20"/>
    </w:rPr>
  </w:style>
  <w:style w:type="paragraph" w:customStyle="1" w:styleId="xl125">
    <w:name w:val="xl125"/>
    <w:basedOn w:val="a0"/>
    <w:rsid w:val="00092652"/>
    <w:pPr>
      <w:widowControl/>
      <w:pBdr>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kern w:val="0"/>
      <w:sz w:val="20"/>
    </w:rPr>
  </w:style>
  <w:style w:type="paragraph" w:customStyle="1" w:styleId="xl126">
    <w:name w:val="xl126"/>
    <w:basedOn w:val="a0"/>
    <w:rsid w:val="00092652"/>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hAnsi="宋体" w:cs="宋体"/>
      <w:kern w:val="0"/>
      <w:sz w:val="20"/>
    </w:rPr>
  </w:style>
  <w:style w:type="paragraph" w:customStyle="1" w:styleId="xl127">
    <w:name w:val="xl127"/>
    <w:basedOn w:val="a0"/>
    <w:rsid w:val="00092652"/>
    <w:pPr>
      <w:widowControl/>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宋体" w:hAnsi="宋体" w:cs="宋体"/>
      <w:kern w:val="0"/>
      <w:sz w:val="20"/>
    </w:rPr>
  </w:style>
  <w:style w:type="paragraph" w:customStyle="1" w:styleId="afff">
    <w:name w:val="意见内容"/>
    <w:basedOn w:val="a0"/>
    <w:link w:val="Charf7"/>
    <w:qFormat/>
    <w:rsid w:val="00092652"/>
    <w:pPr>
      <w:spacing w:line="360" w:lineRule="exact"/>
      <w:ind w:firstLineChars="200" w:firstLine="420"/>
    </w:pPr>
    <w:rPr>
      <w:rFonts w:ascii="宋体" w:hAnsi="宋体"/>
      <w:szCs w:val="21"/>
    </w:rPr>
  </w:style>
  <w:style w:type="paragraph" w:customStyle="1" w:styleId="afff0">
    <w:name w:val="报告内容"/>
    <w:basedOn w:val="a0"/>
    <w:link w:val="Charf8"/>
    <w:rsid w:val="00092652"/>
    <w:pPr>
      <w:ind w:firstLineChars="200" w:firstLine="420"/>
    </w:pPr>
    <w:rPr>
      <w:rFonts w:ascii="宋体" w:hAnsi="宋体"/>
      <w:szCs w:val="21"/>
    </w:rPr>
  </w:style>
  <w:style w:type="character" w:customStyle="1" w:styleId="Charf7">
    <w:name w:val="意见内容 Char"/>
    <w:link w:val="afff"/>
    <w:rsid w:val="00092652"/>
    <w:rPr>
      <w:rFonts w:ascii="宋体" w:hAnsi="宋体"/>
      <w:kern w:val="2"/>
      <w:sz w:val="21"/>
      <w:szCs w:val="21"/>
    </w:rPr>
  </w:style>
  <w:style w:type="character" w:customStyle="1" w:styleId="Charf8">
    <w:name w:val="报告内容 Char"/>
    <w:link w:val="afff0"/>
    <w:rsid w:val="00092652"/>
    <w:rPr>
      <w:rFonts w:ascii="宋体" w:hAnsi="宋体"/>
      <w:kern w:val="2"/>
      <w:sz w:val="21"/>
      <w:szCs w:val="21"/>
    </w:rPr>
  </w:style>
  <w:style w:type="paragraph" w:customStyle="1" w:styleId="afff1">
    <w:name w:val="复核意见"/>
    <w:basedOn w:val="a0"/>
    <w:link w:val="Charf9"/>
    <w:rsid w:val="00092652"/>
    <w:pPr>
      <w:ind w:firstLineChars="200" w:firstLine="420"/>
    </w:pPr>
    <w:rPr>
      <w:rFonts w:ascii="宋体" w:hAnsi="宋体"/>
      <w:color w:val="C00000"/>
      <w:szCs w:val="21"/>
    </w:rPr>
  </w:style>
  <w:style w:type="character" w:customStyle="1" w:styleId="Charf9">
    <w:name w:val="复核意见 Char"/>
    <w:link w:val="afff1"/>
    <w:rsid w:val="00092652"/>
    <w:rPr>
      <w:rFonts w:ascii="宋体" w:hAnsi="宋体"/>
      <w:color w:val="C00000"/>
      <w:kern w:val="2"/>
      <w:sz w:val="21"/>
      <w:szCs w:val="21"/>
    </w:rPr>
  </w:style>
  <w:style w:type="paragraph" w:customStyle="1" w:styleId="xl29">
    <w:name w:val="xl29"/>
    <w:basedOn w:val="a0"/>
    <w:uiPriority w:val="99"/>
    <w:rsid w:val="00092652"/>
    <w:pPr>
      <w:widowControl/>
      <w:pBdr>
        <w:bottom w:val="single" w:sz="4" w:space="0" w:color="auto"/>
        <w:right w:val="single" w:sz="4" w:space="0" w:color="auto"/>
      </w:pBdr>
      <w:spacing w:before="100" w:beforeAutospacing="1" w:after="100" w:afterAutospacing="1"/>
      <w:textAlignment w:val="center"/>
    </w:pPr>
    <w:rPr>
      <w:rFonts w:ascii="仿宋_GB2312" w:eastAsia="仿宋_GB2312" w:hAnsi="宋体"/>
      <w:kern w:val="0"/>
      <w:szCs w:val="21"/>
    </w:rPr>
  </w:style>
  <w:style w:type="paragraph" w:customStyle="1" w:styleId="afff2">
    <w:name w:val="转让报告"/>
    <w:basedOn w:val="a0"/>
    <w:link w:val="Charfa"/>
    <w:qFormat/>
    <w:rsid w:val="00092652"/>
    <w:pPr>
      <w:spacing w:line="500" w:lineRule="exact"/>
      <w:ind w:firstLineChars="200" w:firstLine="560"/>
    </w:pPr>
    <w:rPr>
      <w:rFonts w:ascii="仿宋_GB2312" w:eastAsia="仿宋_GB2312" w:hAnsi="Arial"/>
      <w:sz w:val="28"/>
      <w:szCs w:val="28"/>
    </w:rPr>
  </w:style>
  <w:style w:type="character" w:customStyle="1" w:styleId="Charfa">
    <w:name w:val="转让报告 Char"/>
    <w:link w:val="afff2"/>
    <w:qFormat/>
    <w:rsid w:val="00092652"/>
    <w:rPr>
      <w:rFonts w:ascii="仿宋_GB2312" w:eastAsia="仿宋_GB2312" w:hAnsi="Arial"/>
      <w:kern w:val="2"/>
      <w:sz w:val="28"/>
      <w:szCs w:val="28"/>
    </w:rPr>
  </w:style>
  <w:style w:type="paragraph" w:customStyle="1" w:styleId="xl76">
    <w:name w:val="xl76"/>
    <w:basedOn w:val="a0"/>
    <w:rsid w:val="000926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77">
    <w:name w:val="xl77"/>
    <w:basedOn w:val="a0"/>
    <w:rsid w:val="000926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szCs w:val="24"/>
    </w:rPr>
  </w:style>
  <w:style w:type="paragraph" w:customStyle="1" w:styleId="xl78">
    <w:name w:val="xl78"/>
    <w:basedOn w:val="a0"/>
    <w:rsid w:val="000926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79">
    <w:name w:val="xl79"/>
    <w:basedOn w:val="a0"/>
    <w:rsid w:val="0009265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color w:val="000000"/>
      <w:kern w:val="0"/>
      <w:sz w:val="24"/>
      <w:szCs w:val="24"/>
    </w:rPr>
  </w:style>
  <w:style w:type="paragraph" w:customStyle="1" w:styleId="xl80">
    <w:name w:val="xl80"/>
    <w:basedOn w:val="a0"/>
    <w:rsid w:val="0009265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81">
    <w:name w:val="xl81"/>
    <w:basedOn w:val="a0"/>
    <w:rsid w:val="0009265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82">
    <w:name w:val="xl82"/>
    <w:basedOn w:val="a0"/>
    <w:rsid w:val="00092652"/>
    <w:pPr>
      <w:widowControl/>
      <w:pBdr>
        <w:bottom w:val="single" w:sz="4" w:space="0" w:color="auto"/>
      </w:pBdr>
      <w:spacing w:before="100" w:beforeAutospacing="1" w:after="100" w:afterAutospacing="1"/>
      <w:jc w:val="center"/>
      <w:textAlignment w:val="center"/>
    </w:pPr>
    <w:rPr>
      <w:rFonts w:ascii="宋体" w:hAnsi="宋体" w:cs="宋体"/>
      <w:b/>
      <w:bCs/>
      <w:kern w:val="0"/>
      <w:sz w:val="32"/>
      <w:szCs w:val="32"/>
    </w:rPr>
  </w:style>
  <w:style w:type="paragraph" w:customStyle="1" w:styleId="1b">
    <w:name w:val="无间隔1"/>
    <w:uiPriority w:val="99"/>
    <w:qFormat/>
    <w:rsid w:val="00092652"/>
    <w:pPr>
      <w:widowControl w:val="0"/>
      <w:spacing w:line="360" w:lineRule="auto"/>
      <w:ind w:firstLineChars="236" w:firstLine="566"/>
      <w:jc w:val="both"/>
    </w:pPr>
    <w:rPr>
      <w:rFonts w:ascii="Calibri" w:hAnsi="Calibri"/>
      <w:color w:val="0238BE"/>
      <w:kern w:val="2"/>
      <w:sz w:val="24"/>
      <w:szCs w:val="22"/>
    </w:rPr>
  </w:style>
  <w:style w:type="character" w:customStyle="1" w:styleId="1c">
    <w:name w:val="不明显强调1"/>
    <w:uiPriority w:val="19"/>
    <w:qFormat/>
    <w:rsid w:val="00092652"/>
    <w:rPr>
      <w:i/>
      <w:iCs/>
      <w:color w:val="808080"/>
    </w:rPr>
  </w:style>
  <w:style w:type="character" w:customStyle="1" w:styleId="1d">
    <w:name w:val="明显强调1"/>
    <w:uiPriority w:val="21"/>
    <w:qFormat/>
    <w:rsid w:val="00092652"/>
    <w:rPr>
      <w:b/>
      <w:bCs/>
      <w:i/>
      <w:iCs/>
      <w:color w:val="2DA2BF"/>
    </w:rPr>
  </w:style>
  <w:style w:type="character" w:customStyle="1" w:styleId="1e">
    <w:name w:val="不明显参考1"/>
    <w:uiPriority w:val="31"/>
    <w:qFormat/>
    <w:rsid w:val="00092652"/>
    <w:rPr>
      <w:smallCaps/>
      <w:color w:val="DA1F28"/>
      <w:u w:val="single"/>
    </w:rPr>
  </w:style>
  <w:style w:type="character" w:customStyle="1" w:styleId="1f">
    <w:name w:val="明显参考1"/>
    <w:uiPriority w:val="32"/>
    <w:qFormat/>
    <w:rsid w:val="00092652"/>
    <w:rPr>
      <w:b/>
      <w:bCs/>
      <w:smallCaps/>
      <w:color w:val="DA1F28"/>
      <w:spacing w:val="5"/>
      <w:u w:val="single"/>
    </w:rPr>
  </w:style>
  <w:style w:type="character" w:customStyle="1" w:styleId="1f0">
    <w:name w:val="书籍标题1"/>
    <w:uiPriority w:val="33"/>
    <w:qFormat/>
    <w:rsid w:val="00092652"/>
    <w:rPr>
      <w:b/>
      <w:bCs/>
      <w:smallCaps/>
      <w:spacing w:val="5"/>
    </w:rPr>
  </w:style>
  <w:style w:type="paragraph" w:customStyle="1" w:styleId="TOC3">
    <w:name w:val="TOC 标题3"/>
    <w:basedOn w:val="1"/>
    <w:next w:val="a0"/>
    <w:uiPriority w:val="39"/>
    <w:semiHidden/>
    <w:unhideWhenUsed/>
    <w:qFormat/>
    <w:rsid w:val="00092652"/>
    <w:pPr>
      <w:widowControl/>
      <w:tabs>
        <w:tab w:val="clear" w:pos="432"/>
      </w:tabs>
      <w:spacing w:before="0" w:after="0"/>
      <w:ind w:left="0" w:firstLine="0"/>
      <w:contextualSpacing/>
      <w:jc w:val="left"/>
      <w:outlineLvl w:val="9"/>
    </w:pPr>
    <w:rPr>
      <w:rFonts w:ascii="Cambria" w:eastAsia="宋体" w:hAnsi="Cambria"/>
      <w:b/>
      <w:bCs/>
      <w:color w:val="21798E"/>
      <w:kern w:val="0"/>
      <w:sz w:val="30"/>
      <w:szCs w:val="28"/>
    </w:rPr>
  </w:style>
  <w:style w:type="paragraph" w:customStyle="1" w:styleId="BT01">
    <w:name w:val="BT01"/>
    <w:basedOn w:val="10"/>
    <w:rsid w:val="00092652"/>
    <w:pPr>
      <w:widowControl/>
      <w:tabs>
        <w:tab w:val="clear" w:pos="8302"/>
        <w:tab w:val="right" w:leader="dot" w:pos="8296"/>
      </w:tabs>
      <w:spacing w:line="360" w:lineRule="auto"/>
      <w:jc w:val="left"/>
      <w:outlineLvl w:val="0"/>
    </w:pPr>
    <w:rPr>
      <w:rFonts w:eastAsia="黑体" w:hAnsi="Helvetica" w:cs="Helvetica"/>
      <w:b/>
      <w:color w:val="3E3E3E"/>
      <w:kern w:val="0"/>
      <w:sz w:val="30"/>
      <w:szCs w:val="20"/>
    </w:rPr>
  </w:style>
  <w:style w:type="paragraph" w:customStyle="1" w:styleId="28">
    <w:name w:val="样式2"/>
    <w:basedOn w:val="22"/>
    <w:qFormat/>
    <w:rsid w:val="00092652"/>
    <w:pPr>
      <w:widowControl/>
      <w:tabs>
        <w:tab w:val="right" w:leader="dot" w:pos="8296"/>
      </w:tabs>
      <w:adjustRightInd/>
      <w:snapToGrid/>
      <w:spacing w:line="240" w:lineRule="auto"/>
      <w:ind w:leftChars="200" w:left="400" w:firstLineChars="0" w:firstLine="0"/>
    </w:pPr>
    <w:rPr>
      <w:rFonts w:eastAsia="仿宋"/>
      <w:smallCaps w:val="0"/>
      <w:kern w:val="0"/>
      <w:sz w:val="28"/>
    </w:rPr>
  </w:style>
  <w:style w:type="character" w:customStyle="1" w:styleId="afff3">
    <w:name w:val="脚注文本 字符"/>
    <w:semiHidden/>
    <w:locked/>
    <w:rsid w:val="00092652"/>
    <w:rPr>
      <w:rFonts w:ascii="Calibri" w:hAnsi="Calibri"/>
      <w:kern w:val="2"/>
      <w:sz w:val="18"/>
      <w:szCs w:val="18"/>
    </w:rPr>
  </w:style>
  <w:style w:type="table" w:customStyle="1" w:styleId="52">
    <w:name w:val="网格型5"/>
    <w:basedOn w:val="a2"/>
    <w:uiPriority w:val="59"/>
    <w:rsid w:val="0009265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普通(网站)1"/>
    <w:basedOn w:val="a0"/>
    <w:rsid w:val="00092652"/>
    <w:pPr>
      <w:widowControl/>
      <w:spacing w:before="100" w:beforeAutospacing="1" w:after="100" w:afterAutospacing="1"/>
      <w:jc w:val="left"/>
    </w:pPr>
    <w:rPr>
      <w:rFonts w:ascii="宋体" w:hAnsi="宋体" w:cs="Vrinda" w:hint="eastAsia"/>
      <w:kern w:val="0"/>
      <w:sz w:val="24"/>
      <w:lang w:bidi="bn-IN"/>
    </w:rPr>
  </w:style>
  <w:style w:type="paragraph" w:customStyle="1" w:styleId="Char110">
    <w:name w:val="Char11"/>
    <w:basedOn w:val="a0"/>
    <w:rsid w:val="00092652"/>
    <w:rPr>
      <w:rFonts w:ascii="Tahoma" w:hAnsi="Tahoma"/>
      <w:sz w:val="24"/>
    </w:rPr>
  </w:style>
  <w:style w:type="paragraph" w:customStyle="1" w:styleId="CharCharCharCharCharCharChar">
    <w:name w:val="Char Char Char Char Char Char Char"/>
    <w:basedOn w:val="a0"/>
    <w:rsid w:val="00092652"/>
    <w:pPr>
      <w:tabs>
        <w:tab w:val="left" w:pos="360"/>
      </w:tabs>
      <w:adjustRightInd w:val="0"/>
      <w:textAlignment w:val="baseline"/>
    </w:pPr>
    <w:rPr>
      <w:rFonts w:hAnsi="仿宋_GB2312"/>
      <w:kern w:val="0"/>
      <w:sz w:val="24"/>
    </w:rPr>
  </w:style>
  <w:style w:type="paragraph" w:customStyle="1" w:styleId="CharChar1CharChar2CharChar">
    <w:name w:val="Char Char1 Char Char2 Char Char"/>
    <w:basedOn w:val="a0"/>
    <w:rsid w:val="00092652"/>
    <w:pPr>
      <w:widowControl/>
      <w:spacing w:after="160" w:line="240" w:lineRule="exact"/>
      <w:jc w:val="left"/>
    </w:pPr>
    <w:rPr>
      <w:rFonts w:ascii="Verdana" w:hAnsi="Verdana"/>
      <w:kern w:val="0"/>
      <w:sz w:val="20"/>
      <w:lang w:eastAsia="en-US"/>
    </w:rPr>
  </w:style>
  <w:style w:type="character" w:customStyle="1" w:styleId="DeltaViewInsertion">
    <w:name w:val="DeltaView Insertion"/>
    <w:rsid w:val="00092652"/>
    <w:rPr>
      <w:color w:val="0000FF"/>
      <w:spacing w:val="0"/>
      <w:u w:val="double"/>
    </w:rPr>
  </w:style>
  <w:style w:type="character" w:customStyle="1" w:styleId="DeltaViewDeletion">
    <w:name w:val="DeltaView Deletion"/>
    <w:rsid w:val="00092652"/>
    <w:rPr>
      <w:strike/>
      <w:color w:val="FF0000"/>
      <w:spacing w:val="0"/>
    </w:rPr>
  </w:style>
  <w:style w:type="paragraph" w:customStyle="1" w:styleId="112">
    <w:name w:val="普通(网站)11"/>
    <w:basedOn w:val="a0"/>
    <w:rsid w:val="00092652"/>
    <w:pPr>
      <w:widowControl/>
      <w:spacing w:before="100" w:beforeAutospacing="1" w:after="100" w:afterAutospacing="1"/>
      <w:jc w:val="left"/>
    </w:pPr>
    <w:rPr>
      <w:rFonts w:ascii="宋体" w:hAnsi="宋体" w:cs="Vrinda" w:hint="eastAsia"/>
      <w:kern w:val="0"/>
      <w:sz w:val="24"/>
      <w:lang w:bidi="bn-IN"/>
    </w:rPr>
  </w:style>
  <w:style w:type="paragraph" w:customStyle="1" w:styleId="29">
    <w:name w:val="普通(网站)2"/>
    <w:basedOn w:val="a0"/>
    <w:rsid w:val="00092652"/>
    <w:pPr>
      <w:widowControl/>
      <w:spacing w:before="100" w:beforeAutospacing="1" w:after="100" w:afterAutospacing="1"/>
      <w:jc w:val="left"/>
    </w:pPr>
    <w:rPr>
      <w:rFonts w:ascii="宋体" w:hAnsi="宋体" w:cs="Vrinda" w:hint="eastAsia"/>
      <w:kern w:val="0"/>
      <w:sz w:val="24"/>
      <w:lang w:bidi="bn-IN"/>
    </w:rPr>
  </w:style>
  <w:style w:type="paragraph" w:customStyle="1" w:styleId="Char120">
    <w:name w:val="Char12"/>
    <w:basedOn w:val="a0"/>
    <w:rsid w:val="00092652"/>
    <w:rPr>
      <w:rFonts w:ascii="Tahoma" w:hAnsi="Tahoma"/>
      <w:sz w:val="24"/>
    </w:rPr>
  </w:style>
  <w:style w:type="paragraph" w:customStyle="1" w:styleId="CharCharCharCharCharCharChar1">
    <w:name w:val="Char Char Char Char Char Char Char1"/>
    <w:basedOn w:val="a0"/>
    <w:rsid w:val="00092652"/>
    <w:pPr>
      <w:tabs>
        <w:tab w:val="left" w:pos="360"/>
      </w:tabs>
      <w:adjustRightInd w:val="0"/>
      <w:textAlignment w:val="baseline"/>
    </w:pPr>
    <w:rPr>
      <w:rFonts w:hAnsi="仿宋_GB2312"/>
      <w:kern w:val="0"/>
      <w:sz w:val="24"/>
    </w:rPr>
  </w:style>
  <w:style w:type="paragraph" w:customStyle="1" w:styleId="43">
    <w:name w:val="列出段落4"/>
    <w:basedOn w:val="a0"/>
    <w:rsid w:val="00092652"/>
    <w:pPr>
      <w:ind w:firstLineChars="200" w:firstLine="420"/>
    </w:pPr>
    <w:rPr>
      <w:rFonts w:eastAsia="仿宋_GB2312"/>
      <w:sz w:val="28"/>
      <w:szCs w:val="24"/>
    </w:rPr>
  </w:style>
  <w:style w:type="paragraph" w:customStyle="1" w:styleId="53">
    <w:name w:val="列出段落5"/>
    <w:basedOn w:val="a0"/>
    <w:rsid w:val="00092652"/>
    <w:pPr>
      <w:ind w:left="720"/>
      <w:contextualSpacing/>
    </w:pPr>
    <w:rPr>
      <w:rFonts w:ascii="Calibri" w:hAnsi="Calibri"/>
      <w:szCs w:val="22"/>
    </w:rPr>
  </w:style>
  <w:style w:type="paragraph" w:customStyle="1" w:styleId="38">
    <w:name w:val="普通(网站)3"/>
    <w:basedOn w:val="a0"/>
    <w:rsid w:val="00092652"/>
    <w:pPr>
      <w:widowControl/>
      <w:spacing w:before="100" w:beforeAutospacing="1" w:after="100" w:afterAutospacing="1"/>
      <w:jc w:val="left"/>
    </w:pPr>
    <w:rPr>
      <w:rFonts w:ascii="宋体" w:hAnsi="宋体" w:cs="Vrinda" w:hint="eastAsia"/>
      <w:kern w:val="0"/>
      <w:sz w:val="24"/>
      <w:lang w:bidi="bn-IN"/>
    </w:rPr>
  </w:style>
  <w:style w:type="paragraph" w:customStyle="1" w:styleId="Char130">
    <w:name w:val="Char13"/>
    <w:basedOn w:val="a0"/>
    <w:rsid w:val="00092652"/>
    <w:rPr>
      <w:rFonts w:ascii="Tahoma" w:hAnsi="Tahoma"/>
      <w:sz w:val="24"/>
    </w:rPr>
  </w:style>
  <w:style w:type="paragraph" w:customStyle="1" w:styleId="CharCharCharCharCharCharChar2">
    <w:name w:val="Char Char Char Char Char Char Char2"/>
    <w:basedOn w:val="a0"/>
    <w:rsid w:val="00092652"/>
    <w:pPr>
      <w:tabs>
        <w:tab w:val="left" w:pos="360"/>
      </w:tabs>
      <w:adjustRightInd w:val="0"/>
      <w:textAlignment w:val="baseline"/>
    </w:pPr>
    <w:rPr>
      <w:rFonts w:hAnsi="仿宋_GB2312"/>
      <w:kern w:val="0"/>
      <w:sz w:val="24"/>
    </w:rPr>
  </w:style>
  <w:style w:type="character" w:customStyle="1" w:styleId="apple-converted-space">
    <w:name w:val="apple-converted-space"/>
    <w:basedOn w:val="a1"/>
    <w:rsid w:val="00092652"/>
  </w:style>
  <w:style w:type="character" w:customStyle="1" w:styleId="Charfb">
    <w:name w:val="案例 Char"/>
    <w:basedOn w:val="a1"/>
    <w:link w:val="afff4"/>
    <w:locked/>
    <w:rsid w:val="00092652"/>
    <w:rPr>
      <w:rFonts w:ascii="仿宋_GB2312" w:eastAsia="仿宋_GB2312" w:hAnsi="宋体"/>
      <w:sz w:val="24"/>
      <w:szCs w:val="24"/>
    </w:rPr>
  </w:style>
  <w:style w:type="paragraph" w:customStyle="1" w:styleId="afff4">
    <w:name w:val="案例"/>
    <w:basedOn w:val="a0"/>
    <w:link w:val="Charfb"/>
    <w:qFormat/>
    <w:rsid w:val="00092652"/>
    <w:pPr>
      <w:spacing w:line="440" w:lineRule="exact"/>
      <w:ind w:firstLineChars="200" w:firstLine="480"/>
    </w:pPr>
    <w:rPr>
      <w:rFonts w:ascii="仿宋_GB2312" w:eastAsia="仿宋_GB2312" w:hAnsi="宋体"/>
      <w:kern w:val="0"/>
      <w:sz w:val="24"/>
      <w:szCs w:val="24"/>
    </w:rPr>
  </w:style>
  <w:style w:type="paragraph" w:customStyle="1" w:styleId="afff5">
    <w:name w:val="删除"/>
    <w:basedOn w:val="a0"/>
    <w:link w:val="Charfc"/>
    <w:qFormat/>
    <w:rsid w:val="00092652"/>
    <w:pPr>
      <w:spacing w:line="380" w:lineRule="exact"/>
      <w:ind w:firstLineChars="200" w:firstLine="480"/>
    </w:pPr>
    <w:rPr>
      <w:rFonts w:ascii="仿宋_GB2312" w:eastAsia="仿宋_GB2312"/>
      <w:dstrike/>
      <w:sz w:val="24"/>
      <w:szCs w:val="24"/>
    </w:rPr>
  </w:style>
  <w:style w:type="character" w:customStyle="1" w:styleId="Charfc">
    <w:name w:val="删除 Char"/>
    <w:link w:val="afff5"/>
    <w:rsid w:val="00092652"/>
    <w:rPr>
      <w:rFonts w:ascii="仿宋_GB2312" w:eastAsia="仿宋_GB2312"/>
      <w:dstrike/>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5.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47"/>
    <customShpInfo spid="_x0000_s1026"/>
    <customShpInfo spid="_x0000_s1067"/>
    <customShpInfo spid="_x0000_s1077"/>
    <customShpInfo spid="_x0000_s1078"/>
    <customShpInfo spid="_x0000_s1079"/>
    <customShpInfo spid="_x0000_s1080"/>
    <customShpInfo spid="_x0000_s1086"/>
    <customShpInfo spid="_x0000_s1087"/>
    <customShpInfo spid="_x0000_s1089"/>
    <customShpInfo spid="_x0000_s1090"/>
    <customShpInfo spid="_x0000_s1104"/>
    <customShpInfo spid="_x0000_s1105"/>
    <customShpInfo spid="_x0000_s1106"/>
    <customShpInfo spid="_x0000_s1092"/>
    <customShpInfo spid="_x0000_s1093"/>
    <customShpInfo spid="_x0000_s1094"/>
    <customShpInfo spid="_x0000_s1098"/>
    <customShpInfo spid="_x0000_s1099"/>
    <customShpInfo spid="_x0000_s1100"/>
    <customShpInfo spid="_x0000_s1081"/>
    <customShpInfo spid="_x0000_s1082"/>
    <customShpInfo spid="_x0000_s1083"/>
    <customShpInfo spid="_x0000_s1084"/>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11F1C4-06B5-4068-8C23-185A075CB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145</Pages>
  <Words>12287</Words>
  <Characters>70037</Characters>
  <Application>Microsoft Office Word</Application>
  <DocSecurity>0</DocSecurity>
  <Lines>583</Lines>
  <Paragraphs>164</Paragraphs>
  <ScaleCrop>false</ScaleCrop>
  <Company>CC</Company>
  <LinksUpToDate>false</LinksUpToDate>
  <CharactersWithSpaces>82160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林枢</dc:creator>
  <cp:lastModifiedBy>魏玮</cp:lastModifiedBy>
  <cp:revision>3</cp:revision>
  <cp:lastPrinted>2020-06-08T03:08:00Z</cp:lastPrinted>
  <dcterms:created xsi:type="dcterms:W3CDTF">2021-05-21T06:39:00Z</dcterms:created>
  <dcterms:modified xsi:type="dcterms:W3CDTF">2021-05-21T07:34:00Z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