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10" w:rsidRPr="001B7910" w:rsidRDefault="00E42B11" w:rsidP="00E42B11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B7910">
        <w:rPr>
          <w:rFonts w:ascii="宋体" w:eastAsia="宋体" w:hAnsi="宋体" w:cs="Times New Roman" w:hint="eastAsia"/>
          <w:b/>
          <w:sz w:val="32"/>
          <w:szCs w:val="32"/>
        </w:rPr>
        <w:t>兴业银行“</w:t>
      </w:r>
      <w:r w:rsidRPr="001B7910">
        <w:rPr>
          <w:rFonts w:ascii="宋体" w:eastAsia="宋体" w:hAnsi="宋体" w:cs="Times New Roman"/>
          <w:b/>
          <w:sz w:val="32"/>
          <w:szCs w:val="32"/>
        </w:rPr>
        <w:t>添利1号净值型理财产品</w:t>
      </w:r>
      <w:r w:rsidR="00D957E4" w:rsidRPr="001B7910">
        <w:rPr>
          <w:rFonts w:ascii="宋体" w:eastAsia="宋体" w:hAnsi="宋体" w:cs="Times New Roman" w:hint="eastAsia"/>
          <w:b/>
          <w:sz w:val="32"/>
          <w:szCs w:val="32"/>
        </w:rPr>
        <w:t>”</w:t>
      </w:r>
    </w:p>
    <w:p w:rsidR="00E42B11" w:rsidRDefault="00D957E4" w:rsidP="00E42B11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B7910">
        <w:rPr>
          <w:rFonts w:ascii="宋体" w:eastAsia="宋体" w:hAnsi="宋体" w:cs="Times New Roman"/>
          <w:b/>
          <w:sz w:val="32"/>
          <w:szCs w:val="32"/>
        </w:rPr>
        <w:t>2018年第</w:t>
      </w:r>
      <w:r w:rsidR="001B7910" w:rsidRPr="001B7910">
        <w:rPr>
          <w:rFonts w:ascii="宋体" w:eastAsia="宋体" w:hAnsi="宋体" w:cs="Times New Roman" w:hint="eastAsia"/>
          <w:b/>
          <w:sz w:val="32"/>
          <w:szCs w:val="32"/>
        </w:rPr>
        <w:t>4</w:t>
      </w:r>
      <w:r w:rsidRPr="001B7910">
        <w:rPr>
          <w:rFonts w:ascii="宋体" w:eastAsia="宋体" w:hAnsi="宋体" w:cs="Times New Roman"/>
          <w:b/>
          <w:sz w:val="32"/>
          <w:szCs w:val="32"/>
        </w:rPr>
        <w:t>季度报告</w:t>
      </w:r>
    </w:p>
    <w:p w:rsidR="00947FEC" w:rsidRDefault="00947FEC" w:rsidP="00E42B11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2018年12月31日</w:t>
      </w:r>
    </w:p>
    <w:p w:rsidR="00947FEC" w:rsidRDefault="00947FEC" w:rsidP="0090349D">
      <w:pPr>
        <w:pStyle w:val="a7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2"/>
          <w:szCs w:val="32"/>
        </w:rPr>
      </w:pPr>
      <w:bookmarkStart w:id="0" w:name="_Toc535504138"/>
      <w:r w:rsidRPr="00947FEC">
        <w:rPr>
          <w:rFonts w:ascii="宋体" w:eastAsia="宋体" w:hAnsi="宋体" w:cs="Times New Roman" w:hint="eastAsia"/>
          <w:b/>
          <w:sz w:val="32"/>
          <w:szCs w:val="32"/>
        </w:rPr>
        <w:t>目录</w:t>
      </w:r>
      <w:bookmarkEnd w:id="0"/>
    </w:p>
    <w:p w:rsidR="000D0622" w:rsidRDefault="00602EFD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r w:rsidRPr="00602EFD">
        <w:rPr>
          <w:rFonts w:ascii="宋体" w:eastAsia="宋体" w:hAnsi="宋体" w:cs="Times New Roman"/>
          <w:b w:val="0"/>
          <w:sz w:val="32"/>
          <w:szCs w:val="32"/>
        </w:rPr>
        <w:fldChar w:fldCharType="begin"/>
      </w:r>
      <w:r w:rsidR="000D0622">
        <w:rPr>
          <w:rFonts w:ascii="宋体" w:eastAsia="宋体" w:hAnsi="宋体" w:cs="Times New Roman"/>
          <w:b w:val="0"/>
          <w:sz w:val="32"/>
          <w:szCs w:val="32"/>
        </w:rPr>
        <w:instrText xml:space="preserve"> TOC \o "1-3" \h \z \u </w:instrText>
      </w:r>
      <w:r w:rsidRPr="00602EFD">
        <w:rPr>
          <w:rFonts w:ascii="宋体" w:eastAsia="宋体" w:hAnsi="宋体" w:cs="Times New Roman"/>
          <w:b w:val="0"/>
          <w:sz w:val="32"/>
          <w:szCs w:val="32"/>
        </w:rPr>
        <w:fldChar w:fldCharType="separate"/>
      </w:r>
      <w:hyperlink w:anchor="_Toc535504138" w:history="1">
        <w:r w:rsidR="000D0622" w:rsidRPr="00A76A81">
          <w:rPr>
            <w:rStyle w:val="a8"/>
            <w:rFonts w:ascii="宋体" w:eastAsia="宋体" w:hAnsi="宋体" w:cs="Times New Roman" w:hint="eastAsia"/>
            <w:noProof/>
          </w:rPr>
          <w:t>一．</w:t>
        </w:r>
        <w:r w:rsidR="000D0622">
          <w:rPr>
            <w:b w:val="0"/>
            <w:bCs w:val="0"/>
            <w:caps w:val="0"/>
            <w:noProof/>
            <w:sz w:val="21"/>
            <w:szCs w:val="22"/>
          </w:rPr>
          <w:tab/>
        </w:r>
        <w:r w:rsidR="000D0622" w:rsidRPr="00A76A81">
          <w:rPr>
            <w:rStyle w:val="a8"/>
            <w:rFonts w:ascii="宋体" w:eastAsia="宋体" w:hAnsi="宋体" w:cs="Times New Roman" w:hint="eastAsia"/>
            <w:noProof/>
          </w:rPr>
          <w:t>目录</w:t>
        </w:r>
        <w:r w:rsidR="000D06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0622">
          <w:rPr>
            <w:noProof/>
            <w:webHidden/>
          </w:rPr>
          <w:instrText xml:space="preserve"> PAGEREF _Toc535504138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62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D0622" w:rsidRDefault="00602EFD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504139" w:history="1">
        <w:r w:rsidR="000D0622" w:rsidRPr="00A76A81">
          <w:rPr>
            <w:rStyle w:val="a8"/>
            <w:rFonts w:ascii="宋体" w:eastAsia="宋体" w:hAnsi="宋体" w:cs="Times New Roman" w:hint="eastAsia"/>
            <w:noProof/>
          </w:rPr>
          <w:t>二．</w:t>
        </w:r>
        <w:r w:rsidR="000D0622">
          <w:rPr>
            <w:b w:val="0"/>
            <w:bCs w:val="0"/>
            <w:caps w:val="0"/>
            <w:noProof/>
            <w:sz w:val="21"/>
            <w:szCs w:val="22"/>
          </w:rPr>
          <w:tab/>
        </w:r>
        <w:r w:rsidR="000D0622" w:rsidRPr="00A76A81">
          <w:rPr>
            <w:rStyle w:val="a8"/>
            <w:rFonts w:hint="eastAsia"/>
            <w:noProof/>
          </w:rPr>
          <w:t>产品基本情况</w:t>
        </w:r>
        <w:r w:rsidR="000D06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0622">
          <w:rPr>
            <w:noProof/>
            <w:webHidden/>
          </w:rPr>
          <w:instrText xml:space="preserve"> PAGEREF _Toc535504139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62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D0622" w:rsidRDefault="00602EFD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504140" w:history="1">
        <w:r w:rsidR="000D0622" w:rsidRPr="00A76A81">
          <w:rPr>
            <w:rStyle w:val="a8"/>
            <w:rFonts w:ascii="宋体" w:eastAsia="宋体" w:hAnsi="宋体" w:cs="Times New Roman" w:hint="eastAsia"/>
            <w:noProof/>
          </w:rPr>
          <w:t>三．</w:t>
        </w:r>
        <w:r w:rsidR="000D0622">
          <w:rPr>
            <w:b w:val="0"/>
            <w:bCs w:val="0"/>
            <w:caps w:val="0"/>
            <w:noProof/>
            <w:sz w:val="21"/>
            <w:szCs w:val="22"/>
          </w:rPr>
          <w:tab/>
        </w:r>
        <w:r w:rsidR="000D0622" w:rsidRPr="00A76A81">
          <w:rPr>
            <w:rStyle w:val="a8"/>
            <w:rFonts w:hint="eastAsia"/>
            <w:noProof/>
          </w:rPr>
          <w:t>产品收益表现</w:t>
        </w:r>
        <w:r w:rsidR="000D06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0622">
          <w:rPr>
            <w:noProof/>
            <w:webHidden/>
          </w:rPr>
          <w:instrText xml:space="preserve"> PAGEREF _Toc535504140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62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D0622" w:rsidRDefault="00602EFD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504141" w:history="1">
        <w:r w:rsidR="000D0622" w:rsidRPr="00A76A81">
          <w:rPr>
            <w:rStyle w:val="a8"/>
            <w:rFonts w:ascii="宋体" w:eastAsia="宋体" w:hAnsi="宋体" w:cs="Times New Roman" w:hint="eastAsia"/>
            <w:noProof/>
          </w:rPr>
          <w:t>四．</w:t>
        </w:r>
        <w:r w:rsidR="000D0622">
          <w:rPr>
            <w:b w:val="0"/>
            <w:bCs w:val="0"/>
            <w:caps w:val="0"/>
            <w:noProof/>
            <w:sz w:val="21"/>
            <w:szCs w:val="22"/>
          </w:rPr>
          <w:tab/>
        </w:r>
        <w:r w:rsidR="000D0622" w:rsidRPr="00A76A81">
          <w:rPr>
            <w:rStyle w:val="a8"/>
            <w:rFonts w:hint="eastAsia"/>
            <w:noProof/>
          </w:rPr>
          <w:t>报告期内产品的投资策略和运作分析</w:t>
        </w:r>
        <w:r w:rsidR="000D06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0622">
          <w:rPr>
            <w:noProof/>
            <w:webHidden/>
          </w:rPr>
          <w:instrText xml:space="preserve"> PAGEREF _Toc535504141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62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D0622" w:rsidRDefault="00602EFD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504142" w:history="1">
        <w:r w:rsidR="000D0622" w:rsidRPr="00A76A81">
          <w:rPr>
            <w:rStyle w:val="a8"/>
            <w:rFonts w:ascii="宋体" w:eastAsia="宋体" w:hAnsi="宋体" w:cs="Times New Roman" w:hint="eastAsia"/>
            <w:noProof/>
          </w:rPr>
          <w:t>五．</w:t>
        </w:r>
        <w:r w:rsidR="000D0622">
          <w:rPr>
            <w:b w:val="0"/>
            <w:bCs w:val="0"/>
            <w:caps w:val="0"/>
            <w:noProof/>
            <w:sz w:val="21"/>
            <w:szCs w:val="22"/>
          </w:rPr>
          <w:tab/>
        </w:r>
        <w:r w:rsidR="000D0622" w:rsidRPr="00A76A81">
          <w:rPr>
            <w:rStyle w:val="a8"/>
            <w:noProof/>
          </w:rPr>
          <w:t>2018</w:t>
        </w:r>
        <w:r w:rsidR="000D0622" w:rsidRPr="00A76A81">
          <w:rPr>
            <w:rStyle w:val="a8"/>
            <w:rFonts w:hint="eastAsia"/>
            <w:noProof/>
          </w:rPr>
          <w:t>年第</w:t>
        </w:r>
        <w:r w:rsidR="000D0622" w:rsidRPr="00A76A81">
          <w:rPr>
            <w:rStyle w:val="a8"/>
            <w:noProof/>
          </w:rPr>
          <w:t>4</w:t>
        </w:r>
        <w:r w:rsidR="000D0622" w:rsidRPr="00A76A81">
          <w:rPr>
            <w:rStyle w:val="a8"/>
            <w:rFonts w:hint="eastAsia"/>
            <w:noProof/>
          </w:rPr>
          <w:t>季度财务会计报告</w:t>
        </w:r>
        <w:r w:rsidR="000D06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0622">
          <w:rPr>
            <w:noProof/>
            <w:webHidden/>
          </w:rPr>
          <w:instrText xml:space="preserve"> PAGEREF _Toc535504142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62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0622" w:rsidRDefault="00602EFD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504143" w:history="1">
        <w:r w:rsidR="000D0622" w:rsidRPr="00A76A81">
          <w:rPr>
            <w:rStyle w:val="a8"/>
            <w:b/>
            <w:noProof/>
          </w:rPr>
          <w:t>1.</w:t>
        </w:r>
        <w:r w:rsidR="000D0622">
          <w:rPr>
            <w:smallCaps w:val="0"/>
            <w:noProof/>
            <w:sz w:val="21"/>
            <w:szCs w:val="22"/>
          </w:rPr>
          <w:tab/>
        </w:r>
        <w:r w:rsidR="000D0622" w:rsidRPr="00A76A81">
          <w:rPr>
            <w:rStyle w:val="a8"/>
            <w:rFonts w:hint="eastAsia"/>
            <w:b/>
            <w:noProof/>
          </w:rPr>
          <w:t>资产负债表</w:t>
        </w:r>
        <w:r w:rsidR="000D06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0622">
          <w:rPr>
            <w:noProof/>
            <w:webHidden/>
          </w:rPr>
          <w:instrText xml:space="preserve"> PAGEREF _Toc535504143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62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0622" w:rsidRDefault="00602EFD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504144" w:history="1">
        <w:r w:rsidR="000D0622" w:rsidRPr="00A76A81">
          <w:rPr>
            <w:rStyle w:val="a8"/>
            <w:rFonts w:ascii="宋体" w:eastAsia="宋体" w:hAnsi="宋体" w:cs="Times New Roman"/>
            <w:b/>
            <w:noProof/>
          </w:rPr>
          <w:t>2.</w:t>
        </w:r>
        <w:r w:rsidR="000D0622">
          <w:rPr>
            <w:smallCaps w:val="0"/>
            <w:noProof/>
            <w:sz w:val="21"/>
            <w:szCs w:val="22"/>
          </w:rPr>
          <w:tab/>
        </w:r>
        <w:r w:rsidR="000D0622" w:rsidRPr="00A76A81">
          <w:rPr>
            <w:rStyle w:val="a8"/>
            <w:rFonts w:ascii="宋体" w:eastAsia="宋体" w:hAnsi="宋体" w:cs="Times New Roman" w:hint="eastAsia"/>
            <w:b/>
            <w:noProof/>
          </w:rPr>
          <w:t>利润表</w:t>
        </w:r>
        <w:r w:rsidR="000D06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0622">
          <w:rPr>
            <w:noProof/>
            <w:webHidden/>
          </w:rPr>
          <w:instrText xml:space="preserve"> PAGEREF _Toc535504144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62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0622" w:rsidRDefault="00602EFD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504145" w:history="1">
        <w:r w:rsidR="000D0622" w:rsidRPr="00A76A81">
          <w:rPr>
            <w:rStyle w:val="a8"/>
            <w:rFonts w:ascii="宋体" w:eastAsia="宋体" w:hAnsi="宋体" w:cs="Times New Roman"/>
            <w:b/>
            <w:noProof/>
          </w:rPr>
          <w:t>3.</w:t>
        </w:r>
        <w:r w:rsidR="000D0622">
          <w:rPr>
            <w:smallCaps w:val="0"/>
            <w:noProof/>
            <w:sz w:val="21"/>
            <w:szCs w:val="22"/>
          </w:rPr>
          <w:tab/>
        </w:r>
        <w:r w:rsidR="000D0622" w:rsidRPr="00A76A81">
          <w:rPr>
            <w:rStyle w:val="a8"/>
            <w:rFonts w:ascii="宋体" w:eastAsia="宋体" w:hAnsi="宋体" w:cs="Times New Roman" w:hint="eastAsia"/>
            <w:b/>
            <w:noProof/>
          </w:rPr>
          <w:t>所有者权益（产品净值）变动表</w:t>
        </w:r>
        <w:r w:rsidR="000D06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0622">
          <w:rPr>
            <w:noProof/>
            <w:webHidden/>
          </w:rPr>
          <w:instrText xml:space="preserve"> PAGEREF _Toc535504145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62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0622" w:rsidRDefault="00602EFD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504146" w:history="1">
        <w:r w:rsidR="000D0622" w:rsidRPr="00A76A81">
          <w:rPr>
            <w:rStyle w:val="a8"/>
            <w:rFonts w:ascii="宋体" w:eastAsia="宋体" w:hAnsi="宋体" w:cs="Times New Roman" w:hint="eastAsia"/>
            <w:noProof/>
          </w:rPr>
          <w:t>六．</w:t>
        </w:r>
        <w:r w:rsidR="000D0622">
          <w:rPr>
            <w:b w:val="0"/>
            <w:bCs w:val="0"/>
            <w:caps w:val="0"/>
            <w:noProof/>
            <w:sz w:val="21"/>
            <w:szCs w:val="22"/>
          </w:rPr>
          <w:tab/>
        </w:r>
        <w:r w:rsidR="000D0622" w:rsidRPr="00A76A81">
          <w:rPr>
            <w:rStyle w:val="a8"/>
            <w:rFonts w:hint="eastAsia"/>
            <w:noProof/>
          </w:rPr>
          <w:t>投资组合情况</w:t>
        </w:r>
        <w:r w:rsidR="000D06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0622">
          <w:rPr>
            <w:noProof/>
            <w:webHidden/>
          </w:rPr>
          <w:instrText xml:space="preserve"> PAGEREF _Toc535504146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62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0622" w:rsidRDefault="00602EFD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504147" w:history="1">
        <w:r w:rsidR="000D0622" w:rsidRPr="00A76A81">
          <w:rPr>
            <w:rStyle w:val="a8"/>
            <w:b/>
            <w:noProof/>
          </w:rPr>
          <w:t>1.</w:t>
        </w:r>
        <w:r w:rsidR="000D0622">
          <w:rPr>
            <w:smallCaps w:val="0"/>
            <w:noProof/>
            <w:sz w:val="21"/>
            <w:szCs w:val="22"/>
          </w:rPr>
          <w:tab/>
        </w:r>
        <w:r w:rsidR="000D0622" w:rsidRPr="00A76A81">
          <w:rPr>
            <w:rStyle w:val="a8"/>
            <w:rFonts w:hint="eastAsia"/>
            <w:b/>
            <w:noProof/>
          </w:rPr>
          <w:t>报告期末产品资产组合情况</w:t>
        </w:r>
        <w:r w:rsidR="000D06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0622">
          <w:rPr>
            <w:noProof/>
            <w:webHidden/>
          </w:rPr>
          <w:instrText xml:space="preserve"> PAGEREF _Toc535504147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62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0622" w:rsidRDefault="00602EFD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504148" w:history="1">
        <w:r w:rsidR="000D0622" w:rsidRPr="00A76A81">
          <w:rPr>
            <w:rStyle w:val="a8"/>
            <w:b/>
            <w:noProof/>
          </w:rPr>
          <w:t>2.</w:t>
        </w:r>
        <w:r w:rsidR="000D0622">
          <w:rPr>
            <w:smallCaps w:val="0"/>
            <w:noProof/>
            <w:sz w:val="21"/>
            <w:szCs w:val="22"/>
          </w:rPr>
          <w:tab/>
        </w:r>
        <w:r w:rsidR="000D0622" w:rsidRPr="00A76A81">
          <w:rPr>
            <w:rStyle w:val="a8"/>
            <w:rFonts w:hint="eastAsia"/>
            <w:b/>
            <w:noProof/>
          </w:rPr>
          <w:t>报告期末杠杆融资情况</w:t>
        </w:r>
        <w:r w:rsidR="000D06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0622">
          <w:rPr>
            <w:noProof/>
            <w:webHidden/>
          </w:rPr>
          <w:instrText xml:space="preserve"> PAGEREF _Toc535504148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62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0622" w:rsidRDefault="00602EFD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504149" w:history="1">
        <w:r w:rsidR="000D0622" w:rsidRPr="00A76A81">
          <w:rPr>
            <w:rStyle w:val="a8"/>
            <w:b/>
            <w:noProof/>
          </w:rPr>
          <w:t>3.</w:t>
        </w:r>
        <w:r w:rsidR="000D0622">
          <w:rPr>
            <w:smallCaps w:val="0"/>
            <w:noProof/>
            <w:sz w:val="21"/>
            <w:szCs w:val="22"/>
          </w:rPr>
          <w:tab/>
        </w:r>
        <w:r w:rsidR="000D0622" w:rsidRPr="00A76A81">
          <w:rPr>
            <w:rStyle w:val="a8"/>
            <w:rFonts w:hint="eastAsia"/>
            <w:b/>
            <w:noProof/>
          </w:rPr>
          <w:t>报告期末投资组合平均剩余期限分布比例</w:t>
        </w:r>
        <w:r w:rsidR="000D06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0622">
          <w:rPr>
            <w:noProof/>
            <w:webHidden/>
          </w:rPr>
          <w:instrText xml:space="preserve"> PAGEREF _Toc535504149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62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0622" w:rsidRDefault="00602EFD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504150" w:history="1">
        <w:r w:rsidR="000D0622" w:rsidRPr="00A76A81">
          <w:rPr>
            <w:rStyle w:val="a8"/>
            <w:b/>
            <w:noProof/>
          </w:rPr>
          <w:t>4.</w:t>
        </w:r>
        <w:r w:rsidR="000D0622">
          <w:rPr>
            <w:smallCaps w:val="0"/>
            <w:noProof/>
            <w:sz w:val="21"/>
            <w:szCs w:val="22"/>
          </w:rPr>
          <w:tab/>
        </w:r>
        <w:r w:rsidR="000D0622" w:rsidRPr="00A76A81">
          <w:rPr>
            <w:rStyle w:val="a8"/>
            <w:rFonts w:hint="eastAsia"/>
            <w:b/>
            <w:noProof/>
          </w:rPr>
          <w:t>报告期末持仓占比前十名债券投资明细</w:t>
        </w:r>
        <w:r w:rsidR="000D06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0622">
          <w:rPr>
            <w:noProof/>
            <w:webHidden/>
          </w:rPr>
          <w:instrText xml:space="preserve"> PAGEREF _Toc535504150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62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349D" w:rsidRPr="00947FEC" w:rsidRDefault="00602EFD" w:rsidP="0090349D">
      <w:pPr>
        <w:pStyle w:val="a7"/>
        <w:ind w:left="720" w:firstLineChars="0" w:firstLine="0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b/>
          <w:sz w:val="32"/>
          <w:szCs w:val="32"/>
        </w:rPr>
        <w:fldChar w:fldCharType="end"/>
      </w:r>
    </w:p>
    <w:p w:rsidR="00D957E4" w:rsidRPr="00947FEC" w:rsidRDefault="00D957E4" w:rsidP="0090349D">
      <w:pPr>
        <w:pStyle w:val="a7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2"/>
          <w:szCs w:val="32"/>
        </w:rPr>
      </w:pPr>
      <w:bookmarkStart w:id="1" w:name="_Toc535504139"/>
      <w:r w:rsidRPr="00947FEC">
        <w:rPr>
          <w:rFonts w:hint="eastAsia"/>
          <w:b/>
          <w:sz w:val="30"/>
          <w:szCs w:val="30"/>
        </w:rPr>
        <w:t>产品基本情况</w:t>
      </w:r>
      <w:bookmarkEnd w:id="1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DD6476" w:rsidRPr="00DD6476" w:rsidTr="00DD6476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303ED1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现</w:t>
            </w:r>
            <w:r w:rsidRPr="00303ED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金宝-添利1号净值型理财产品</w:t>
            </w:r>
          </w:p>
        </w:tc>
      </w:tr>
      <w:tr w:rsidR="00DD6476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90318011</w:t>
            </w:r>
          </w:p>
        </w:tc>
      </w:tr>
      <w:tr w:rsidR="00DD6476" w:rsidRPr="00DD6476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C1030918000502</w:t>
            </w:r>
          </w:p>
        </w:tc>
      </w:tr>
      <w:tr w:rsidR="00DD6476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T+0开放式</w:t>
            </w:r>
          </w:p>
        </w:tc>
      </w:tr>
      <w:tr w:rsidR="00DD6476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2C151E" w:rsidRPr="002C151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191</w:t>
            </w:r>
            <w:r w:rsidR="002C15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,</w:t>
            </w:r>
            <w:r w:rsidR="002C151E" w:rsidRPr="002C151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174</w:t>
            </w:r>
            <w:r w:rsidR="002C15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,</w:t>
            </w:r>
            <w:r w:rsidR="002C151E" w:rsidRPr="002C151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515</w:t>
            </w:r>
            <w:r w:rsidR="002C15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,</w:t>
            </w:r>
            <w:r w:rsidR="002C151E" w:rsidRPr="002C151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551.26</w:t>
            </w: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份 </w:t>
            </w:r>
          </w:p>
        </w:tc>
      </w:tr>
      <w:tr w:rsidR="00DD6476" w:rsidRPr="00DD6476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在保持理财资产的低风险和高流动性的前提下，力争实现超越业绩比较基准的投资回报。</w:t>
            </w:r>
          </w:p>
        </w:tc>
      </w:tr>
      <w:tr w:rsidR="00DD6476" w:rsidRPr="00DD6476" w:rsidTr="00DD6476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本产品将遵循安全性和流动性优先原则，通过对宏观经济、政策环境、市场状况和资金供求的深入分析，在严格控制风险的前提下，主动构建及调整投资组合，力争获取超额收益。</w:t>
            </w:r>
          </w:p>
        </w:tc>
      </w:tr>
      <w:tr w:rsidR="00DD6476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6A5F01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当前</w:t>
            </w:r>
            <w:r w:rsidR="00DD6476"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业绩</w:t>
            </w:r>
            <w:proofErr w:type="gramEnd"/>
            <w:r w:rsidR="00DD6476"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A6807" w:rsidRDefault="00682D6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人民银行</w:t>
            </w:r>
            <w:r w:rsidRPr="00CA6807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7天通知存款利率</w:t>
            </w:r>
            <w:r w:rsidR="00660FDC" w:rsidRPr="00CA6807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(1.35%)+2.</w:t>
            </w:r>
            <w:r w:rsidR="00660FDC"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Pr="00CA6807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5%</w:t>
            </w:r>
            <w:r w:rsidR="000775FC"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=3.5%</w:t>
            </w:r>
          </w:p>
        </w:tc>
      </w:tr>
      <w:tr w:rsidR="00545CE3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CA6807" w:rsidRDefault="00545CE3" w:rsidP="00E609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CA6807" w:rsidRDefault="00545CE3" w:rsidP="00E609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本产品具有低风险、高流动性的特征。</w:t>
            </w:r>
          </w:p>
        </w:tc>
      </w:tr>
      <w:tr w:rsidR="00545CE3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CA6807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CA6807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兴业银行股份有限公司</w:t>
            </w:r>
          </w:p>
        </w:tc>
      </w:tr>
      <w:tr w:rsidR="00545CE3" w:rsidRPr="00DD6476" w:rsidTr="00DD6476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CA6807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CA6807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兴业银行股份有限公司</w:t>
            </w:r>
          </w:p>
        </w:tc>
      </w:tr>
    </w:tbl>
    <w:p w:rsidR="00D957E4" w:rsidRPr="00947FEC" w:rsidRDefault="005978D1" w:rsidP="0090349D">
      <w:pPr>
        <w:pStyle w:val="a7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2"/>
          <w:szCs w:val="32"/>
        </w:rPr>
      </w:pPr>
      <w:bookmarkStart w:id="2" w:name="_Toc535504140"/>
      <w:r w:rsidRPr="00947FEC">
        <w:rPr>
          <w:rFonts w:hint="eastAsia"/>
          <w:b/>
          <w:sz w:val="30"/>
          <w:szCs w:val="30"/>
        </w:rPr>
        <w:lastRenderedPageBreak/>
        <w:t>产品收益表现</w:t>
      </w:r>
      <w:bookmarkEnd w:id="2"/>
    </w:p>
    <w:p w:rsidR="000447A7" w:rsidRDefault="00765D1B" w:rsidP="00AA5C59">
      <w:pPr>
        <w:ind w:firstLineChars="200" w:firstLine="600"/>
        <w:rPr>
          <w:sz w:val="30"/>
          <w:szCs w:val="30"/>
        </w:rPr>
      </w:pPr>
      <w:r w:rsidRPr="003C6D13">
        <w:rPr>
          <w:rFonts w:hint="eastAsia"/>
          <w:sz w:val="30"/>
          <w:szCs w:val="30"/>
        </w:rPr>
        <w:t>报告期内，本产品</w:t>
      </w:r>
      <w:proofErr w:type="gramStart"/>
      <w:r w:rsidRPr="003C6D13">
        <w:rPr>
          <w:rFonts w:hint="eastAsia"/>
          <w:sz w:val="30"/>
          <w:szCs w:val="30"/>
        </w:rPr>
        <w:t>七日年化收益率</w:t>
      </w:r>
      <w:proofErr w:type="gramEnd"/>
      <w:r w:rsidRPr="003C6D13">
        <w:rPr>
          <w:rFonts w:hint="eastAsia"/>
          <w:sz w:val="30"/>
          <w:szCs w:val="30"/>
        </w:rPr>
        <w:t>均值</w:t>
      </w:r>
      <w:r w:rsidRPr="003C6D13">
        <w:rPr>
          <w:rFonts w:hint="eastAsia"/>
          <w:sz w:val="30"/>
          <w:szCs w:val="30"/>
        </w:rPr>
        <w:t>4.</w:t>
      </w:r>
      <w:r w:rsidR="005E73E5">
        <w:rPr>
          <w:rFonts w:hint="eastAsia"/>
          <w:sz w:val="30"/>
          <w:szCs w:val="30"/>
        </w:rPr>
        <w:t>03</w:t>
      </w:r>
      <w:r w:rsidRPr="003C6D13">
        <w:rPr>
          <w:rFonts w:hint="eastAsia"/>
          <w:sz w:val="30"/>
          <w:szCs w:val="30"/>
        </w:rPr>
        <w:t>%</w:t>
      </w:r>
      <w:r w:rsidRPr="003C6D13">
        <w:rPr>
          <w:rFonts w:hint="eastAsia"/>
          <w:sz w:val="30"/>
          <w:szCs w:val="30"/>
        </w:rPr>
        <w:t>，同期业绩比较基准</w:t>
      </w:r>
      <w:r w:rsidR="000447A7">
        <w:rPr>
          <w:rFonts w:hint="eastAsia"/>
          <w:sz w:val="30"/>
          <w:szCs w:val="30"/>
        </w:rPr>
        <w:t>如下：</w:t>
      </w:r>
    </w:p>
    <w:tbl>
      <w:tblPr>
        <w:tblW w:w="7800" w:type="dxa"/>
        <w:jc w:val="center"/>
        <w:tblInd w:w="93" w:type="dxa"/>
        <w:tblLook w:val="04A0"/>
      </w:tblPr>
      <w:tblGrid>
        <w:gridCol w:w="2616"/>
        <w:gridCol w:w="5340"/>
      </w:tblGrid>
      <w:tr w:rsidR="000447A7" w:rsidRPr="000447A7" w:rsidTr="000447A7">
        <w:trPr>
          <w:trHeight w:val="27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CA6807" w:rsidRDefault="00F133DC" w:rsidP="0004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适用期间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CA6807" w:rsidRDefault="000447A7" w:rsidP="0004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业绩比较基准</w:t>
            </w:r>
          </w:p>
        </w:tc>
      </w:tr>
      <w:tr w:rsidR="000447A7" w:rsidRPr="000447A7" w:rsidTr="000447A7">
        <w:trPr>
          <w:trHeight w:val="27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CA6807" w:rsidRDefault="0076122B" w:rsidP="0004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2018.10.1-2018.12</w:t>
            </w:r>
            <w:r w:rsidR="000447A7" w:rsidRPr="00CA68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.3</w:t>
            </w:r>
            <w:r w:rsidRPr="00CA68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CA6807" w:rsidRDefault="000447A7" w:rsidP="0004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68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人民银行7天通知存款利率(1.35%)+2.15%=3.5%</w:t>
            </w:r>
          </w:p>
        </w:tc>
      </w:tr>
    </w:tbl>
    <w:p w:rsidR="000447A7" w:rsidRDefault="00AF4C4A" w:rsidP="00D957E4">
      <w:pPr>
        <w:rPr>
          <w:rFonts w:ascii="宋体" w:eastAsia="宋体" w:hAnsi="宋体" w:cs="Times New Roman"/>
          <w:sz w:val="24"/>
          <w:szCs w:val="24"/>
        </w:rPr>
      </w:pPr>
      <w:r w:rsidRPr="00AF4C4A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>
            <wp:extent cx="5274310" cy="2397858"/>
            <wp:effectExtent l="19050" t="0" r="21590" b="2442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47A7" w:rsidRDefault="000447A7" w:rsidP="000447A7">
      <w:pPr>
        <w:jc w:val="center"/>
        <w:rPr>
          <w:rFonts w:ascii="宋体" w:eastAsia="宋体" w:hAnsi="宋体" w:cs="Times New Roman"/>
          <w:sz w:val="24"/>
          <w:szCs w:val="24"/>
        </w:rPr>
      </w:pPr>
      <w:r w:rsidRPr="005B583E">
        <w:rPr>
          <w:rFonts w:ascii="宋体" w:eastAsia="宋体" w:hAnsi="宋体" w:cs="Times New Roman"/>
          <w:sz w:val="24"/>
          <w:szCs w:val="24"/>
        </w:rPr>
        <w:t>添利1号净值型理财产品</w:t>
      </w:r>
      <w:proofErr w:type="gramStart"/>
      <w:r w:rsidRPr="005B583E">
        <w:rPr>
          <w:rFonts w:ascii="宋体" w:eastAsia="宋体" w:hAnsi="宋体" w:cs="Times New Roman" w:hint="eastAsia"/>
          <w:sz w:val="24"/>
          <w:szCs w:val="24"/>
        </w:rPr>
        <w:t>七日年化收益率</w:t>
      </w:r>
      <w:proofErr w:type="gramEnd"/>
      <w:r w:rsidRPr="005B583E">
        <w:rPr>
          <w:rFonts w:ascii="宋体" w:eastAsia="宋体" w:hAnsi="宋体" w:cs="Times New Roman" w:hint="eastAsia"/>
          <w:sz w:val="24"/>
          <w:szCs w:val="24"/>
        </w:rPr>
        <w:t>与业绩比较基准对比图</w:t>
      </w:r>
    </w:p>
    <w:p w:rsidR="00947FEC" w:rsidRDefault="00947FEC" w:rsidP="00947FEC">
      <w:pPr>
        <w:ind w:firstLine="420"/>
        <w:rPr>
          <w:rFonts w:ascii="宋体" w:eastAsia="宋体" w:cs="宋体"/>
          <w:color w:val="000000"/>
          <w:kern w:val="0"/>
          <w:sz w:val="30"/>
          <w:szCs w:val="30"/>
        </w:rPr>
      </w:pPr>
      <w:r w:rsidRPr="00947FEC">
        <w:rPr>
          <w:rFonts w:ascii="宋体" w:eastAsia="宋体" w:cs="宋体" w:hint="eastAsia"/>
          <w:color w:val="000000"/>
          <w:kern w:val="0"/>
          <w:sz w:val="30"/>
          <w:szCs w:val="30"/>
        </w:rPr>
        <w:t>报告期末，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产品收益具体如下：</w:t>
      </w:r>
    </w:p>
    <w:tbl>
      <w:tblPr>
        <w:tblW w:w="7117" w:type="dxa"/>
        <w:jc w:val="center"/>
        <w:tblInd w:w="93" w:type="dxa"/>
        <w:tblLook w:val="04A0"/>
      </w:tblPr>
      <w:tblGrid>
        <w:gridCol w:w="1415"/>
        <w:gridCol w:w="1252"/>
        <w:gridCol w:w="2089"/>
        <w:gridCol w:w="2361"/>
      </w:tblGrid>
      <w:tr w:rsidR="00947FEC" w:rsidRPr="00462F45" w:rsidTr="00342E5C">
        <w:trPr>
          <w:trHeight w:val="546"/>
          <w:jc w:val="center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FEC" w:rsidRPr="00462F45" w:rsidRDefault="00947FEC" w:rsidP="00AA5C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FEC" w:rsidRPr="00462F45" w:rsidRDefault="00947FEC" w:rsidP="00AA5C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万份收益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FEC" w:rsidRPr="00462F45" w:rsidRDefault="00947FEC" w:rsidP="00AA5C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七日年化收益率</w:t>
            </w:r>
            <w:proofErr w:type="gramEnd"/>
          </w:p>
        </w:tc>
        <w:tc>
          <w:tcPr>
            <w:tcW w:w="2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FEC" w:rsidRPr="00462F45" w:rsidRDefault="00947FEC" w:rsidP="00AA5C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947FEC" w:rsidRPr="00342E5C" w:rsidTr="00342E5C">
        <w:trPr>
          <w:trHeight w:val="281"/>
          <w:jc w:val="center"/>
        </w:trPr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FEC" w:rsidRPr="00462F45" w:rsidRDefault="00947FEC" w:rsidP="00947FE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2018/12/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FEC" w:rsidRPr="00462F45" w:rsidRDefault="00947FEC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FEC" w:rsidRPr="00462F45" w:rsidRDefault="00342E5C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2E5C">
              <w:rPr>
                <w:rFonts w:ascii="宋体" w:eastAsia="宋体" w:hAnsi="宋体" w:cs="宋体"/>
                <w:color w:val="000000"/>
                <w:kern w:val="0"/>
                <w:sz w:val="22"/>
              </w:rPr>
              <w:t>4.0170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FEC" w:rsidRPr="00462F45" w:rsidRDefault="00947FEC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2E5C">
              <w:rPr>
                <w:rFonts w:ascii="宋体" w:eastAsia="宋体" w:hAnsi="宋体" w:cs="宋体"/>
                <w:color w:val="000000"/>
                <w:kern w:val="0"/>
                <w:sz w:val="22"/>
              </w:rPr>
              <w:t>191</w:t>
            </w:r>
            <w:r w:rsidRPr="00342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</w:t>
            </w:r>
            <w:r w:rsidRPr="00342E5C">
              <w:rPr>
                <w:rFonts w:ascii="宋体" w:eastAsia="宋体" w:hAnsi="宋体" w:cs="宋体"/>
                <w:color w:val="000000"/>
                <w:kern w:val="0"/>
                <w:sz w:val="22"/>
              </w:rPr>
              <w:t>174</w:t>
            </w:r>
            <w:r w:rsidRPr="00342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</w:t>
            </w:r>
            <w:r w:rsidRPr="00342E5C">
              <w:rPr>
                <w:rFonts w:ascii="宋体" w:eastAsia="宋体" w:hAnsi="宋体" w:cs="宋体"/>
                <w:color w:val="000000"/>
                <w:kern w:val="0"/>
                <w:sz w:val="22"/>
              </w:rPr>
              <w:t>515</w:t>
            </w:r>
            <w:r w:rsidRPr="00342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</w:t>
            </w:r>
            <w:r w:rsidRPr="00342E5C">
              <w:rPr>
                <w:rFonts w:ascii="宋体" w:eastAsia="宋体" w:hAnsi="宋体" w:cs="宋体"/>
                <w:color w:val="000000"/>
                <w:kern w:val="0"/>
                <w:sz w:val="22"/>
              </w:rPr>
              <w:t>551.26</w:t>
            </w:r>
          </w:p>
        </w:tc>
      </w:tr>
    </w:tbl>
    <w:p w:rsidR="005978D1" w:rsidRPr="00AA5C59" w:rsidRDefault="001F2ACD" w:rsidP="0090349D">
      <w:pPr>
        <w:pStyle w:val="a7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2"/>
          <w:szCs w:val="32"/>
        </w:rPr>
      </w:pPr>
      <w:bookmarkStart w:id="3" w:name="_Toc535504141"/>
      <w:r w:rsidRPr="00AA5C59">
        <w:rPr>
          <w:rFonts w:hint="eastAsia"/>
          <w:b/>
          <w:sz w:val="30"/>
          <w:szCs w:val="30"/>
        </w:rPr>
        <w:t>报告期内产品的投资策略和运作分析</w:t>
      </w:r>
      <w:bookmarkEnd w:id="3"/>
    </w:p>
    <w:p w:rsidR="002E6810" w:rsidRDefault="002E6810" w:rsidP="002E6810">
      <w:pPr>
        <w:autoSpaceDE w:val="0"/>
        <w:autoSpaceDN w:val="0"/>
        <w:adjustRightInd w:val="0"/>
        <w:ind w:firstLine="600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/>
          <w:color w:val="000000"/>
          <w:kern w:val="0"/>
          <w:sz w:val="30"/>
          <w:szCs w:val="30"/>
        </w:rPr>
        <w:t>2018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年四季度我国经济稳中趋缓。从需求端看，在投资方面，</w:t>
      </w:r>
      <w:r w:rsidR="00782D7F">
        <w:rPr>
          <w:rFonts w:ascii="宋体" w:eastAsia="宋体" w:cs="宋体"/>
          <w:color w:val="000000"/>
          <w:kern w:val="0"/>
          <w:sz w:val="30"/>
          <w:szCs w:val="30"/>
        </w:rPr>
        <w:t xml:space="preserve"> </w:t>
      </w:r>
      <w:r>
        <w:rPr>
          <w:rFonts w:ascii="宋体" w:eastAsia="宋体" w:cs="宋体"/>
          <w:color w:val="000000"/>
          <w:kern w:val="0"/>
          <w:sz w:val="30"/>
          <w:szCs w:val="30"/>
        </w:rPr>
        <w:t>1-11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月基础设施建设投资完成额累计同比增长</w:t>
      </w:r>
      <w:r>
        <w:rPr>
          <w:rFonts w:ascii="宋体" w:eastAsia="宋体" w:cs="宋体"/>
          <w:color w:val="000000"/>
          <w:kern w:val="0"/>
          <w:sz w:val="30"/>
          <w:szCs w:val="30"/>
        </w:rPr>
        <w:t>4.2%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，仍处于历史较低水平。</w:t>
      </w:r>
      <w:r>
        <w:rPr>
          <w:rFonts w:ascii="宋体" w:eastAsia="宋体" w:cs="宋体"/>
          <w:color w:val="000000"/>
          <w:kern w:val="0"/>
          <w:sz w:val="30"/>
          <w:szCs w:val="30"/>
        </w:rPr>
        <w:t>1-11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月房地产开发投资完成额累计同比增长</w:t>
      </w:r>
      <w:r>
        <w:rPr>
          <w:rFonts w:ascii="宋体" w:eastAsia="宋体" w:cs="宋体"/>
          <w:color w:val="000000"/>
          <w:kern w:val="0"/>
          <w:sz w:val="30"/>
          <w:szCs w:val="30"/>
        </w:rPr>
        <w:t>9.7%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，基本保持平稳。</w:t>
      </w:r>
      <w:r>
        <w:rPr>
          <w:rFonts w:ascii="宋体" w:eastAsia="宋体" w:cs="宋体"/>
          <w:color w:val="000000"/>
          <w:kern w:val="0"/>
          <w:sz w:val="30"/>
          <w:szCs w:val="30"/>
        </w:rPr>
        <w:t>1-11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月制造业投资完成额累计同比增长</w:t>
      </w:r>
      <w:r>
        <w:rPr>
          <w:rFonts w:ascii="宋体" w:eastAsia="宋体" w:cs="宋体"/>
          <w:color w:val="000000"/>
          <w:kern w:val="0"/>
          <w:sz w:val="30"/>
          <w:szCs w:val="30"/>
        </w:rPr>
        <w:t>9.5%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，增速继续回升。在消费方面，</w:t>
      </w:r>
      <w:r>
        <w:rPr>
          <w:rFonts w:ascii="宋体" w:eastAsia="宋体" w:cs="宋体"/>
          <w:color w:val="000000"/>
          <w:kern w:val="0"/>
          <w:sz w:val="30"/>
          <w:szCs w:val="30"/>
        </w:rPr>
        <w:t>1-11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月社会消费品零售总额累计同比增长</w:t>
      </w:r>
      <w:r>
        <w:rPr>
          <w:rFonts w:ascii="宋体" w:eastAsia="宋体" w:cs="宋体"/>
          <w:color w:val="000000"/>
          <w:kern w:val="0"/>
          <w:sz w:val="30"/>
          <w:szCs w:val="30"/>
        </w:rPr>
        <w:t>9</w:t>
      </w:r>
      <w:r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.</w:t>
      </w:r>
      <w:r>
        <w:rPr>
          <w:rFonts w:ascii="宋体" w:eastAsia="宋体" w:cs="宋体"/>
          <w:color w:val="000000"/>
          <w:kern w:val="0"/>
          <w:sz w:val="30"/>
          <w:szCs w:val="30"/>
        </w:rPr>
        <w:t>1%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，下行趋势并未改变。在出口方面，出口增速自四季度以来呈现一定下行趋势，特别是</w:t>
      </w:r>
      <w:r>
        <w:rPr>
          <w:rFonts w:ascii="宋体" w:eastAsia="宋体" w:cs="宋体"/>
          <w:color w:val="000000"/>
          <w:kern w:val="0"/>
          <w:sz w:val="30"/>
          <w:szCs w:val="30"/>
        </w:rPr>
        <w:t>11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月出口同比增长</w:t>
      </w:r>
      <w:r>
        <w:rPr>
          <w:rFonts w:ascii="宋体" w:eastAsia="宋体" w:cs="宋体"/>
          <w:color w:val="000000"/>
          <w:kern w:val="0"/>
          <w:sz w:val="30"/>
          <w:szCs w:val="30"/>
        </w:rPr>
        <w:t>5.4%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，较前三季度下滑明显。从供给端看，</w:t>
      </w:r>
      <w:r>
        <w:rPr>
          <w:rFonts w:ascii="宋体" w:eastAsia="宋体" w:cs="宋体"/>
          <w:color w:val="000000"/>
          <w:kern w:val="0"/>
          <w:sz w:val="30"/>
          <w:szCs w:val="30"/>
        </w:rPr>
        <w:t>11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月规模以上工业增加值累计同比</w:t>
      </w:r>
      <w:r>
        <w:rPr>
          <w:rFonts w:ascii="宋体" w:eastAsia="宋体" w:cs="宋体"/>
          <w:color w:val="000000"/>
          <w:kern w:val="0"/>
          <w:sz w:val="30"/>
          <w:szCs w:val="30"/>
        </w:rPr>
        <w:lastRenderedPageBreak/>
        <w:t>6.3%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，环比小幅下滑。</w:t>
      </w:r>
      <w:r>
        <w:rPr>
          <w:rFonts w:ascii="宋体" w:eastAsia="宋体" w:cs="宋体"/>
          <w:color w:val="000000"/>
          <w:kern w:val="0"/>
          <w:sz w:val="30"/>
          <w:szCs w:val="30"/>
        </w:rPr>
        <w:t>12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</w:t>
      </w:r>
      <w:hyperlink r:id="rId9" w:history="1">
        <w:r>
          <w:rPr>
            <w:rFonts w:ascii="宋体" w:eastAsia="宋体" w:cs="宋体" w:hint="eastAsia"/>
            <w:color w:val="000000"/>
            <w:kern w:val="0"/>
            <w:sz w:val="30"/>
            <w:szCs w:val="30"/>
          </w:rPr>
          <w:t>制造业</w:t>
        </w:r>
        <w:r>
          <w:rPr>
            <w:rFonts w:ascii="宋体" w:eastAsia="宋体" w:cs="宋体"/>
            <w:color w:val="000000"/>
            <w:kern w:val="0"/>
            <w:sz w:val="30"/>
            <w:szCs w:val="30"/>
          </w:rPr>
          <w:t>PMI</w:t>
        </w:r>
      </w:hyperlink>
      <w:r>
        <w:rPr>
          <w:rFonts w:ascii="宋体" w:eastAsia="宋体" w:cs="宋体" w:hint="eastAsia"/>
          <w:color w:val="000000"/>
          <w:kern w:val="0"/>
          <w:sz w:val="30"/>
          <w:szCs w:val="30"/>
        </w:rPr>
        <w:t>为</w:t>
      </w:r>
      <w:r>
        <w:rPr>
          <w:rFonts w:ascii="宋体" w:eastAsia="宋体" w:cs="宋体"/>
          <w:color w:val="000000"/>
          <w:kern w:val="0"/>
          <w:sz w:val="30"/>
          <w:szCs w:val="30"/>
        </w:rPr>
        <w:t>49.4%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，</w:t>
      </w:r>
      <w:r>
        <w:rPr>
          <w:rFonts w:ascii="宋体" w:eastAsia="宋体" w:cs="宋体"/>
          <w:color w:val="000000"/>
          <w:kern w:val="0"/>
          <w:sz w:val="30"/>
          <w:szCs w:val="30"/>
        </w:rPr>
        <w:t>PMI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指数降至荣枯线以下，创</w:t>
      </w:r>
      <w:r>
        <w:rPr>
          <w:rFonts w:ascii="宋体" w:eastAsia="宋体" w:cs="宋体"/>
          <w:color w:val="000000"/>
          <w:kern w:val="0"/>
          <w:sz w:val="30"/>
          <w:szCs w:val="30"/>
        </w:rPr>
        <w:t>2016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宋体" w:eastAsia="宋体" w:cs="宋体"/>
          <w:color w:val="000000"/>
          <w:kern w:val="0"/>
          <w:sz w:val="30"/>
          <w:szCs w:val="30"/>
        </w:rPr>
        <w:t>1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月以来最低水平，制造业生产经营环境</w:t>
      </w:r>
      <w:r>
        <w:rPr>
          <w:rFonts w:ascii="宋体" w:eastAsia="宋体" w:cs="宋体"/>
          <w:color w:val="000000"/>
          <w:kern w:val="0"/>
          <w:sz w:val="30"/>
          <w:szCs w:val="30"/>
        </w:rPr>
        <w:t>3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年来首次跌至萎缩区间，国内经济下行压力仍然比较大。</w:t>
      </w:r>
    </w:p>
    <w:p w:rsidR="002E6810" w:rsidRDefault="002E6810" w:rsidP="002E6810">
      <w:pPr>
        <w:autoSpaceDE w:val="0"/>
        <w:autoSpaceDN w:val="0"/>
        <w:adjustRightInd w:val="0"/>
        <w:ind w:firstLine="600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利率</w:t>
      </w:r>
      <w:r w:rsidR="00AF3364">
        <w:rPr>
          <w:rFonts w:ascii="宋体" w:eastAsia="宋体" w:cs="宋体" w:hint="eastAsia"/>
          <w:color w:val="000000"/>
          <w:kern w:val="0"/>
          <w:sz w:val="30"/>
          <w:szCs w:val="30"/>
        </w:rPr>
        <w:t>和</w:t>
      </w:r>
      <w:r w:rsidR="00D92F7A">
        <w:rPr>
          <w:rFonts w:ascii="宋体" w:eastAsia="宋体" w:cs="宋体" w:hint="eastAsia"/>
          <w:color w:val="000000"/>
          <w:kern w:val="0"/>
          <w:sz w:val="30"/>
          <w:szCs w:val="30"/>
        </w:rPr>
        <w:t>流动性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方面，四季度各期限利率大幅下行，</w:t>
      </w:r>
      <w:r>
        <w:rPr>
          <w:rFonts w:ascii="宋体" w:eastAsia="宋体" w:cs="宋体"/>
          <w:color w:val="000000"/>
          <w:kern w:val="0"/>
          <w:sz w:val="30"/>
          <w:szCs w:val="30"/>
        </w:rPr>
        <w:t>10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年国债收益率下行约</w:t>
      </w:r>
      <w:r>
        <w:rPr>
          <w:rFonts w:ascii="宋体" w:eastAsia="宋体" w:cs="宋体"/>
          <w:color w:val="000000"/>
          <w:kern w:val="0"/>
          <w:sz w:val="30"/>
          <w:szCs w:val="30"/>
        </w:rPr>
        <w:t>45bp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。央行在</w:t>
      </w:r>
      <w:r>
        <w:rPr>
          <w:rFonts w:ascii="宋体" w:eastAsia="宋体" w:cs="宋体"/>
          <w:color w:val="000000"/>
          <w:kern w:val="0"/>
          <w:sz w:val="30"/>
          <w:szCs w:val="30"/>
        </w:rPr>
        <w:t>10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宋体" w:eastAsia="宋体" w:cs="宋体"/>
          <w:color w:val="000000"/>
          <w:kern w:val="0"/>
          <w:sz w:val="30"/>
          <w:szCs w:val="30"/>
        </w:rPr>
        <w:t>7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日再次宣布</w:t>
      </w:r>
      <w:proofErr w:type="gramStart"/>
      <w:r>
        <w:rPr>
          <w:rFonts w:ascii="宋体" w:eastAsia="宋体" w:cs="宋体" w:hint="eastAsia"/>
          <w:color w:val="000000"/>
          <w:kern w:val="0"/>
          <w:sz w:val="30"/>
          <w:szCs w:val="30"/>
        </w:rPr>
        <w:t>定向降准置换</w:t>
      </w:r>
      <w:proofErr w:type="gramEnd"/>
      <w:r>
        <w:rPr>
          <w:rFonts w:ascii="宋体" w:eastAsia="宋体" w:cs="宋体"/>
          <w:color w:val="000000"/>
          <w:kern w:val="0"/>
          <w:sz w:val="30"/>
          <w:szCs w:val="30"/>
        </w:rPr>
        <w:t>MLF,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资金面一直维持宽松，</w:t>
      </w:r>
      <w:r>
        <w:rPr>
          <w:rFonts w:ascii="宋体" w:eastAsia="宋体" w:cs="宋体"/>
          <w:color w:val="000000"/>
          <w:kern w:val="0"/>
          <w:sz w:val="30"/>
          <w:szCs w:val="30"/>
        </w:rPr>
        <w:t>7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天回购利率在政策利率附近波动。</w:t>
      </w:r>
      <w:r>
        <w:rPr>
          <w:rFonts w:ascii="宋体" w:eastAsia="宋体" w:cs="宋体"/>
          <w:color w:val="000000"/>
          <w:kern w:val="0"/>
          <w:sz w:val="30"/>
          <w:szCs w:val="30"/>
        </w:rPr>
        <w:t>11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月中旬公布的</w:t>
      </w:r>
      <w:r>
        <w:rPr>
          <w:rFonts w:ascii="宋体" w:eastAsia="宋体" w:cs="宋体"/>
          <w:color w:val="000000"/>
          <w:kern w:val="0"/>
          <w:sz w:val="30"/>
          <w:szCs w:val="30"/>
        </w:rPr>
        <w:t>10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月金融数据明显低于市场预期，导致市场对于经济的悲观升温，同时对于货币政策的进一步放松的预期上升。</w:t>
      </w:r>
    </w:p>
    <w:p w:rsidR="002E6810" w:rsidRDefault="002E6810" w:rsidP="002E6810">
      <w:pPr>
        <w:autoSpaceDE w:val="0"/>
        <w:autoSpaceDN w:val="0"/>
        <w:adjustRightInd w:val="0"/>
        <w:ind w:firstLine="600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信用方面，四季度中票和</w:t>
      </w:r>
      <w:proofErr w:type="gramStart"/>
      <w:r>
        <w:rPr>
          <w:rFonts w:ascii="宋体" w:eastAsia="宋体" w:cs="宋体" w:hint="eastAsia"/>
          <w:color w:val="000000"/>
          <w:kern w:val="0"/>
          <w:sz w:val="30"/>
          <w:szCs w:val="30"/>
        </w:rPr>
        <w:t>城投债市场</w:t>
      </w:r>
      <w:proofErr w:type="gramEnd"/>
      <w:r>
        <w:rPr>
          <w:rFonts w:ascii="宋体" w:eastAsia="宋体" w:cs="宋体" w:hint="eastAsia"/>
          <w:color w:val="000000"/>
          <w:kern w:val="0"/>
          <w:sz w:val="30"/>
          <w:szCs w:val="30"/>
        </w:rPr>
        <w:t>收益率整体平稳，维持在全年低位。信用利差在</w:t>
      </w:r>
      <w:r>
        <w:rPr>
          <w:rFonts w:ascii="宋体" w:eastAsia="宋体" w:cs="宋体"/>
          <w:color w:val="000000"/>
          <w:kern w:val="0"/>
          <w:sz w:val="30"/>
          <w:szCs w:val="30"/>
        </w:rPr>
        <w:t>9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月到</w:t>
      </w:r>
      <w:r>
        <w:rPr>
          <w:rFonts w:ascii="宋体" w:eastAsia="宋体" w:cs="宋体"/>
          <w:color w:val="000000"/>
          <w:kern w:val="0"/>
          <w:sz w:val="30"/>
          <w:szCs w:val="30"/>
        </w:rPr>
        <w:t>10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月期间基本表现平稳，处于震荡状态。</w:t>
      </w:r>
      <w:r>
        <w:rPr>
          <w:rFonts w:ascii="宋体" w:eastAsia="宋体" w:cs="宋体"/>
          <w:color w:val="000000"/>
          <w:kern w:val="0"/>
          <w:sz w:val="30"/>
          <w:szCs w:val="30"/>
        </w:rPr>
        <w:t>11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月初至</w:t>
      </w:r>
      <w:r>
        <w:rPr>
          <w:rFonts w:ascii="宋体" w:eastAsia="宋体" w:cs="宋体"/>
          <w:color w:val="000000"/>
          <w:kern w:val="0"/>
          <w:sz w:val="30"/>
          <w:szCs w:val="30"/>
        </w:rPr>
        <w:t>12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月底，随着“一二五”目标叠加地方政府支持民营经济，中票</w:t>
      </w:r>
      <w:r>
        <w:rPr>
          <w:rFonts w:ascii="宋体" w:eastAsia="宋体" w:cs="宋体"/>
          <w:color w:val="000000"/>
          <w:kern w:val="0"/>
          <w:sz w:val="30"/>
          <w:szCs w:val="30"/>
        </w:rPr>
        <w:t>3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年期</w:t>
      </w:r>
      <w:r>
        <w:rPr>
          <w:rFonts w:ascii="宋体" w:eastAsia="宋体" w:cs="宋体"/>
          <w:color w:val="000000"/>
          <w:kern w:val="0"/>
          <w:sz w:val="30"/>
          <w:szCs w:val="30"/>
        </w:rPr>
        <w:t>AA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信用利差下行</w:t>
      </w:r>
      <w:r>
        <w:rPr>
          <w:rFonts w:ascii="宋体" w:eastAsia="宋体" w:cs="宋体"/>
          <w:color w:val="000000"/>
          <w:kern w:val="0"/>
          <w:sz w:val="30"/>
          <w:szCs w:val="30"/>
        </w:rPr>
        <w:t>25BP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左右。政策方面，虽然四季度宽信用政策不断加码，包括国</w:t>
      </w:r>
      <w:proofErr w:type="gramStart"/>
      <w:r>
        <w:rPr>
          <w:rFonts w:ascii="宋体" w:eastAsia="宋体" w:cs="宋体" w:hint="eastAsia"/>
          <w:color w:val="000000"/>
          <w:kern w:val="0"/>
          <w:sz w:val="30"/>
          <w:szCs w:val="30"/>
        </w:rPr>
        <w:t>常会议部</w:t>
      </w:r>
      <w:proofErr w:type="gramEnd"/>
      <w:r>
        <w:rPr>
          <w:rFonts w:ascii="宋体" w:eastAsia="宋体" w:cs="宋体" w:hint="eastAsia"/>
          <w:color w:val="000000"/>
          <w:kern w:val="0"/>
          <w:sz w:val="30"/>
          <w:szCs w:val="30"/>
        </w:rPr>
        <w:t>和中央召开民企座谈会上明确鼓励民企，但</w:t>
      </w:r>
      <w:proofErr w:type="gramStart"/>
      <w:r>
        <w:rPr>
          <w:rFonts w:ascii="宋体" w:eastAsia="宋体" w:cs="宋体" w:hint="eastAsia"/>
          <w:color w:val="000000"/>
          <w:kern w:val="0"/>
          <w:sz w:val="30"/>
          <w:szCs w:val="30"/>
        </w:rPr>
        <w:t>当前宽</w:t>
      </w:r>
      <w:proofErr w:type="gramEnd"/>
      <w:r>
        <w:rPr>
          <w:rFonts w:ascii="宋体" w:eastAsia="宋体" w:cs="宋体" w:hint="eastAsia"/>
          <w:color w:val="000000"/>
          <w:kern w:val="0"/>
          <w:sz w:val="30"/>
          <w:szCs w:val="30"/>
        </w:rPr>
        <w:t>信用传导仍然并不顺畅，何时产生效果需后续进一步观察。</w:t>
      </w:r>
    </w:p>
    <w:p w:rsidR="002E6810" w:rsidRDefault="002E6810" w:rsidP="002E6810">
      <w:pPr>
        <w:ind w:firstLineChars="200" w:firstLine="600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展望明年第一季度，国内经济压力仍然存在，货币政策易</w:t>
      </w:r>
      <w:proofErr w:type="gramStart"/>
      <w:r>
        <w:rPr>
          <w:rFonts w:ascii="宋体" w:eastAsia="宋体" w:cs="宋体" w:hint="eastAsia"/>
          <w:color w:val="000000"/>
          <w:kern w:val="0"/>
          <w:sz w:val="30"/>
          <w:szCs w:val="30"/>
        </w:rPr>
        <w:t>松难紧</w:t>
      </w:r>
      <w:proofErr w:type="gramEnd"/>
      <w:r>
        <w:rPr>
          <w:rFonts w:ascii="宋体" w:eastAsia="宋体" w:cs="宋体" w:hint="eastAsia"/>
          <w:color w:val="000000"/>
          <w:kern w:val="0"/>
          <w:sz w:val="30"/>
          <w:szCs w:val="30"/>
        </w:rPr>
        <w:t>，</w:t>
      </w:r>
      <w:r w:rsidR="009763FD">
        <w:rPr>
          <w:rFonts w:ascii="宋体" w:eastAsia="宋体" w:cs="宋体" w:hint="eastAsia"/>
          <w:color w:val="000000"/>
          <w:kern w:val="0"/>
          <w:sz w:val="30"/>
          <w:szCs w:val="30"/>
        </w:rPr>
        <w:t>预计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央行</w:t>
      </w:r>
      <w:r w:rsidR="009763FD">
        <w:rPr>
          <w:rFonts w:ascii="宋体" w:eastAsia="宋体" w:cs="宋体" w:hint="eastAsia"/>
          <w:color w:val="000000"/>
          <w:kern w:val="0"/>
          <w:sz w:val="30"/>
          <w:szCs w:val="30"/>
        </w:rPr>
        <w:t>将</w:t>
      </w:r>
      <w:r w:rsidR="00E56E11">
        <w:rPr>
          <w:rFonts w:ascii="宋体" w:eastAsia="宋体" w:cs="宋体" w:hint="eastAsia"/>
          <w:color w:val="000000"/>
          <w:kern w:val="0"/>
          <w:sz w:val="30"/>
          <w:szCs w:val="30"/>
        </w:rPr>
        <w:t>确保市场流动性充裕，这对债券市场今年的牛市行情会形成较大支撑，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宽信用仍将继续</w:t>
      </w:r>
      <w:r w:rsidR="00E56E11">
        <w:rPr>
          <w:rFonts w:ascii="宋体" w:eastAsia="宋体" w:cs="宋体" w:hint="eastAsia"/>
          <w:color w:val="000000"/>
          <w:kern w:val="0"/>
          <w:sz w:val="30"/>
          <w:szCs w:val="30"/>
        </w:rPr>
        <w:t>。</w:t>
      </w:r>
    </w:p>
    <w:p w:rsidR="001D2F7A" w:rsidRDefault="00FF6934" w:rsidP="002E6810">
      <w:pPr>
        <w:ind w:firstLineChars="200" w:firstLine="600"/>
        <w:rPr>
          <w:sz w:val="30"/>
          <w:szCs w:val="30"/>
        </w:rPr>
      </w:pPr>
      <w:r w:rsidRPr="00B82B81">
        <w:rPr>
          <w:sz w:val="30"/>
          <w:szCs w:val="30"/>
        </w:rPr>
        <w:t>本</w:t>
      </w:r>
      <w:r w:rsidRPr="00B82B81">
        <w:rPr>
          <w:rFonts w:hint="eastAsia"/>
          <w:sz w:val="30"/>
          <w:szCs w:val="30"/>
        </w:rPr>
        <w:t>产品</w:t>
      </w:r>
      <w:r w:rsidRPr="00B82B81">
        <w:rPr>
          <w:sz w:val="30"/>
          <w:szCs w:val="30"/>
        </w:rPr>
        <w:t>将保持流动性安全和防范信用风险作为第一要务，投放的资产以</w:t>
      </w:r>
      <w:r w:rsidRPr="00B82B81">
        <w:rPr>
          <w:rFonts w:hint="eastAsia"/>
          <w:sz w:val="30"/>
          <w:szCs w:val="30"/>
        </w:rPr>
        <w:t>中</w:t>
      </w:r>
      <w:r w:rsidRPr="00B82B81">
        <w:rPr>
          <w:sz w:val="30"/>
          <w:szCs w:val="30"/>
        </w:rPr>
        <w:t>短期限的</w:t>
      </w:r>
      <w:r w:rsidRPr="00B82B81">
        <w:rPr>
          <w:rFonts w:hint="eastAsia"/>
          <w:sz w:val="30"/>
          <w:szCs w:val="30"/>
        </w:rPr>
        <w:t>货币工具</w:t>
      </w:r>
      <w:r w:rsidR="00B335AF" w:rsidRPr="00B82B81">
        <w:rPr>
          <w:rFonts w:hint="eastAsia"/>
          <w:sz w:val="30"/>
          <w:szCs w:val="30"/>
        </w:rPr>
        <w:t>、政策性金融</w:t>
      </w:r>
      <w:r w:rsidRPr="00B82B81">
        <w:rPr>
          <w:rFonts w:hint="eastAsia"/>
          <w:sz w:val="30"/>
          <w:szCs w:val="30"/>
        </w:rPr>
        <w:t>债、高评级信用债</w:t>
      </w:r>
      <w:r w:rsidR="00845254" w:rsidRPr="00B82B81">
        <w:rPr>
          <w:sz w:val="30"/>
          <w:szCs w:val="30"/>
        </w:rPr>
        <w:t>为主</w:t>
      </w:r>
      <w:r w:rsidR="00845254" w:rsidRPr="00B82B81">
        <w:rPr>
          <w:rFonts w:hint="eastAsia"/>
          <w:sz w:val="30"/>
          <w:szCs w:val="30"/>
        </w:rPr>
        <w:t>。</w:t>
      </w:r>
      <w:r w:rsidR="00480C55" w:rsidRPr="00B82B81">
        <w:rPr>
          <w:rFonts w:hint="eastAsia"/>
          <w:sz w:val="30"/>
          <w:szCs w:val="30"/>
        </w:rPr>
        <w:t>其中</w:t>
      </w:r>
      <w:r w:rsidR="005B583E" w:rsidRPr="00B82B81">
        <w:rPr>
          <w:rFonts w:hint="eastAsia"/>
          <w:sz w:val="30"/>
          <w:szCs w:val="30"/>
        </w:rPr>
        <w:t>货币工具</w:t>
      </w:r>
      <w:r w:rsidRPr="00B82B81">
        <w:rPr>
          <w:sz w:val="30"/>
          <w:szCs w:val="30"/>
        </w:rPr>
        <w:t>期限以</w:t>
      </w:r>
      <w:r w:rsidR="00845254" w:rsidRPr="00B82B81">
        <w:rPr>
          <w:rFonts w:hint="eastAsia"/>
          <w:sz w:val="30"/>
          <w:szCs w:val="30"/>
        </w:rPr>
        <w:t>1</w:t>
      </w:r>
      <w:r w:rsidR="00845254" w:rsidRPr="00B82B81">
        <w:rPr>
          <w:rFonts w:hint="eastAsia"/>
          <w:sz w:val="30"/>
          <w:szCs w:val="30"/>
        </w:rPr>
        <w:t>年</w:t>
      </w:r>
      <w:r w:rsidRPr="00B82B81">
        <w:rPr>
          <w:sz w:val="30"/>
          <w:szCs w:val="30"/>
        </w:rPr>
        <w:t>内为主</w:t>
      </w:r>
      <w:r w:rsidR="00845254" w:rsidRPr="00B82B81">
        <w:rPr>
          <w:rFonts w:hint="eastAsia"/>
          <w:sz w:val="30"/>
          <w:szCs w:val="30"/>
        </w:rPr>
        <w:t>，债券的</w:t>
      </w:r>
      <w:proofErr w:type="gramStart"/>
      <w:r w:rsidR="0016769D">
        <w:rPr>
          <w:rFonts w:hint="eastAsia"/>
          <w:sz w:val="30"/>
          <w:szCs w:val="30"/>
        </w:rPr>
        <w:t>平均</w:t>
      </w:r>
      <w:r w:rsidR="00845254" w:rsidRPr="00B82B81">
        <w:rPr>
          <w:rFonts w:hint="eastAsia"/>
          <w:sz w:val="30"/>
          <w:szCs w:val="30"/>
        </w:rPr>
        <w:t>久期</w:t>
      </w:r>
      <w:r w:rsidR="00C21680">
        <w:rPr>
          <w:rFonts w:hint="eastAsia"/>
          <w:sz w:val="30"/>
          <w:szCs w:val="30"/>
        </w:rPr>
        <w:t>不</w:t>
      </w:r>
      <w:proofErr w:type="gramEnd"/>
      <w:r w:rsidR="00C21680">
        <w:rPr>
          <w:rFonts w:hint="eastAsia"/>
          <w:sz w:val="30"/>
          <w:szCs w:val="30"/>
        </w:rPr>
        <w:t>超过</w:t>
      </w:r>
      <w:r w:rsidR="00C21680">
        <w:rPr>
          <w:rFonts w:hint="eastAsia"/>
          <w:sz w:val="30"/>
          <w:szCs w:val="30"/>
        </w:rPr>
        <w:t>3</w:t>
      </w:r>
      <w:r w:rsidR="00C21680">
        <w:rPr>
          <w:rFonts w:hint="eastAsia"/>
          <w:sz w:val="30"/>
          <w:szCs w:val="30"/>
        </w:rPr>
        <w:t>年</w:t>
      </w:r>
      <w:r w:rsidR="00DF6B41">
        <w:rPr>
          <w:rFonts w:hint="eastAsia"/>
          <w:sz w:val="30"/>
          <w:szCs w:val="30"/>
        </w:rPr>
        <w:t>，信用债主体评级均在</w:t>
      </w:r>
      <w:r w:rsidR="00DF6B41">
        <w:rPr>
          <w:rFonts w:hint="eastAsia"/>
          <w:sz w:val="30"/>
          <w:szCs w:val="30"/>
        </w:rPr>
        <w:t>AA+</w:t>
      </w:r>
      <w:r w:rsidR="00DF6B41">
        <w:rPr>
          <w:rFonts w:hint="eastAsia"/>
          <w:sz w:val="30"/>
          <w:szCs w:val="30"/>
        </w:rPr>
        <w:t>以上</w:t>
      </w:r>
      <w:r w:rsidR="00BC36F4" w:rsidRPr="00B82B81">
        <w:rPr>
          <w:rFonts w:hint="eastAsia"/>
          <w:sz w:val="30"/>
          <w:szCs w:val="30"/>
        </w:rPr>
        <w:t>，</w:t>
      </w:r>
      <w:r w:rsidR="003E3CDE">
        <w:rPr>
          <w:sz w:val="30"/>
          <w:szCs w:val="30"/>
        </w:rPr>
        <w:t>在努力做好流动性管理的</w:t>
      </w:r>
      <w:r w:rsidR="003E3CDE">
        <w:rPr>
          <w:sz w:val="30"/>
          <w:szCs w:val="30"/>
        </w:rPr>
        <w:lastRenderedPageBreak/>
        <w:t>同时保持</w:t>
      </w:r>
      <w:r w:rsidRPr="00B82B81">
        <w:rPr>
          <w:sz w:val="30"/>
          <w:szCs w:val="30"/>
        </w:rPr>
        <w:t>相对平稳的收益。</w:t>
      </w:r>
    </w:p>
    <w:p w:rsidR="00303ED1" w:rsidRPr="00303ED1" w:rsidRDefault="00303ED1" w:rsidP="0090349D">
      <w:pPr>
        <w:pStyle w:val="a7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2"/>
          <w:szCs w:val="32"/>
        </w:rPr>
      </w:pPr>
      <w:bookmarkStart w:id="4" w:name="_Toc535504142"/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年第</w:t>
      </w: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季度财务会计报告</w:t>
      </w:r>
      <w:bookmarkEnd w:id="4"/>
    </w:p>
    <w:p w:rsidR="00303ED1" w:rsidRDefault="00303ED1" w:rsidP="0090349D">
      <w:pPr>
        <w:pStyle w:val="a7"/>
        <w:numPr>
          <w:ilvl w:val="0"/>
          <w:numId w:val="2"/>
        </w:numPr>
        <w:ind w:firstLineChars="0"/>
        <w:outlineLvl w:val="1"/>
        <w:rPr>
          <w:b/>
          <w:sz w:val="30"/>
          <w:szCs w:val="30"/>
        </w:rPr>
      </w:pPr>
      <w:bookmarkStart w:id="5" w:name="_Toc535504143"/>
      <w:r>
        <w:rPr>
          <w:rFonts w:hint="eastAsia"/>
          <w:b/>
          <w:sz w:val="30"/>
          <w:szCs w:val="30"/>
        </w:rPr>
        <w:t>资产负债表</w:t>
      </w:r>
      <w:bookmarkEnd w:id="5"/>
    </w:p>
    <w:p w:rsidR="00303ED1" w:rsidRPr="00303ED1" w:rsidRDefault="00303ED1" w:rsidP="00303ED1">
      <w:pPr>
        <w:pStyle w:val="a7"/>
        <w:ind w:left="1080" w:firstLineChars="0" w:firstLine="0"/>
        <w:rPr>
          <w:rFonts w:ascii="宋体" w:eastAsia="宋体" w:hAnsi="宋体" w:cs="宋体"/>
          <w:color w:val="000000"/>
          <w:kern w:val="0"/>
          <w:sz w:val="22"/>
        </w:rPr>
      </w:pPr>
      <w:r w:rsidRPr="00303ED1">
        <w:rPr>
          <w:rFonts w:ascii="宋体" w:eastAsia="宋体" w:hAnsi="宋体" w:cs="Times New Roman" w:hint="eastAsia"/>
          <w:sz w:val="22"/>
        </w:rPr>
        <w:t>会计主体：</w:t>
      </w:r>
      <w:r w:rsidR="008D7B90" w:rsidRPr="008D7B90">
        <w:rPr>
          <w:rFonts w:ascii="宋体" w:eastAsia="宋体" w:hAnsi="宋体" w:cs="Times New Roman" w:hint="eastAsia"/>
          <w:sz w:val="22"/>
        </w:rPr>
        <w:t>现金宝-添利1号净值型理财产品</w:t>
      </w:r>
    </w:p>
    <w:p w:rsidR="00303ED1" w:rsidRPr="00303ED1" w:rsidRDefault="00303ED1" w:rsidP="00303ED1">
      <w:pPr>
        <w:pStyle w:val="a7"/>
        <w:ind w:left="1080" w:firstLineChars="0" w:firstLine="0"/>
        <w:rPr>
          <w:rFonts w:ascii="宋体" w:eastAsia="宋体" w:hAnsi="宋体" w:cs="宋体"/>
          <w:color w:val="000000"/>
          <w:kern w:val="0"/>
          <w:sz w:val="22"/>
        </w:rPr>
      </w:pPr>
      <w:r w:rsidRPr="00303ED1">
        <w:rPr>
          <w:rFonts w:ascii="宋体" w:eastAsia="宋体" w:hAnsi="宋体" w:cs="宋体" w:hint="eastAsia"/>
          <w:color w:val="000000"/>
          <w:kern w:val="0"/>
          <w:sz w:val="22"/>
        </w:rPr>
        <w:t>报告截止日：2018年12月31日</w:t>
      </w:r>
    </w:p>
    <w:tbl>
      <w:tblPr>
        <w:tblW w:w="11104" w:type="dxa"/>
        <w:jc w:val="center"/>
        <w:tblInd w:w="93" w:type="dxa"/>
        <w:tblLook w:val="04A0"/>
      </w:tblPr>
      <w:tblGrid>
        <w:gridCol w:w="1280"/>
        <w:gridCol w:w="1996"/>
        <w:gridCol w:w="1996"/>
        <w:gridCol w:w="1840"/>
        <w:gridCol w:w="1996"/>
        <w:gridCol w:w="1996"/>
      </w:tblGrid>
      <w:tr w:rsidR="008D7B90" w:rsidRPr="008D7B90" w:rsidTr="00354F98">
        <w:trPr>
          <w:trHeight w:val="28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报表名称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资产负债表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报表类型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日报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报表日期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2018-12-31</w:t>
            </w:r>
          </w:p>
        </w:tc>
      </w:tr>
      <w:tr w:rsidR="008D7B90" w:rsidRPr="008D7B90" w:rsidTr="00354F98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机构名称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理财产品代码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90318011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理财产品名称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现金宝</w:t>
            </w: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添利</w:t>
            </w: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号净值型理财产品</w:t>
            </w:r>
          </w:p>
        </w:tc>
      </w:tr>
      <w:tr w:rsidR="008D7B90" w:rsidRPr="008D7B90" w:rsidTr="00354F98">
        <w:trPr>
          <w:trHeight w:val="28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币种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54F98" w:rsidRPr="008D7B90" w:rsidTr="00354F98">
        <w:trPr>
          <w:trHeight w:val="28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8" w:rsidRPr="008D7B90" w:rsidRDefault="00354F98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8" w:rsidRDefault="00354F98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期末余额</w:t>
            </w:r>
          </w:p>
          <w:p w:rsidR="00354F98" w:rsidRPr="008D7B90" w:rsidRDefault="00354F98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（2018年12月31日）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8" w:rsidRDefault="00354F98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期初余额</w:t>
            </w:r>
          </w:p>
          <w:p w:rsidR="00354F98" w:rsidRPr="008D7B90" w:rsidRDefault="00354F98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（2018年9月30日）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98" w:rsidRPr="008D7B90" w:rsidRDefault="00354F98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负债和所有者权益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8" w:rsidRDefault="00354F98" w:rsidP="00E6097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期末余额</w:t>
            </w:r>
          </w:p>
          <w:p w:rsidR="00354F98" w:rsidRPr="008D7B90" w:rsidRDefault="00354F98" w:rsidP="00E6097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（2018年12月31日）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8" w:rsidRDefault="00354F98" w:rsidP="00E6097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期初余额</w:t>
            </w:r>
          </w:p>
          <w:p w:rsidR="00354F98" w:rsidRPr="008D7B90" w:rsidRDefault="00354F98" w:rsidP="00E6097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（2018年9月30日）</w:t>
            </w:r>
          </w:p>
        </w:tc>
      </w:tr>
      <w:tr w:rsidR="008D7B90" w:rsidRPr="008D7B90" w:rsidTr="00354F98">
        <w:trPr>
          <w:trHeight w:val="28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D7B90" w:rsidRPr="008D7B90" w:rsidTr="00354F98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银行存款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64,997,410,987.22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44,042,722,327.93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拆入资金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D7B90" w:rsidRPr="008D7B90" w:rsidTr="00354F98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存出保证金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2,218,356.66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594,973.53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交易性金融负债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D7B90" w:rsidRPr="008D7B90" w:rsidTr="00354F98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拆出资金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47,100,000,000.00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23,350,000,000.00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衍生金融负债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D7B90" w:rsidRPr="008D7B90" w:rsidTr="00354F98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交易性金融资产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卖出回购金融资产款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35,582,360,336.52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7,929,263,189.44 </w:t>
            </w:r>
          </w:p>
        </w:tc>
      </w:tr>
      <w:tr w:rsidR="008D7B90" w:rsidRPr="008D7B90" w:rsidTr="00354F98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衍生金融资产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应付管理人报酬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20,520,481.86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155,776,469.75 </w:t>
            </w:r>
          </w:p>
        </w:tc>
      </w:tr>
      <w:tr w:rsidR="008D7B90" w:rsidRPr="008D7B90" w:rsidTr="00354F98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买入返售金融资产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9,768,941,484.47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25,960,516,490.83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应付托管费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2,772,372.93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524,197.22 </w:t>
            </w:r>
          </w:p>
        </w:tc>
      </w:tr>
      <w:tr w:rsidR="008D7B90" w:rsidRPr="008D7B90" w:rsidTr="00354F98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可供出售金融资产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101,776,276,608.79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69,964,778,486.77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应付销售服务费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20,520,481.86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155,776,469.75 </w:t>
            </w:r>
          </w:p>
        </w:tc>
      </w:tr>
      <w:tr w:rsidR="008D7B90" w:rsidRPr="008D7B90" w:rsidTr="00354F98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应收款项类投资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应交税费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6,537,199.14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3,508,186.64 </w:t>
            </w:r>
          </w:p>
        </w:tc>
      </w:tr>
      <w:tr w:rsidR="008D7B90" w:rsidRPr="008D7B90" w:rsidTr="00354F98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持有到期投资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应付利息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45,724,045.38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7,907,888.76 </w:t>
            </w:r>
          </w:p>
        </w:tc>
      </w:tr>
      <w:tr w:rsidR="008D7B90" w:rsidRPr="008D7B90" w:rsidTr="00354F98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应收利息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3,218,091,133.61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1,855,540,530.84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应付利润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0.42 </w:t>
            </w:r>
          </w:p>
        </w:tc>
      </w:tr>
      <w:tr w:rsidR="008D7B90" w:rsidRPr="008D7B90" w:rsidTr="00354F98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应收股利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10,953,587.73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其他负债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379,303.95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250,943.31 </w:t>
            </w:r>
          </w:p>
        </w:tc>
      </w:tr>
      <w:tr w:rsidR="008D7B90" w:rsidRPr="008D7B90" w:rsidTr="00354F98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其他资产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应付</w:t>
            </w:r>
            <w:proofErr w:type="gramStart"/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D7B90" w:rsidRPr="008D7B90" w:rsidTr="00354F98">
        <w:trPr>
          <w:trHeight w:val="28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负债合计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35,678,814,222.06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8,253,007,345.29 </w:t>
            </w:r>
          </w:p>
        </w:tc>
      </w:tr>
      <w:tr w:rsidR="008D7B90" w:rsidRPr="008D7B90" w:rsidTr="00354F98">
        <w:trPr>
          <w:trHeight w:val="28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所有者权益：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D7B90" w:rsidRPr="008D7B90" w:rsidTr="00354F98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实收资金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191,174,515,551.26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156,903,407,377.70 </w:t>
            </w:r>
          </w:p>
        </w:tc>
      </w:tr>
      <w:tr w:rsidR="008D7B90" w:rsidRPr="008D7B90" w:rsidTr="00354F98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资本公积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D7B90" w:rsidRPr="008D7B90" w:rsidTr="00354F98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20,562,385.16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17,738,086.91 </w:t>
            </w:r>
          </w:p>
        </w:tc>
      </w:tr>
      <w:tr w:rsidR="008D7B90" w:rsidRPr="008D7B90" w:rsidTr="00354F98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>损益平准金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D7B90" w:rsidRPr="008D7B90" w:rsidTr="00354F98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所有者权益合计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191,195,077,936.42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156,921,145,464.61 </w:t>
            </w:r>
          </w:p>
        </w:tc>
      </w:tr>
      <w:tr w:rsidR="008D7B90" w:rsidRPr="008D7B90" w:rsidTr="00354F98">
        <w:trPr>
          <w:trHeight w:val="5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资产总计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226,873,892,158.48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165,174,152,809.90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90" w:rsidRPr="008D7B90" w:rsidRDefault="008D7B90" w:rsidP="008D7B9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D7B90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负债和所有者权益总计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226,873,892,158.48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7B9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165,174,152,809.90 </w:t>
            </w:r>
          </w:p>
        </w:tc>
      </w:tr>
    </w:tbl>
    <w:p w:rsidR="00303ED1" w:rsidRDefault="008D7B90" w:rsidP="0090349D">
      <w:pPr>
        <w:pStyle w:val="a7"/>
        <w:numPr>
          <w:ilvl w:val="0"/>
          <w:numId w:val="2"/>
        </w:numPr>
        <w:ind w:firstLineChars="0"/>
        <w:outlineLvl w:val="1"/>
        <w:rPr>
          <w:rFonts w:ascii="宋体" w:eastAsia="宋体" w:hAnsi="宋体" w:cs="Times New Roman"/>
          <w:b/>
          <w:sz w:val="32"/>
          <w:szCs w:val="32"/>
        </w:rPr>
      </w:pPr>
      <w:bookmarkStart w:id="6" w:name="_Toc535504144"/>
      <w:r>
        <w:rPr>
          <w:rFonts w:ascii="宋体" w:eastAsia="宋体" w:hAnsi="宋体" w:cs="Times New Roman" w:hint="eastAsia"/>
          <w:b/>
          <w:sz w:val="32"/>
          <w:szCs w:val="32"/>
        </w:rPr>
        <w:lastRenderedPageBreak/>
        <w:t>利润表</w:t>
      </w:r>
      <w:bookmarkEnd w:id="6"/>
    </w:p>
    <w:p w:rsidR="008D7B90" w:rsidRPr="00303ED1" w:rsidRDefault="008D7B90" w:rsidP="008D7B90">
      <w:pPr>
        <w:pStyle w:val="a7"/>
        <w:ind w:left="1080" w:firstLineChars="0" w:firstLine="0"/>
        <w:rPr>
          <w:rFonts w:ascii="宋体" w:eastAsia="宋体" w:hAnsi="宋体" w:cs="宋体"/>
          <w:color w:val="000000"/>
          <w:kern w:val="0"/>
          <w:sz w:val="22"/>
        </w:rPr>
      </w:pPr>
      <w:r w:rsidRPr="00303ED1">
        <w:rPr>
          <w:rFonts w:ascii="宋体" w:eastAsia="宋体" w:hAnsi="宋体" w:cs="Times New Roman" w:hint="eastAsia"/>
          <w:sz w:val="22"/>
        </w:rPr>
        <w:t>会计主体：</w:t>
      </w:r>
      <w:r w:rsidRPr="008D7B90">
        <w:rPr>
          <w:rFonts w:ascii="宋体" w:eastAsia="宋体" w:hAnsi="宋体" w:cs="Times New Roman" w:hint="eastAsia"/>
          <w:sz w:val="22"/>
        </w:rPr>
        <w:t>现金宝-添利1号净值型理财产品</w:t>
      </w:r>
    </w:p>
    <w:p w:rsidR="000C7D2E" w:rsidRPr="00303ED1" w:rsidRDefault="000C7D2E" w:rsidP="008D7B90">
      <w:pPr>
        <w:pStyle w:val="a7"/>
        <w:ind w:left="1080" w:firstLineChars="0" w:firstLine="0"/>
        <w:rPr>
          <w:rFonts w:ascii="宋体" w:eastAsia="宋体" w:hAnsi="宋体" w:cs="宋体"/>
          <w:color w:val="000000"/>
          <w:kern w:val="0"/>
          <w:sz w:val="22"/>
        </w:rPr>
      </w:pPr>
      <w:r w:rsidRPr="000C7D2E">
        <w:rPr>
          <w:rFonts w:ascii="宋体" w:eastAsia="宋体" w:hAnsi="宋体" w:cs="宋体" w:hint="eastAsia"/>
          <w:color w:val="000000"/>
          <w:kern w:val="0"/>
          <w:sz w:val="22"/>
        </w:rPr>
        <w:t>本报告期：2018年10月1日至2018年12月31日</w:t>
      </w:r>
    </w:p>
    <w:tbl>
      <w:tblPr>
        <w:tblW w:w="9978" w:type="dxa"/>
        <w:jc w:val="center"/>
        <w:tblInd w:w="93" w:type="dxa"/>
        <w:tblLook w:val="04A0"/>
      </w:tblPr>
      <w:tblGrid>
        <w:gridCol w:w="1090"/>
        <w:gridCol w:w="1911"/>
        <w:gridCol w:w="2189"/>
        <w:gridCol w:w="608"/>
        <w:gridCol w:w="1976"/>
        <w:gridCol w:w="2340"/>
      </w:tblGrid>
      <w:tr w:rsidR="00E6097A" w:rsidRPr="00E6097A" w:rsidTr="00E6097A">
        <w:trPr>
          <w:trHeight w:val="300"/>
          <w:jc w:val="center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      目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本期金额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本年累计金额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一、收入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2,299,449,132.36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4,812,669,149.85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1.利息收入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2,260,114,852.91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4,758,327,529.42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其中：存款利息收入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1,015,512.73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2,375,872.59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债券利息收入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547,403,267.63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914,927,595.97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资产支持证券利息收入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26,440,935.89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54,941,250.03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买入返售金融资产收入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68,305,251.35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110,893,483.04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其他利息收入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1,616,949,885.31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3,675,189,327.79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2.投资收益（损失以“-”填列）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39,325,679.45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54,333,020.43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其中：股票投资收益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基金投资收益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债券投资收益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350,897.03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8,531,089.40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资产支持证券投资收益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262,956.30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衍生工具收益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股利收益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38,974,782.42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45,538,974.73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3.公允价值变动收益（损失以“-”填列）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4.汇兑收益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5.其他收入（损失以“-”填列）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8,600.00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8,600.00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二、费用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373,831,454.66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713,234,279.79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1.管理人报酬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146,367,414.57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302,143,884.31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2.托管费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14,636,741.46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30,214,388.48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3.销售服务费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146,367,414.57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302,143,884.31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4.交易费用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144,684.14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161,195.52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5.利息支出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65,878,567.14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77,721,818.89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其中：卖出回购证券支出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65,878,567.14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77,721,818.89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6.其他费用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436,632.78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849,108.28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7.投资顾问费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8.行政服务费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三、利润总额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1,925,617,677.70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4,099,434,870.06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减：所得税费用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6097A" w:rsidRPr="00E6097A" w:rsidTr="00E6097A">
        <w:trPr>
          <w:trHeight w:val="300"/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四、净利润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1,925,617,677.70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A" w:rsidRPr="00E6097A" w:rsidRDefault="00E6097A" w:rsidP="00E609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4,099,434,870.06 </w:t>
            </w:r>
          </w:p>
        </w:tc>
      </w:tr>
    </w:tbl>
    <w:p w:rsidR="008D7B90" w:rsidRDefault="00E6097A" w:rsidP="0090349D">
      <w:pPr>
        <w:pStyle w:val="a7"/>
        <w:numPr>
          <w:ilvl w:val="0"/>
          <w:numId w:val="2"/>
        </w:numPr>
        <w:ind w:firstLineChars="0"/>
        <w:outlineLvl w:val="1"/>
        <w:rPr>
          <w:rFonts w:ascii="宋体" w:eastAsia="宋体" w:hAnsi="宋体" w:cs="Times New Roman"/>
          <w:b/>
          <w:sz w:val="32"/>
          <w:szCs w:val="32"/>
        </w:rPr>
      </w:pPr>
      <w:bookmarkStart w:id="7" w:name="_Toc535504145"/>
      <w:r>
        <w:rPr>
          <w:rFonts w:ascii="宋体" w:eastAsia="宋体" w:hAnsi="宋体" w:cs="Times New Roman" w:hint="eastAsia"/>
          <w:b/>
          <w:sz w:val="32"/>
          <w:szCs w:val="32"/>
        </w:rPr>
        <w:t>所有者权益（产品净值）变动表</w:t>
      </w:r>
      <w:bookmarkEnd w:id="7"/>
    </w:p>
    <w:p w:rsidR="003D568E" w:rsidRPr="00303ED1" w:rsidRDefault="003D568E" w:rsidP="003D568E">
      <w:pPr>
        <w:pStyle w:val="a7"/>
        <w:ind w:left="1080" w:firstLineChars="0" w:firstLine="0"/>
        <w:rPr>
          <w:rFonts w:ascii="宋体" w:eastAsia="宋体" w:hAnsi="宋体" w:cs="宋体"/>
          <w:color w:val="000000"/>
          <w:kern w:val="0"/>
          <w:sz w:val="22"/>
        </w:rPr>
      </w:pPr>
      <w:r w:rsidRPr="00303ED1">
        <w:rPr>
          <w:rFonts w:ascii="宋体" w:eastAsia="宋体" w:hAnsi="宋体" w:cs="Times New Roman" w:hint="eastAsia"/>
          <w:sz w:val="22"/>
        </w:rPr>
        <w:lastRenderedPageBreak/>
        <w:t>会计主体：</w:t>
      </w:r>
      <w:r w:rsidRPr="008D7B90">
        <w:rPr>
          <w:rFonts w:ascii="宋体" w:eastAsia="宋体" w:hAnsi="宋体" w:cs="Times New Roman" w:hint="eastAsia"/>
          <w:sz w:val="22"/>
        </w:rPr>
        <w:t>现金宝-添利1号净值型理财产品</w:t>
      </w:r>
    </w:p>
    <w:p w:rsidR="00E6097A" w:rsidRDefault="000C7D2E" w:rsidP="00E6097A">
      <w:pPr>
        <w:pStyle w:val="a7"/>
        <w:ind w:left="1080" w:firstLineChars="0" w:firstLine="0"/>
        <w:rPr>
          <w:rFonts w:ascii="宋体" w:eastAsia="宋体" w:hAnsi="宋体" w:cs="宋体"/>
          <w:color w:val="000000"/>
          <w:kern w:val="0"/>
          <w:sz w:val="22"/>
        </w:rPr>
      </w:pPr>
      <w:r w:rsidRPr="000C7D2E">
        <w:rPr>
          <w:rFonts w:ascii="宋体" w:eastAsia="宋体" w:hAnsi="宋体" w:cs="宋体" w:hint="eastAsia"/>
          <w:color w:val="000000"/>
          <w:kern w:val="0"/>
          <w:sz w:val="22"/>
        </w:rPr>
        <w:t>本报告期：2018年10月1日至2018年12月31日</w:t>
      </w:r>
    </w:p>
    <w:tbl>
      <w:tblPr>
        <w:tblW w:w="10760" w:type="dxa"/>
        <w:jc w:val="center"/>
        <w:tblInd w:w="108" w:type="dxa"/>
        <w:tblLook w:val="04A0"/>
      </w:tblPr>
      <w:tblGrid>
        <w:gridCol w:w="3249"/>
        <w:gridCol w:w="2498"/>
        <w:gridCol w:w="2497"/>
        <w:gridCol w:w="2516"/>
      </w:tblGrid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0104C6" w:rsidRPr="000104C6" w:rsidTr="000104C6">
        <w:trPr>
          <w:trHeight w:val="402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4C6" w:rsidRPr="000104C6" w:rsidRDefault="000104C6" w:rsidP="00010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C6" w:rsidRPr="000104C6" w:rsidRDefault="000104C6" w:rsidP="00010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本期金额</w:t>
            </w:r>
          </w:p>
        </w:tc>
      </w:tr>
      <w:tr w:rsidR="000104C6" w:rsidRPr="000104C6" w:rsidTr="000104C6">
        <w:trPr>
          <w:trHeight w:val="402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C6" w:rsidRPr="000104C6" w:rsidRDefault="000104C6" w:rsidP="00010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实收资本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C6" w:rsidRPr="000104C6" w:rsidRDefault="000104C6" w:rsidP="00010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C6" w:rsidRPr="000104C6" w:rsidRDefault="000104C6" w:rsidP="00010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一、期初所有者权益（产品净值）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156,903,407,377.70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156,903,407,377.70 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二、本期经营活动产生的产品净值变动数（本期净利润）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CB3EAF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1,925,617,677.22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CB3EAF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1,925,617,677.22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三、本期产品份额交易产生的产品净值变动数（净值减少以“-”号填列）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34,271,108,173.56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34,271,108,173.56 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其中：1.产品申购款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668,419,056,363.97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668,419,056,363.97 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2.产品</w:t>
            </w:r>
            <w:proofErr w:type="gramStart"/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-634,147,948,190.41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-634,147,948,190.41 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四、本期向产品份额持有人分配利润产生的产品净值变动（净值减少以"-"号填列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-1,925,617,677.22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-1,925,617,677.22 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五、期末所有者权益（产品净值）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191,174,515,551.26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CB3EAF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  <w:r w:rsidR="000104C6"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CB3EAF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191,174,515,551.26</w:t>
            </w:r>
            <w:r w:rsidR="000104C6"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104C6" w:rsidRPr="000104C6" w:rsidTr="000104C6">
        <w:trPr>
          <w:trHeight w:val="402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C6" w:rsidRPr="000104C6" w:rsidRDefault="000104C6" w:rsidP="00010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上期金额</w:t>
            </w:r>
          </w:p>
        </w:tc>
      </w:tr>
      <w:tr w:rsidR="000104C6" w:rsidRPr="000104C6" w:rsidTr="000104C6">
        <w:trPr>
          <w:trHeight w:val="402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实收资本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一、期初所有者权益（产品净值）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79,572,111,484.26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79,572,111,484.26 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二、本期经营活动产生的产品净值变动数（本期净利润）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CB3EAF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1,417,630,547.01</w:t>
            </w:r>
            <w:r w:rsidR="000104C6"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CB3EAF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1,417,630,547.01</w:t>
            </w:r>
            <w:r w:rsidR="000104C6"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三、本期产品份额交易产生的产品净值变动数（净值减少以“-”号填列）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77,331,295,893.44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77,331,295,893.44 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其中：1.产品申购款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604,188,933,801.16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604,188,933,801.16 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2.产品</w:t>
            </w:r>
            <w:proofErr w:type="gramStart"/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-526,857,637,907.72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-526,857,637,907.72 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四、本期向产品份额持有人分配利润产生的产品净值变动（净值减少以"-"号填列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-1,417,630,547.01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-1,417,630,547.01 </w:t>
            </w:r>
          </w:p>
        </w:tc>
      </w:tr>
      <w:tr w:rsidR="000104C6" w:rsidRPr="000104C6" w:rsidTr="000104C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五、期末所有者权益（产品净值）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0104C6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156,903,407,377.70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CB3EAF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C6" w:rsidRPr="000104C6" w:rsidRDefault="00CB3EAF" w:rsidP="000104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156,903,407,377.70</w:t>
            </w:r>
            <w:r w:rsidR="000104C6" w:rsidRPr="000104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1362C7" w:rsidRPr="00947FEC" w:rsidRDefault="001362C7" w:rsidP="00E6097A">
      <w:pPr>
        <w:pStyle w:val="a7"/>
        <w:ind w:left="1080" w:firstLineChars="0" w:firstLine="0"/>
        <w:rPr>
          <w:rFonts w:ascii="宋体" w:eastAsia="宋体" w:hAnsi="宋体" w:cs="Times New Roman"/>
          <w:b/>
          <w:sz w:val="32"/>
          <w:szCs w:val="32"/>
        </w:rPr>
      </w:pPr>
    </w:p>
    <w:p w:rsidR="001F2ACD" w:rsidRPr="00085FEA" w:rsidRDefault="001F2ACD" w:rsidP="0090349D">
      <w:pPr>
        <w:pStyle w:val="a7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2"/>
          <w:szCs w:val="32"/>
        </w:rPr>
      </w:pPr>
      <w:bookmarkStart w:id="8" w:name="_Toc535504146"/>
      <w:r w:rsidRPr="00085FEA">
        <w:rPr>
          <w:rFonts w:hint="eastAsia"/>
          <w:b/>
          <w:sz w:val="30"/>
          <w:szCs w:val="30"/>
        </w:rPr>
        <w:t>投资组合情况</w:t>
      </w:r>
      <w:bookmarkEnd w:id="8"/>
    </w:p>
    <w:p w:rsidR="00085FEA" w:rsidRPr="00085FEA" w:rsidRDefault="007B501B" w:rsidP="0090349D">
      <w:pPr>
        <w:pStyle w:val="a7"/>
        <w:numPr>
          <w:ilvl w:val="0"/>
          <w:numId w:val="3"/>
        </w:numPr>
        <w:ind w:firstLineChars="0"/>
        <w:outlineLvl w:val="1"/>
        <w:rPr>
          <w:b/>
          <w:sz w:val="30"/>
          <w:szCs w:val="30"/>
        </w:rPr>
      </w:pPr>
      <w:bookmarkStart w:id="9" w:name="_Toc535504147"/>
      <w:r w:rsidRPr="00085FEA">
        <w:rPr>
          <w:rFonts w:hint="eastAsia"/>
          <w:b/>
          <w:sz w:val="30"/>
          <w:szCs w:val="30"/>
        </w:rPr>
        <w:t>报告期末产品资产组合情况</w:t>
      </w:r>
      <w:bookmarkEnd w:id="9"/>
    </w:p>
    <w:tbl>
      <w:tblPr>
        <w:tblW w:w="7200" w:type="dxa"/>
        <w:jc w:val="center"/>
        <w:tblInd w:w="93" w:type="dxa"/>
        <w:tblLook w:val="04A0"/>
      </w:tblPr>
      <w:tblGrid>
        <w:gridCol w:w="2740"/>
        <w:gridCol w:w="2660"/>
        <w:gridCol w:w="1800"/>
      </w:tblGrid>
      <w:tr w:rsidR="00AF3847" w:rsidRPr="00AF3847" w:rsidTr="00AF3847">
        <w:trPr>
          <w:trHeight w:val="300"/>
          <w:jc w:val="center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AF38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AF38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资产规模（亿元）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AF38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占总资产比例</w:t>
            </w:r>
          </w:p>
        </w:tc>
      </w:tr>
      <w:tr w:rsidR="00AF3847" w:rsidRPr="00AF3847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AF38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银行存款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649.9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29.0%</w:t>
            </w:r>
          </w:p>
        </w:tc>
      </w:tr>
      <w:tr w:rsidR="00AF3847" w:rsidRPr="00AF3847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AF38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同业存单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193.0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8.6%</w:t>
            </w:r>
          </w:p>
        </w:tc>
      </w:tr>
      <w:tr w:rsidR="00AF3847" w:rsidRPr="00AF3847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AF38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政策性金融债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178.7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8.0%</w:t>
            </w:r>
          </w:p>
        </w:tc>
      </w:tr>
      <w:tr w:rsidR="00AF3847" w:rsidRPr="00AF3847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AF38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企业债等债务融资工具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614.4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27.4%</w:t>
            </w:r>
          </w:p>
        </w:tc>
      </w:tr>
      <w:tr w:rsidR="00AF3847" w:rsidRPr="00AF3847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AF38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资产支持证券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0.9%</w:t>
            </w:r>
          </w:p>
        </w:tc>
      </w:tr>
      <w:tr w:rsidR="00AF3847" w:rsidRPr="00AF3847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AF38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债券逆回购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97.7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4.4%</w:t>
            </w:r>
          </w:p>
        </w:tc>
      </w:tr>
      <w:tr w:rsidR="00AF3847" w:rsidRPr="00AF3847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AF38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货币市场基金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16.5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0.7%</w:t>
            </w:r>
          </w:p>
        </w:tc>
      </w:tr>
      <w:tr w:rsidR="00AF3847" w:rsidRPr="00AF3847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AF38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其他债权类资产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471.0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21.0%</w:t>
            </w:r>
          </w:p>
        </w:tc>
      </w:tr>
      <w:tr w:rsidR="00AF3847" w:rsidRPr="00AF3847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AF38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2241.2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F3847" w:rsidRDefault="00AF3847" w:rsidP="00EE4FC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38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100%</w:t>
            </w:r>
          </w:p>
        </w:tc>
      </w:tr>
    </w:tbl>
    <w:p w:rsidR="00550BC4" w:rsidRDefault="00B352EF" w:rsidP="00AF3847">
      <w:pPr>
        <w:ind w:firstLineChars="200" w:firstLine="600"/>
        <w:rPr>
          <w:bCs/>
          <w:sz w:val="30"/>
          <w:szCs w:val="30"/>
        </w:rPr>
      </w:pPr>
      <w:r w:rsidRPr="00034EB6">
        <w:rPr>
          <w:rFonts w:hint="eastAsia"/>
          <w:bCs/>
          <w:sz w:val="30"/>
          <w:szCs w:val="30"/>
        </w:rPr>
        <w:t>上述资产组合中，银行存款、同业存单、利率债等具有高流动性资产投资占比</w:t>
      </w:r>
      <w:r w:rsidR="00F36938">
        <w:rPr>
          <w:rFonts w:hint="eastAsia"/>
          <w:bCs/>
          <w:sz w:val="30"/>
          <w:szCs w:val="30"/>
        </w:rPr>
        <w:t>45.6</w:t>
      </w:r>
      <w:r w:rsidR="00CD4799" w:rsidRPr="00034EB6">
        <w:rPr>
          <w:rFonts w:hint="eastAsia"/>
          <w:bCs/>
          <w:sz w:val="30"/>
          <w:szCs w:val="30"/>
        </w:rPr>
        <w:t>%</w:t>
      </w:r>
      <w:r w:rsidRPr="00034EB6">
        <w:rPr>
          <w:rFonts w:hint="eastAsia"/>
          <w:bCs/>
          <w:sz w:val="30"/>
          <w:szCs w:val="30"/>
        </w:rPr>
        <w:t>，</w:t>
      </w:r>
      <w:r w:rsidR="00CD4799" w:rsidRPr="00034EB6">
        <w:rPr>
          <w:rFonts w:hint="eastAsia"/>
          <w:bCs/>
          <w:sz w:val="30"/>
          <w:szCs w:val="30"/>
        </w:rPr>
        <w:t>符合产品协议对于本产品流动性资产最低投资比例（</w:t>
      </w:r>
      <w:r w:rsidR="00CD4799" w:rsidRPr="00034EB6">
        <w:rPr>
          <w:rFonts w:hint="eastAsia"/>
          <w:bCs/>
          <w:sz w:val="30"/>
          <w:szCs w:val="30"/>
        </w:rPr>
        <w:t>30%</w:t>
      </w:r>
      <w:r w:rsidR="00CD4799" w:rsidRPr="00034EB6">
        <w:rPr>
          <w:rFonts w:hint="eastAsia"/>
          <w:bCs/>
          <w:sz w:val="30"/>
          <w:szCs w:val="30"/>
        </w:rPr>
        <w:t>）的要求。</w:t>
      </w:r>
    </w:p>
    <w:p w:rsidR="00E9356F" w:rsidRPr="004B1115" w:rsidRDefault="00E9356F" w:rsidP="00DB17F1">
      <w:pPr>
        <w:ind w:firstLineChars="200" w:firstLine="600"/>
        <w:rPr>
          <w:bCs/>
          <w:sz w:val="30"/>
          <w:szCs w:val="30"/>
        </w:rPr>
      </w:pPr>
    </w:p>
    <w:p w:rsidR="00085FEA" w:rsidRPr="00085FEA" w:rsidRDefault="007B501B" w:rsidP="0090349D">
      <w:pPr>
        <w:pStyle w:val="a7"/>
        <w:numPr>
          <w:ilvl w:val="0"/>
          <w:numId w:val="3"/>
        </w:numPr>
        <w:ind w:firstLineChars="0"/>
        <w:outlineLvl w:val="1"/>
        <w:rPr>
          <w:b/>
          <w:sz w:val="30"/>
          <w:szCs w:val="30"/>
        </w:rPr>
      </w:pPr>
      <w:bookmarkStart w:id="10" w:name="_Toc535504148"/>
      <w:r w:rsidRPr="00085FEA">
        <w:rPr>
          <w:rFonts w:hint="eastAsia"/>
          <w:b/>
          <w:sz w:val="30"/>
          <w:szCs w:val="30"/>
        </w:rPr>
        <w:t>报告期末</w:t>
      </w:r>
      <w:r w:rsidR="00D72610" w:rsidRPr="00085FEA">
        <w:rPr>
          <w:rFonts w:hint="eastAsia"/>
          <w:b/>
          <w:sz w:val="30"/>
          <w:szCs w:val="30"/>
        </w:rPr>
        <w:t>杠杆</w:t>
      </w:r>
      <w:r w:rsidRPr="00085FEA">
        <w:rPr>
          <w:rFonts w:hint="eastAsia"/>
          <w:b/>
          <w:sz w:val="30"/>
          <w:szCs w:val="30"/>
        </w:rPr>
        <w:t>融资情况</w:t>
      </w:r>
      <w:bookmarkEnd w:id="10"/>
    </w:p>
    <w:tbl>
      <w:tblPr>
        <w:tblW w:w="6960" w:type="dxa"/>
        <w:jc w:val="center"/>
        <w:tblInd w:w="93" w:type="dxa"/>
        <w:tblLook w:val="04A0"/>
      </w:tblPr>
      <w:tblGrid>
        <w:gridCol w:w="3276"/>
        <w:gridCol w:w="1842"/>
        <w:gridCol w:w="1842"/>
      </w:tblGrid>
      <w:tr w:rsidR="00934839" w:rsidRPr="00934839" w:rsidTr="00ED38CE">
        <w:trPr>
          <w:trHeight w:val="27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ED38CE" w:rsidRDefault="00934839" w:rsidP="009348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D38C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ED38CE" w:rsidRDefault="00934839" w:rsidP="009348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D38C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金额（亿元）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ED38CE" w:rsidRDefault="00934839" w:rsidP="009348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D38C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占净资产比例</w:t>
            </w:r>
          </w:p>
        </w:tc>
      </w:tr>
      <w:tr w:rsidR="00934839" w:rsidRPr="00934839" w:rsidTr="00ED38CE">
        <w:trPr>
          <w:trHeight w:val="2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ED38CE" w:rsidRDefault="00934839" w:rsidP="00934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3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报告期末债券回购融资余额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ED38CE" w:rsidRDefault="001F1EDF" w:rsidP="00934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3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355.82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ED38CE" w:rsidRDefault="001F1EDF" w:rsidP="00934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3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17.6</w:t>
            </w:r>
            <w:r w:rsidR="00934839" w:rsidRPr="00ED3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4B57EF" w:rsidRDefault="002E53B1" w:rsidP="00DB17F1">
      <w:pPr>
        <w:ind w:firstLineChars="200" w:firstLine="600"/>
        <w:rPr>
          <w:sz w:val="30"/>
          <w:szCs w:val="30"/>
        </w:rPr>
      </w:pPr>
      <w:r w:rsidRPr="00F307C3">
        <w:rPr>
          <w:sz w:val="30"/>
          <w:szCs w:val="30"/>
        </w:rPr>
        <w:t>报告期内本</w:t>
      </w:r>
      <w:r w:rsidRPr="00F307C3">
        <w:rPr>
          <w:rFonts w:hint="eastAsia"/>
          <w:sz w:val="30"/>
          <w:szCs w:val="30"/>
        </w:rPr>
        <w:t>产品</w:t>
      </w:r>
      <w:r w:rsidR="00B839B2" w:rsidRPr="00F307C3">
        <w:rPr>
          <w:rFonts w:hint="eastAsia"/>
          <w:sz w:val="30"/>
          <w:szCs w:val="30"/>
        </w:rPr>
        <w:t>债券回购融资余额未超过净资产规模的</w:t>
      </w:r>
      <w:r w:rsidR="00B839B2" w:rsidRPr="00F307C3">
        <w:rPr>
          <w:rFonts w:hint="eastAsia"/>
          <w:sz w:val="30"/>
          <w:szCs w:val="30"/>
        </w:rPr>
        <w:t>40%</w:t>
      </w:r>
      <w:r w:rsidR="002979A4" w:rsidRPr="00F307C3">
        <w:rPr>
          <w:rFonts w:hint="eastAsia"/>
          <w:sz w:val="30"/>
          <w:szCs w:val="30"/>
        </w:rPr>
        <w:t>，</w:t>
      </w:r>
      <w:r w:rsidR="00BF55F4" w:rsidRPr="00F307C3">
        <w:rPr>
          <w:rFonts w:hint="eastAsia"/>
          <w:sz w:val="30"/>
          <w:szCs w:val="30"/>
        </w:rPr>
        <w:t>本产品</w:t>
      </w:r>
      <w:r w:rsidRPr="00F307C3">
        <w:rPr>
          <w:rFonts w:hint="eastAsia"/>
          <w:sz w:val="30"/>
          <w:szCs w:val="30"/>
        </w:rPr>
        <w:t>总资产未超过该产品净资产</w:t>
      </w:r>
      <w:r w:rsidR="002979A4" w:rsidRPr="00F307C3">
        <w:rPr>
          <w:rFonts w:hint="eastAsia"/>
          <w:sz w:val="30"/>
          <w:szCs w:val="30"/>
        </w:rPr>
        <w:t>规模</w:t>
      </w:r>
      <w:r w:rsidRPr="00F307C3">
        <w:rPr>
          <w:rFonts w:hint="eastAsia"/>
          <w:sz w:val="30"/>
          <w:szCs w:val="30"/>
        </w:rPr>
        <w:t>的</w:t>
      </w:r>
      <w:r w:rsidRPr="00F307C3">
        <w:rPr>
          <w:rFonts w:hint="eastAsia"/>
          <w:sz w:val="30"/>
          <w:szCs w:val="30"/>
        </w:rPr>
        <w:t>140%</w:t>
      </w:r>
      <w:r w:rsidR="002979A4" w:rsidRPr="00F307C3">
        <w:rPr>
          <w:rFonts w:hint="eastAsia"/>
          <w:sz w:val="30"/>
          <w:szCs w:val="30"/>
        </w:rPr>
        <w:t>，符合产品协议对本产品杠杆比例的要求。</w:t>
      </w:r>
    </w:p>
    <w:p w:rsidR="00BC3E4B" w:rsidRDefault="00BC3E4B" w:rsidP="00DB17F1">
      <w:pPr>
        <w:ind w:firstLineChars="200" w:firstLine="600"/>
        <w:rPr>
          <w:sz w:val="30"/>
          <w:szCs w:val="30"/>
        </w:rPr>
      </w:pPr>
    </w:p>
    <w:p w:rsidR="00085FEA" w:rsidRPr="00085FEA" w:rsidRDefault="004B1115" w:rsidP="0090349D">
      <w:pPr>
        <w:pStyle w:val="a7"/>
        <w:numPr>
          <w:ilvl w:val="0"/>
          <w:numId w:val="3"/>
        </w:numPr>
        <w:ind w:firstLineChars="0"/>
        <w:outlineLvl w:val="1"/>
        <w:rPr>
          <w:b/>
          <w:sz w:val="30"/>
          <w:szCs w:val="30"/>
        </w:rPr>
      </w:pPr>
      <w:bookmarkStart w:id="11" w:name="_Toc535504149"/>
      <w:r w:rsidRPr="00085FEA">
        <w:rPr>
          <w:rFonts w:hint="eastAsia"/>
          <w:b/>
          <w:sz w:val="30"/>
          <w:szCs w:val="30"/>
        </w:rPr>
        <w:t>报告期末投资组合平均剩余期限分布比例</w:t>
      </w:r>
      <w:bookmarkEnd w:id="11"/>
    </w:p>
    <w:tbl>
      <w:tblPr>
        <w:tblW w:w="6464" w:type="dxa"/>
        <w:jc w:val="center"/>
        <w:tblInd w:w="-204" w:type="dxa"/>
        <w:tblLook w:val="04A0"/>
      </w:tblPr>
      <w:tblGrid>
        <w:gridCol w:w="2307"/>
        <w:gridCol w:w="2083"/>
        <w:gridCol w:w="2074"/>
      </w:tblGrid>
      <w:tr w:rsidR="00ED38CE" w:rsidRPr="0079015F" w:rsidTr="003D787F">
        <w:trPr>
          <w:trHeight w:val="270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F62692" w:rsidRDefault="00ED38CE" w:rsidP="00E6097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 w:rsidRPr="00F6269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剩余期限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F62692" w:rsidRDefault="00ED38CE" w:rsidP="00E6097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 w:rsidRPr="00F6269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各期限资产占比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F62692" w:rsidRDefault="00ED38CE" w:rsidP="00E6097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 w:rsidRPr="00F6269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各期限负债占比</w:t>
            </w:r>
          </w:p>
        </w:tc>
      </w:tr>
      <w:tr w:rsidR="003D787F" w:rsidRPr="0079015F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F62692" w:rsidRDefault="003D787F" w:rsidP="00E6097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 w:rsidRPr="00F6269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30天（含）以内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3D787F" w:rsidRDefault="003D787F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3D787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10.14%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F62692" w:rsidRDefault="003D787F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100.00%</w:t>
            </w:r>
          </w:p>
        </w:tc>
      </w:tr>
      <w:tr w:rsidR="003D787F" w:rsidRPr="0079015F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F62692" w:rsidRDefault="003D787F" w:rsidP="00E6097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 w:rsidRPr="00F6269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31天-90天（含）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3D787F" w:rsidRDefault="003D787F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3D787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14.02%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F62692" w:rsidRDefault="003D787F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</w:tr>
      <w:tr w:rsidR="003D787F" w:rsidRPr="0079015F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F62692" w:rsidRDefault="003D787F" w:rsidP="00E6097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 w:rsidRPr="00F6269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91天-180天（含）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3D787F" w:rsidRDefault="003D787F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3D787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20.82%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F62692" w:rsidRDefault="003D787F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</w:tr>
      <w:tr w:rsidR="003D787F" w:rsidRPr="0079015F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F62692" w:rsidRDefault="003D787F" w:rsidP="00E6097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 w:rsidRPr="00F6269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181天-365天（含）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3D787F" w:rsidRDefault="003D787F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3D787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33.10%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F62692" w:rsidRDefault="003D787F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</w:tr>
      <w:tr w:rsidR="003D787F" w:rsidRPr="0079015F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F62692" w:rsidRDefault="003D787F" w:rsidP="00E6097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 w:rsidRPr="00F6269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1年-3年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3D787F" w:rsidRDefault="003D787F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3D787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19.73%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F62692" w:rsidRDefault="003D787F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</w:tr>
      <w:tr w:rsidR="003D787F" w:rsidRPr="0079015F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F62692" w:rsidRDefault="003D787F" w:rsidP="00E6097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3年以上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3D787F" w:rsidRDefault="003D787F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3D787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2.19%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F62692" w:rsidRDefault="003D787F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</w:tr>
      <w:tr w:rsidR="00ED38CE" w:rsidRPr="0079015F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F62692" w:rsidRDefault="00ED38CE" w:rsidP="00E6097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 w:rsidRPr="00F6269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 xml:space="preserve">　合计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F62692" w:rsidRDefault="003D787F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100.00%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F62692" w:rsidRDefault="00A744B8" w:rsidP="003D787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100.00%</w:t>
            </w:r>
          </w:p>
        </w:tc>
      </w:tr>
    </w:tbl>
    <w:p w:rsidR="004B1115" w:rsidRDefault="004B1115" w:rsidP="004B1115">
      <w:pPr>
        <w:rPr>
          <w:sz w:val="30"/>
          <w:szCs w:val="30"/>
        </w:rPr>
      </w:pPr>
    </w:p>
    <w:p w:rsidR="00085FEA" w:rsidRPr="00085FEA" w:rsidRDefault="00ED38CE" w:rsidP="0090349D">
      <w:pPr>
        <w:pStyle w:val="a7"/>
        <w:numPr>
          <w:ilvl w:val="0"/>
          <w:numId w:val="3"/>
        </w:numPr>
        <w:ind w:firstLineChars="0"/>
        <w:outlineLvl w:val="1"/>
        <w:rPr>
          <w:b/>
          <w:sz w:val="30"/>
          <w:szCs w:val="30"/>
        </w:rPr>
      </w:pPr>
      <w:bookmarkStart w:id="12" w:name="_Toc535504150"/>
      <w:r w:rsidRPr="00085FEA">
        <w:rPr>
          <w:rFonts w:hint="eastAsia"/>
          <w:b/>
          <w:sz w:val="30"/>
          <w:szCs w:val="30"/>
        </w:rPr>
        <w:t>报告期末持仓占比前十名债券投资明细</w:t>
      </w:r>
      <w:bookmarkEnd w:id="12"/>
    </w:p>
    <w:tbl>
      <w:tblPr>
        <w:tblW w:w="5133" w:type="pct"/>
        <w:tblLayout w:type="fixed"/>
        <w:tblLook w:val="04A0"/>
      </w:tblPr>
      <w:tblGrid>
        <w:gridCol w:w="878"/>
        <w:gridCol w:w="2067"/>
        <w:gridCol w:w="1631"/>
        <w:gridCol w:w="2817"/>
        <w:gridCol w:w="1356"/>
      </w:tblGrid>
      <w:tr w:rsidR="00670EC8" w:rsidRPr="00F12467" w:rsidTr="00670EC8">
        <w:trPr>
          <w:trHeight w:val="27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E" w:rsidRPr="0043305A" w:rsidRDefault="00ED38CE" w:rsidP="00670EC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43305A" w:rsidRDefault="00ED38CE" w:rsidP="00670EC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CE" w:rsidRPr="0043305A" w:rsidRDefault="00ED38CE" w:rsidP="00670EC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43305A" w:rsidRDefault="00ED38CE" w:rsidP="00670EC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摊余成本（元）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43305A" w:rsidRDefault="00ED38CE" w:rsidP="00670EC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占产品净</w:t>
            </w:r>
            <w:r w:rsidRPr="0043305A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资产比例</w:t>
            </w:r>
          </w:p>
        </w:tc>
      </w:tr>
      <w:tr w:rsidR="00670EC8" w:rsidRPr="00F12467" w:rsidTr="00670EC8">
        <w:trPr>
          <w:trHeight w:val="2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8" w:rsidRPr="0043305A" w:rsidRDefault="00670EC8" w:rsidP="00670EC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金融债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18证金D15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    6,500,000,000.00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jc w:val="righ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3.40%</w:t>
            </w:r>
          </w:p>
        </w:tc>
      </w:tr>
      <w:tr w:rsidR="00670EC8" w:rsidRPr="00F12467" w:rsidTr="00670EC8">
        <w:trPr>
          <w:trHeight w:val="2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8" w:rsidRPr="0043305A" w:rsidRDefault="00670EC8" w:rsidP="00670EC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金融债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18证金D27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    6,800,000,000.00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jc w:val="righ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3.56%</w:t>
            </w:r>
          </w:p>
        </w:tc>
      </w:tr>
      <w:tr w:rsidR="00670EC8" w:rsidRPr="00F12467" w:rsidTr="00670EC8">
        <w:trPr>
          <w:trHeight w:val="24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8" w:rsidRPr="0043305A" w:rsidRDefault="00670EC8" w:rsidP="00670EC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金融债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18证金D20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    5,000,000,000.00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jc w:val="righ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2.62%</w:t>
            </w:r>
          </w:p>
        </w:tc>
      </w:tr>
      <w:tr w:rsidR="00670EC8" w:rsidRPr="00F12467" w:rsidTr="00670EC8">
        <w:trPr>
          <w:trHeight w:val="27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8" w:rsidRPr="0043305A" w:rsidRDefault="00670EC8" w:rsidP="00670EC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金融债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18证金D29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    4,500,000,000.00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jc w:val="righ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2.35%</w:t>
            </w:r>
          </w:p>
        </w:tc>
      </w:tr>
      <w:tr w:rsidR="00670EC8" w:rsidRPr="00F12467" w:rsidTr="00670EC8">
        <w:trPr>
          <w:trHeight w:val="2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8" w:rsidRPr="0043305A" w:rsidRDefault="00670EC8" w:rsidP="00670EC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金融债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18证金D14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    4,400,000,000.00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jc w:val="righ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2.30%</w:t>
            </w:r>
          </w:p>
        </w:tc>
      </w:tr>
      <w:tr w:rsidR="00670EC8" w:rsidRPr="00F12467" w:rsidTr="00670EC8">
        <w:trPr>
          <w:trHeight w:val="2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8" w:rsidRPr="0043305A" w:rsidRDefault="00670EC8" w:rsidP="00670EC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政策性金融债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18农发09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    3,346,977,358.73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jc w:val="righ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1.75%</w:t>
            </w:r>
          </w:p>
        </w:tc>
      </w:tr>
      <w:tr w:rsidR="00670EC8" w:rsidRPr="00F12467" w:rsidTr="00670EC8">
        <w:trPr>
          <w:trHeight w:val="2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8" w:rsidRPr="0043305A" w:rsidRDefault="00670EC8" w:rsidP="00670EC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金融债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18证金D16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    3,100,000,000.00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jc w:val="righ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1.62%</w:t>
            </w:r>
          </w:p>
        </w:tc>
      </w:tr>
      <w:tr w:rsidR="00670EC8" w:rsidRPr="00F12467" w:rsidTr="00670EC8">
        <w:trPr>
          <w:trHeight w:val="2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8" w:rsidRPr="0043305A" w:rsidRDefault="00670EC8" w:rsidP="00670EC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政策性金融债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18进出04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    2,895,043,881.16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jc w:val="righ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1.51%</w:t>
            </w:r>
          </w:p>
        </w:tc>
      </w:tr>
      <w:tr w:rsidR="00670EC8" w:rsidRPr="00F12467" w:rsidTr="00670EC8">
        <w:trPr>
          <w:trHeight w:val="2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8" w:rsidRPr="0043305A" w:rsidRDefault="00670EC8" w:rsidP="00670EC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金融债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18证金D23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    2,500,000,000.00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jc w:val="righ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1.31%</w:t>
            </w:r>
          </w:p>
        </w:tc>
      </w:tr>
      <w:tr w:rsidR="00670EC8" w:rsidRPr="00F12467" w:rsidTr="00670EC8">
        <w:trPr>
          <w:trHeight w:val="2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8" w:rsidRPr="0043305A" w:rsidRDefault="00670EC8" w:rsidP="00670EC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政策性金融债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15农发12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    2,354,592,013.86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C8" w:rsidRPr="0043305A" w:rsidRDefault="00670EC8" w:rsidP="00670EC8">
            <w:pPr>
              <w:jc w:val="righ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43305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1.23%</w:t>
            </w:r>
          </w:p>
        </w:tc>
      </w:tr>
    </w:tbl>
    <w:p w:rsidR="0090349D" w:rsidRPr="00580FF4" w:rsidRDefault="0090349D" w:rsidP="0090349D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兴业银行股份有限公司</w:t>
      </w:r>
    </w:p>
    <w:p w:rsidR="0090349D" w:rsidRPr="00580FF4" w:rsidRDefault="0090349D" w:rsidP="0090349D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201</w:t>
      </w:r>
      <w:r>
        <w:rPr>
          <w:rFonts w:asciiTheme="minorEastAsia" w:hAnsiTheme="minorEastAsia" w:hint="eastAsia"/>
          <w:sz w:val="30"/>
          <w:szCs w:val="30"/>
        </w:rPr>
        <w:t>9</w:t>
      </w:r>
      <w:r w:rsidRPr="00580FF4"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>1</w:t>
      </w:r>
      <w:r w:rsidRPr="00580FF4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>10</w:t>
      </w:r>
      <w:r w:rsidRPr="00580FF4">
        <w:rPr>
          <w:rFonts w:asciiTheme="minorEastAsia" w:hAnsiTheme="minorEastAsia" w:hint="eastAsia"/>
          <w:sz w:val="30"/>
          <w:szCs w:val="30"/>
        </w:rPr>
        <w:t>日</w:t>
      </w:r>
    </w:p>
    <w:p w:rsidR="00ED38CE" w:rsidRPr="004B1115" w:rsidRDefault="00ED38CE" w:rsidP="004B1115">
      <w:pPr>
        <w:rPr>
          <w:sz w:val="30"/>
          <w:szCs w:val="30"/>
        </w:rPr>
      </w:pPr>
    </w:p>
    <w:sectPr w:rsidR="00ED38CE" w:rsidRPr="004B1115" w:rsidSect="00E4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10" w:rsidRDefault="003F0610" w:rsidP="00E42B11">
      <w:r>
        <w:separator/>
      </w:r>
    </w:p>
  </w:endnote>
  <w:endnote w:type="continuationSeparator" w:id="0">
    <w:p w:rsidR="003F0610" w:rsidRDefault="003F0610" w:rsidP="00E4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10" w:rsidRDefault="003F0610" w:rsidP="00E42B11">
      <w:r>
        <w:separator/>
      </w:r>
    </w:p>
  </w:footnote>
  <w:footnote w:type="continuationSeparator" w:id="0">
    <w:p w:rsidR="003F0610" w:rsidRDefault="003F0610" w:rsidP="00E42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ECF"/>
    <w:multiLevelType w:val="hybridMultilevel"/>
    <w:tmpl w:val="7212BE8E"/>
    <w:lvl w:ilvl="0" w:tplc="5E24EAF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CB2D7A"/>
    <w:multiLevelType w:val="hybridMultilevel"/>
    <w:tmpl w:val="02C6D360"/>
    <w:lvl w:ilvl="0" w:tplc="DB18C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BEA47DB"/>
    <w:multiLevelType w:val="hybridMultilevel"/>
    <w:tmpl w:val="B2EE0502"/>
    <w:lvl w:ilvl="0" w:tplc="A37C5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B11"/>
    <w:rsid w:val="000104C6"/>
    <w:rsid w:val="00026241"/>
    <w:rsid w:val="00034EB6"/>
    <w:rsid w:val="000447A7"/>
    <w:rsid w:val="00067D54"/>
    <w:rsid w:val="00076FD4"/>
    <w:rsid w:val="000775FC"/>
    <w:rsid w:val="00085FEA"/>
    <w:rsid w:val="000A20E0"/>
    <w:rsid w:val="000B2D52"/>
    <w:rsid w:val="000C7D2E"/>
    <w:rsid w:val="000D0622"/>
    <w:rsid w:val="001123E8"/>
    <w:rsid w:val="001362C7"/>
    <w:rsid w:val="0016001C"/>
    <w:rsid w:val="001610B6"/>
    <w:rsid w:val="001635C4"/>
    <w:rsid w:val="00165214"/>
    <w:rsid w:val="0016769D"/>
    <w:rsid w:val="001769C2"/>
    <w:rsid w:val="0018246E"/>
    <w:rsid w:val="001B7910"/>
    <w:rsid w:val="001D2F7A"/>
    <w:rsid w:val="001F1BB1"/>
    <w:rsid w:val="001F1EDF"/>
    <w:rsid w:val="001F1FC7"/>
    <w:rsid w:val="001F2ACD"/>
    <w:rsid w:val="001F7B76"/>
    <w:rsid w:val="0020760D"/>
    <w:rsid w:val="002245B7"/>
    <w:rsid w:val="00265805"/>
    <w:rsid w:val="002979A4"/>
    <w:rsid w:val="002A28C4"/>
    <w:rsid w:val="002B5EE3"/>
    <w:rsid w:val="002C151E"/>
    <w:rsid w:val="002E53B1"/>
    <w:rsid w:val="002E6810"/>
    <w:rsid w:val="002E79A4"/>
    <w:rsid w:val="00303ED1"/>
    <w:rsid w:val="003323FF"/>
    <w:rsid w:val="00342E5C"/>
    <w:rsid w:val="00347423"/>
    <w:rsid w:val="003524F8"/>
    <w:rsid w:val="00354F98"/>
    <w:rsid w:val="00393F35"/>
    <w:rsid w:val="003B3D31"/>
    <w:rsid w:val="003C6D13"/>
    <w:rsid w:val="003D1418"/>
    <w:rsid w:val="003D568E"/>
    <w:rsid w:val="003D787F"/>
    <w:rsid w:val="003E3CDE"/>
    <w:rsid w:val="003E7E11"/>
    <w:rsid w:val="003F0610"/>
    <w:rsid w:val="003F19A5"/>
    <w:rsid w:val="0040702C"/>
    <w:rsid w:val="0041186A"/>
    <w:rsid w:val="00416ECC"/>
    <w:rsid w:val="00430AE5"/>
    <w:rsid w:val="00432E4F"/>
    <w:rsid w:val="0043305A"/>
    <w:rsid w:val="004505A9"/>
    <w:rsid w:val="00480C55"/>
    <w:rsid w:val="00484919"/>
    <w:rsid w:val="004A59D4"/>
    <w:rsid w:val="004B01BE"/>
    <w:rsid w:val="004B1115"/>
    <w:rsid w:val="004B11FA"/>
    <w:rsid w:val="004B57EF"/>
    <w:rsid w:val="004D6F09"/>
    <w:rsid w:val="00504FE1"/>
    <w:rsid w:val="00525364"/>
    <w:rsid w:val="00527CDB"/>
    <w:rsid w:val="00535C36"/>
    <w:rsid w:val="00545CE3"/>
    <w:rsid w:val="00550BC4"/>
    <w:rsid w:val="00553CFE"/>
    <w:rsid w:val="00557F6B"/>
    <w:rsid w:val="00565E65"/>
    <w:rsid w:val="005978D1"/>
    <w:rsid w:val="005B583E"/>
    <w:rsid w:val="005B7A75"/>
    <w:rsid w:val="005D137B"/>
    <w:rsid w:val="005E73E5"/>
    <w:rsid w:val="00602EFD"/>
    <w:rsid w:val="00607065"/>
    <w:rsid w:val="00616CAD"/>
    <w:rsid w:val="006300D0"/>
    <w:rsid w:val="00630450"/>
    <w:rsid w:val="00632F7D"/>
    <w:rsid w:val="00634D0A"/>
    <w:rsid w:val="006358D5"/>
    <w:rsid w:val="00660FDC"/>
    <w:rsid w:val="00670EC8"/>
    <w:rsid w:val="00682D6D"/>
    <w:rsid w:val="00692C11"/>
    <w:rsid w:val="006A0F9B"/>
    <w:rsid w:val="006A5F01"/>
    <w:rsid w:val="006B1D7F"/>
    <w:rsid w:val="006B61CA"/>
    <w:rsid w:val="006C7B48"/>
    <w:rsid w:val="0070517F"/>
    <w:rsid w:val="00714621"/>
    <w:rsid w:val="007225B3"/>
    <w:rsid w:val="0073787C"/>
    <w:rsid w:val="0076122B"/>
    <w:rsid w:val="00765D1B"/>
    <w:rsid w:val="00777D87"/>
    <w:rsid w:val="00782D7F"/>
    <w:rsid w:val="00787C85"/>
    <w:rsid w:val="007B501B"/>
    <w:rsid w:val="00833046"/>
    <w:rsid w:val="00845254"/>
    <w:rsid w:val="00883A4F"/>
    <w:rsid w:val="008B151B"/>
    <w:rsid w:val="008B6D9D"/>
    <w:rsid w:val="008D7B90"/>
    <w:rsid w:val="008F470E"/>
    <w:rsid w:val="0090349D"/>
    <w:rsid w:val="00921320"/>
    <w:rsid w:val="00934839"/>
    <w:rsid w:val="00947FEC"/>
    <w:rsid w:val="009763FD"/>
    <w:rsid w:val="009775C0"/>
    <w:rsid w:val="0099755A"/>
    <w:rsid w:val="009D6CCE"/>
    <w:rsid w:val="009F14C0"/>
    <w:rsid w:val="009F3A99"/>
    <w:rsid w:val="009F585F"/>
    <w:rsid w:val="00A24152"/>
    <w:rsid w:val="00A50646"/>
    <w:rsid w:val="00A744B8"/>
    <w:rsid w:val="00A7613E"/>
    <w:rsid w:val="00A86F3C"/>
    <w:rsid w:val="00AA3989"/>
    <w:rsid w:val="00AA5C59"/>
    <w:rsid w:val="00AC0AFF"/>
    <w:rsid w:val="00AD2D0C"/>
    <w:rsid w:val="00AE0DB4"/>
    <w:rsid w:val="00AF3364"/>
    <w:rsid w:val="00AF3847"/>
    <w:rsid w:val="00AF4C4A"/>
    <w:rsid w:val="00B01F57"/>
    <w:rsid w:val="00B335AF"/>
    <w:rsid w:val="00B352EF"/>
    <w:rsid w:val="00B36784"/>
    <w:rsid w:val="00B82B81"/>
    <w:rsid w:val="00B839B2"/>
    <w:rsid w:val="00B8437C"/>
    <w:rsid w:val="00B94046"/>
    <w:rsid w:val="00B95A73"/>
    <w:rsid w:val="00BC36F4"/>
    <w:rsid w:val="00BC3E4B"/>
    <w:rsid w:val="00BF55F4"/>
    <w:rsid w:val="00C14AEA"/>
    <w:rsid w:val="00C1608A"/>
    <w:rsid w:val="00C21680"/>
    <w:rsid w:val="00C36377"/>
    <w:rsid w:val="00C40A6B"/>
    <w:rsid w:val="00C50155"/>
    <w:rsid w:val="00C86A89"/>
    <w:rsid w:val="00C873F1"/>
    <w:rsid w:val="00C9676B"/>
    <w:rsid w:val="00CA6807"/>
    <w:rsid w:val="00CB36F1"/>
    <w:rsid w:val="00CB3EAF"/>
    <w:rsid w:val="00CC04CB"/>
    <w:rsid w:val="00CD4799"/>
    <w:rsid w:val="00D04288"/>
    <w:rsid w:val="00D160E5"/>
    <w:rsid w:val="00D437B8"/>
    <w:rsid w:val="00D6033F"/>
    <w:rsid w:val="00D72610"/>
    <w:rsid w:val="00D92F7A"/>
    <w:rsid w:val="00D957E4"/>
    <w:rsid w:val="00DA0767"/>
    <w:rsid w:val="00DB17F1"/>
    <w:rsid w:val="00DC347E"/>
    <w:rsid w:val="00DC3C80"/>
    <w:rsid w:val="00DC5710"/>
    <w:rsid w:val="00DD6476"/>
    <w:rsid w:val="00DE5EE5"/>
    <w:rsid w:val="00DF2704"/>
    <w:rsid w:val="00DF6B41"/>
    <w:rsid w:val="00E268C3"/>
    <w:rsid w:val="00E35A7D"/>
    <w:rsid w:val="00E42B11"/>
    <w:rsid w:val="00E44B19"/>
    <w:rsid w:val="00E46765"/>
    <w:rsid w:val="00E56E11"/>
    <w:rsid w:val="00E6097A"/>
    <w:rsid w:val="00E71B61"/>
    <w:rsid w:val="00E73C20"/>
    <w:rsid w:val="00E82255"/>
    <w:rsid w:val="00E9356F"/>
    <w:rsid w:val="00EA062C"/>
    <w:rsid w:val="00EA4F76"/>
    <w:rsid w:val="00ED0764"/>
    <w:rsid w:val="00ED38CE"/>
    <w:rsid w:val="00ED4904"/>
    <w:rsid w:val="00ED7259"/>
    <w:rsid w:val="00EE4FC5"/>
    <w:rsid w:val="00EF66DE"/>
    <w:rsid w:val="00F133DC"/>
    <w:rsid w:val="00F21DEB"/>
    <w:rsid w:val="00F25B10"/>
    <w:rsid w:val="00F26180"/>
    <w:rsid w:val="00F307C3"/>
    <w:rsid w:val="00F36938"/>
    <w:rsid w:val="00F62692"/>
    <w:rsid w:val="00F7783B"/>
    <w:rsid w:val="00FB2CE7"/>
    <w:rsid w:val="00FD0B11"/>
    <w:rsid w:val="00FD57E3"/>
    <w:rsid w:val="00FE1CE8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paragraph" w:styleId="a7">
    <w:name w:val="List Paragraph"/>
    <w:basedOn w:val="a"/>
    <w:uiPriority w:val="34"/>
    <w:qFormat/>
    <w:rsid w:val="00947FEC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0D0622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0D0622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D062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D0622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D0622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D0622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D0622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D0622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D0622"/>
    <w:pPr>
      <w:ind w:left="1680"/>
      <w:jc w:val="left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0D0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68.7.48.207/SmartReaderWeb/SmartReader/?type=3&amp;id=51779704&amp;lang=c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9616;&#37329;&#23453;-&#28155;&#21033;1&#21495;\&#36816;&#20316;&#25253;&#21578;\tem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Sheet2!$B$1</c:f>
              <c:strCache>
                <c:ptCount val="1"/>
                <c:pt idx="0">
                  <c:v>七日年化收益率</c:v>
                </c:pt>
              </c:strCache>
            </c:strRef>
          </c:tx>
          <c:marker>
            <c:symbol val="none"/>
          </c:marker>
          <c:cat>
            <c:numRef>
              <c:f>Sheet2!$A$94:$A$185</c:f>
              <c:numCache>
                <c:formatCode>yyyy/m/d</c:formatCode>
                <c:ptCount val="92"/>
                <c:pt idx="0">
                  <c:v>43374</c:v>
                </c:pt>
                <c:pt idx="1">
                  <c:v>43375</c:v>
                </c:pt>
                <c:pt idx="2">
                  <c:v>43376</c:v>
                </c:pt>
                <c:pt idx="3">
                  <c:v>43377</c:v>
                </c:pt>
                <c:pt idx="4">
                  <c:v>43378</c:v>
                </c:pt>
                <c:pt idx="5">
                  <c:v>43379</c:v>
                </c:pt>
                <c:pt idx="6">
                  <c:v>43380</c:v>
                </c:pt>
                <c:pt idx="7">
                  <c:v>43381</c:v>
                </c:pt>
                <c:pt idx="8">
                  <c:v>43382</c:v>
                </c:pt>
                <c:pt idx="9">
                  <c:v>43383</c:v>
                </c:pt>
                <c:pt idx="10">
                  <c:v>43384</c:v>
                </c:pt>
                <c:pt idx="11">
                  <c:v>43385</c:v>
                </c:pt>
                <c:pt idx="12">
                  <c:v>43386</c:v>
                </c:pt>
                <c:pt idx="13">
                  <c:v>43387</c:v>
                </c:pt>
                <c:pt idx="14">
                  <c:v>43388</c:v>
                </c:pt>
                <c:pt idx="15">
                  <c:v>43389</c:v>
                </c:pt>
                <c:pt idx="16">
                  <c:v>43390</c:v>
                </c:pt>
                <c:pt idx="17">
                  <c:v>43391</c:v>
                </c:pt>
                <c:pt idx="18">
                  <c:v>43392</c:v>
                </c:pt>
                <c:pt idx="19">
                  <c:v>43393</c:v>
                </c:pt>
                <c:pt idx="20">
                  <c:v>43394</c:v>
                </c:pt>
                <c:pt idx="21">
                  <c:v>43395</c:v>
                </c:pt>
                <c:pt idx="22">
                  <c:v>43396</c:v>
                </c:pt>
                <c:pt idx="23">
                  <c:v>43397</c:v>
                </c:pt>
                <c:pt idx="24">
                  <c:v>43398</c:v>
                </c:pt>
                <c:pt idx="25">
                  <c:v>43399</c:v>
                </c:pt>
                <c:pt idx="26">
                  <c:v>43400</c:v>
                </c:pt>
                <c:pt idx="27">
                  <c:v>43401</c:v>
                </c:pt>
                <c:pt idx="28">
                  <c:v>43402</c:v>
                </c:pt>
                <c:pt idx="29">
                  <c:v>43403</c:v>
                </c:pt>
                <c:pt idx="30">
                  <c:v>43404</c:v>
                </c:pt>
                <c:pt idx="31">
                  <c:v>43405</c:v>
                </c:pt>
                <c:pt idx="32">
                  <c:v>43406</c:v>
                </c:pt>
                <c:pt idx="33">
                  <c:v>43407</c:v>
                </c:pt>
                <c:pt idx="34">
                  <c:v>43408</c:v>
                </c:pt>
                <c:pt idx="35">
                  <c:v>43409</c:v>
                </c:pt>
                <c:pt idx="36">
                  <c:v>43410</c:v>
                </c:pt>
                <c:pt idx="37">
                  <c:v>43411</c:v>
                </c:pt>
                <c:pt idx="38">
                  <c:v>43412</c:v>
                </c:pt>
                <c:pt idx="39">
                  <c:v>43413</c:v>
                </c:pt>
                <c:pt idx="40">
                  <c:v>43414</c:v>
                </c:pt>
                <c:pt idx="41">
                  <c:v>43415</c:v>
                </c:pt>
                <c:pt idx="42">
                  <c:v>43416</c:v>
                </c:pt>
                <c:pt idx="43">
                  <c:v>43417</c:v>
                </c:pt>
                <c:pt idx="44">
                  <c:v>43418</c:v>
                </c:pt>
                <c:pt idx="45">
                  <c:v>43419</c:v>
                </c:pt>
                <c:pt idx="46">
                  <c:v>43420</c:v>
                </c:pt>
                <c:pt idx="47">
                  <c:v>43421</c:v>
                </c:pt>
                <c:pt idx="48">
                  <c:v>43422</c:v>
                </c:pt>
                <c:pt idx="49">
                  <c:v>43423</c:v>
                </c:pt>
                <c:pt idx="50">
                  <c:v>43424</c:v>
                </c:pt>
                <c:pt idx="51">
                  <c:v>43425</c:v>
                </c:pt>
                <c:pt idx="52">
                  <c:v>43426</c:v>
                </c:pt>
                <c:pt idx="53">
                  <c:v>43427</c:v>
                </c:pt>
                <c:pt idx="54">
                  <c:v>43428</c:v>
                </c:pt>
                <c:pt idx="55">
                  <c:v>43429</c:v>
                </c:pt>
                <c:pt idx="56">
                  <c:v>43430</c:v>
                </c:pt>
                <c:pt idx="57">
                  <c:v>43431</c:v>
                </c:pt>
                <c:pt idx="58">
                  <c:v>43432</c:v>
                </c:pt>
                <c:pt idx="59">
                  <c:v>43433</c:v>
                </c:pt>
                <c:pt idx="60">
                  <c:v>43434</c:v>
                </c:pt>
                <c:pt idx="61">
                  <c:v>43435</c:v>
                </c:pt>
                <c:pt idx="62">
                  <c:v>43436</c:v>
                </c:pt>
                <c:pt idx="63">
                  <c:v>43437</c:v>
                </c:pt>
                <c:pt idx="64">
                  <c:v>43438</c:v>
                </c:pt>
                <c:pt idx="65">
                  <c:v>43439</c:v>
                </c:pt>
                <c:pt idx="66">
                  <c:v>43440</c:v>
                </c:pt>
                <c:pt idx="67">
                  <c:v>43441</c:v>
                </c:pt>
                <c:pt idx="68">
                  <c:v>43442</c:v>
                </c:pt>
                <c:pt idx="69">
                  <c:v>43443</c:v>
                </c:pt>
                <c:pt idx="70">
                  <c:v>43444</c:v>
                </c:pt>
                <c:pt idx="71">
                  <c:v>43445</c:v>
                </c:pt>
                <c:pt idx="72">
                  <c:v>43446</c:v>
                </c:pt>
                <c:pt idx="73">
                  <c:v>43447</c:v>
                </c:pt>
                <c:pt idx="74">
                  <c:v>43448</c:v>
                </c:pt>
                <c:pt idx="75">
                  <c:v>43449</c:v>
                </c:pt>
                <c:pt idx="76">
                  <c:v>43450</c:v>
                </c:pt>
                <c:pt idx="77">
                  <c:v>43451</c:v>
                </c:pt>
                <c:pt idx="78">
                  <c:v>43452</c:v>
                </c:pt>
                <c:pt idx="79">
                  <c:v>43453</c:v>
                </c:pt>
                <c:pt idx="80">
                  <c:v>43454</c:v>
                </c:pt>
                <c:pt idx="81">
                  <c:v>43455</c:v>
                </c:pt>
                <c:pt idx="82">
                  <c:v>43456</c:v>
                </c:pt>
                <c:pt idx="83">
                  <c:v>43457</c:v>
                </c:pt>
                <c:pt idx="84">
                  <c:v>43458</c:v>
                </c:pt>
                <c:pt idx="85">
                  <c:v>43459</c:v>
                </c:pt>
                <c:pt idx="86">
                  <c:v>43460</c:v>
                </c:pt>
                <c:pt idx="87">
                  <c:v>43461</c:v>
                </c:pt>
                <c:pt idx="88">
                  <c:v>43462</c:v>
                </c:pt>
                <c:pt idx="89">
                  <c:v>43463</c:v>
                </c:pt>
                <c:pt idx="90">
                  <c:v>43464</c:v>
                </c:pt>
                <c:pt idx="91">
                  <c:v>43465</c:v>
                </c:pt>
              </c:numCache>
            </c:numRef>
          </c:cat>
          <c:val>
            <c:numRef>
              <c:f>Sheet2!$B$94:$B$185</c:f>
              <c:numCache>
                <c:formatCode>0.0000%</c:formatCode>
                <c:ptCount val="92"/>
                <c:pt idx="0">
                  <c:v>4.1039999999999986E-2</c:v>
                </c:pt>
                <c:pt idx="1">
                  <c:v>4.1329999999999999E-2</c:v>
                </c:pt>
                <c:pt idx="2">
                  <c:v>4.1349999999999977E-2</c:v>
                </c:pt>
                <c:pt idx="3">
                  <c:v>4.1619999999999997E-2</c:v>
                </c:pt>
                <c:pt idx="4">
                  <c:v>4.1869999999999997E-2</c:v>
                </c:pt>
                <c:pt idx="5">
                  <c:v>4.2090000000000072E-2</c:v>
                </c:pt>
                <c:pt idx="6">
                  <c:v>4.2079999999999999E-2</c:v>
                </c:pt>
                <c:pt idx="7">
                  <c:v>4.2030000000000019E-2</c:v>
                </c:pt>
                <c:pt idx="8">
                  <c:v>4.1860000000000015E-2</c:v>
                </c:pt>
                <c:pt idx="9">
                  <c:v>4.165E-2</c:v>
                </c:pt>
                <c:pt idx="10">
                  <c:v>4.1400000000000013E-2</c:v>
                </c:pt>
                <c:pt idx="11">
                  <c:v>4.1100000000000005E-2</c:v>
                </c:pt>
                <c:pt idx="12">
                  <c:v>4.0740000000000012E-2</c:v>
                </c:pt>
                <c:pt idx="13">
                  <c:v>4.0390000000000072E-2</c:v>
                </c:pt>
                <c:pt idx="14">
                  <c:v>4.009000000000007E-2</c:v>
                </c:pt>
                <c:pt idx="15">
                  <c:v>4.0120000000000003E-2</c:v>
                </c:pt>
                <c:pt idx="16">
                  <c:v>4.0000000000000029E-2</c:v>
                </c:pt>
                <c:pt idx="17">
                  <c:v>3.9910000000000001E-2</c:v>
                </c:pt>
                <c:pt idx="18">
                  <c:v>3.9890000000000009E-2</c:v>
                </c:pt>
                <c:pt idx="19">
                  <c:v>3.9740000000000011E-2</c:v>
                </c:pt>
                <c:pt idx="20">
                  <c:v>3.9590000000000007E-2</c:v>
                </c:pt>
                <c:pt idx="21">
                  <c:v>3.9650000000000012E-2</c:v>
                </c:pt>
                <c:pt idx="22">
                  <c:v>3.9830000000000025E-2</c:v>
                </c:pt>
                <c:pt idx="23">
                  <c:v>3.994000000000001E-2</c:v>
                </c:pt>
                <c:pt idx="24">
                  <c:v>4.0040000000000006E-2</c:v>
                </c:pt>
                <c:pt idx="25">
                  <c:v>4.0120000000000003E-2</c:v>
                </c:pt>
                <c:pt idx="26">
                  <c:v>4.0190000000000003E-2</c:v>
                </c:pt>
                <c:pt idx="27">
                  <c:v>4.0259999999999976E-2</c:v>
                </c:pt>
                <c:pt idx="28">
                  <c:v>4.0310000000000019E-2</c:v>
                </c:pt>
                <c:pt idx="29">
                  <c:v>4.0400000000000019E-2</c:v>
                </c:pt>
                <c:pt idx="30">
                  <c:v>4.0480000000000016E-2</c:v>
                </c:pt>
                <c:pt idx="31">
                  <c:v>4.0550000000000003E-2</c:v>
                </c:pt>
                <c:pt idx="32">
                  <c:v>4.0590000000000036E-2</c:v>
                </c:pt>
                <c:pt idx="33">
                  <c:v>4.0619999999999996E-2</c:v>
                </c:pt>
                <c:pt idx="34">
                  <c:v>4.0639999999999996E-2</c:v>
                </c:pt>
                <c:pt idx="35">
                  <c:v>4.0649999999999985E-2</c:v>
                </c:pt>
                <c:pt idx="36">
                  <c:v>4.0550000000000003E-2</c:v>
                </c:pt>
                <c:pt idx="37">
                  <c:v>4.0470000000000013E-2</c:v>
                </c:pt>
                <c:pt idx="38">
                  <c:v>4.037000000000001E-2</c:v>
                </c:pt>
                <c:pt idx="39">
                  <c:v>4.0320000000000016E-2</c:v>
                </c:pt>
                <c:pt idx="40">
                  <c:v>4.0280000000000003E-2</c:v>
                </c:pt>
                <c:pt idx="41">
                  <c:v>4.0239999999999998E-2</c:v>
                </c:pt>
                <c:pt idx="42">
                  <c:v>4.0239999999999998E-2</c:v>
                </c:pt>
                <c:pt idx="43">
                  <c:v>4.0190000000000003E-2</c:v>
                </c:pt>
                <c:pt idx="44">
                  <c:v>4.0129999999999985E-2</c:v>
                </c:pt>
                <c:pt idx="45">
                  <c:v>4.009000000000007E-2</c:v>
                </c:pt>
                <c:pt idx="46">
                  <c:v>4.0120000000000003E-2</c:v>
                </c:pt>
                <c:pt idx="47">
                  <c:v>4.0169999999999997E-2</c:v>
                </c:pt>
                <c:pt idx="48">
                  <c:v>4.0219999999999999E-2</c:v>
                </c:pt>
                <c:pt idx="49">
                  <c:v>4.021000000000001E-2</c:v>
                </c:pt>
                <c:pt idx="50">
                  <c:v>4.0280000000000003E-2</c:v>
                </c:pt>
                <c:pt idx="51">
                  <c:v>4.0320000000000016E-2</c:v>
                </c:pt>
                <c:pt idx="52">
                  <c:v>4.0379999999999999E-2</c:v>
                </c:pt>
                <c:pt idx="53">
                  <c:v>4.037000000000001E-2</c:v>
                </c:pt>
                <c:pt idx="54">
                  <c:v>4.0360000000000069E-2</c:v>
                </c:pt>
                <c:pt idx="55">
                  <c:v>4.0340000000000015E-2</c:v>
                </c:pt>
                <c:pt idx="56">
                  <c:v>4.0320000000000016E-2</c:v>
                </c:pt>
                <c:pt idx="57">
                  <c:v>4.027E-2</c:v>
                </c:pt>
                <c:pt idx="58">
                  <c:v>4.0310000000000019E-2</c:v>
                </c:pt>
                <c:pt idx="59">
                  <c:v>4.0280000000000003E-2</c:v>
                </c:pt>
                <c:pt idx="60">
                  <c:v>4.0239999999999998E-2</c:v>
                </c:pt>
                <c:pt idx="61">
                  <c:v>4.0230000000000002E-2</c:v>
                </c:pt>
                <c:pt idx="62">
                  <c:v>4.021000000000001E-2</c:v>
                </c:pt>
                <c:pt idx="63">
                  <c:v>4.0160000000000015E-2</c:v>
                </c:pt>
                <c:pt idx="64">
                  <c:v>4.0110000000000021E-2</c:v>
                </c:pt>
                <c:pt idx="65">
                  <c:v>3.9980000000000009E-2</c:v>
                </c:pt>
                <c:pt idx="66">
                  <c:v>3.988000000000002E-2</c:v>
                </c:pt>
                <c:pt idx="67">
                  <c:v>3.9840000000000028E-2</c:v>
                </c:pt>
                <c:pt idx="68">
                  <c:v>3.9780000000000017E-2</c:v>
                </c:pt>
                <c:pt idx="69">
                  <c:v>3.9730000000000015E-2</c:v>
                </c:pt>
                <c:pt idx="70">
                  <c:v>3.9700000000000006E-2</c:v>
                </c:pt>
                <c:pt idx="71">
                  <c:v>3.9690000000000024E-2</c:v>
                </c:pt>
                <c:pt idx="72">
                  <c:v>3.9680000000000042E-2</c:v>
                </c:pt>
                <c:pt idx="73">
                  <c:v>3.9740000000000011E-2</c:v>
                </c:pt>
                <c:pt idx="74">
                  <c:v>3.9790000000000006E-2</c:v>
                </c:pt>
                <c:pt idx="75">
                  <c:v>3.9850000000000024E-2</c:v>
                </c:pt>
                <c:pt idx="76">
                  <c:v>3.9900000000000012E-2</c:v>
                </c:pt>
                <c:pt idx="77">
                  <c:v>3.9950000000000006E-2</c:v>
                </c:pt>
                <c:pt idx="78">
                  <c:v>3.9960000000000002E-2</c:v>
                </c:pt>
                <c:pt idx="79">
                  <c:v>3.9920000000000004E-2</c:v>
                </c:pt>
                <c:pt idx="80">
                  <c:v>3.9730000000000015E-2</c:v>
                </c:pt>
                <c:pt idx="81">
                  <c:v>3.9560000000000005E-2</c:v>
                </c:pt>
                <c:pt idx="82">
                  <c:v>3.9420000000000011E-2</c:v>
                </c:pt>
                <c:pt idx="83">
                  <c:v>3.9290000000000012E-2</c:v>
                </c:pt>
                <c:pt idx="84">
                  <c:v>3.9200000000000006E-2</c:v>
                </c:pt>
                <c:pt idx="85">
                  <c:v>3.9000000000000028E-2</c:v>
                </c:pt>
                <c:pt idx="86">
                  <c:v>3.9040000000000012E-2</c:v>
                </c:pt>
                <c:pt idx="87">
                  <c:v>3.9270000000000006E-2</c:v>
                </c:pt>
                <c:pt idx="88">
                  <c:v>3.9470000000000012E-2</c:v>
                </c:pt>
                <c:pt idx="89">
                  <c:v>3.9810000000000012E-2</c:v>
                </c:pt>
                <c:pt idx="90">
                  <c:v>4.0079999999999998E-2</c:v>
                </c:pt>
                <c:pt idx="91">
                  <c:v>4.0169999999999997E-2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业绩比较基准</c:v>
                </c:pt>
              </c:strCache>
            </c:strRef>
          </c:tx>
          <c:marker>
            <c:symbol val="none"/>
          </c:marker>
          <c:cat>
            <c:numRef>
              <c:f>Sheet2!$A$94:$A$185</c:f>
              <c:numCache>
                <c:formatCode>yyyy/m/d</c:formatCode>
                <c:ptCount val="92"/>
                <c:pt idx="0">
                  <c:v>43374</c:v>
                </c:pt>
                <c:pt idx="1">
                  <c:v>43375</c:v>
                </c:pt>
                <c:pt idx="2">
                  <c:v>43376</c:v>
                </c:pt>
                <c:pt idx="3">
                  <c:v>43377</c:v>
                </c:pt>
                <c:pt idx="4">
                  <c:v>43378</c:v>
                </c:pt>
                <c:pt idx="5">
                  <c:v>43379</c:v>
                </c:pt>
                <c:pt idx="6">
                  <c:v>43380</c:v>
                </c:pt>
                <c:pt idx="7">
                  <c:v>43381</c:v>
                </c:pt>
                <c:pt idx="8">
                  <c:v>43382</c:v>
                </c:pt>
                <c:pt idx="9">
                  <c:v>43383</c:v>
                </c:pt>
                <c:pt idx="10">
                  <c:v>43384</c:v>
                </c:pt>
                <c:pt idx="11">
                  <c:v>43385</c:v>
                </c:pt>
                <c:pt idx="12">
                  <c:v>43386</c:v>
                </c:pt>
                <c:pt idx="13">
                  <c:v>43387</c:v>
                </c:pt>
                <c:pt idx="14">
                  <c:v>43388</c:v>
                </c:pt>
                <c:pt idx="15">
                  <c:v>43389</c:v>
                </c:pt>
                <c:pt idx="16">
                  <c:v>43390</c:v>
                </c:pt>
                <c:pt idx="17">
                  <c:v>43391</c:v>
                </c:pt>
                <c:pt idx="18">
                  <c:v>43392</c:v>
                </c:pt>
                <c:pt idx="19">
                  <c:v>43393</c:v>
                </c:pt>
                <c:pt idx="20">
                  <c:v>43394</c:v>
                </c:pt>
                <c:pt idx="21">
                  <c:v>43395</c:v>
                </c:pt>
                <c:pt idx="22">
                  <c:v>43396</c:v>
                </c:pt>
                <c:pt idx="23">
                  <c:v>43397</c:v>
                </c:pt>
                <c:pt idx="24">
                  <c:v>43398</c:v>
                </c:pt>
                <c:pt idx="25">
                  <c:v>43399</c:v>
                </c:pt>
                <c:pt idx="26">
                  <c:v>43400</c:v>
                </c:pt>
                <c:pt idx="27">
                  <c:v>43401</c:v>
                </c:pt>
                <c:pt idx="28">
                  <c:v>43402</c:v>
                </c:pt>
                <c:pt idx="29">
                  <c:v>43403</c:v>
                </c:pt>
                <c:pt idx="30">
                  <c:v>43404</c:v>
                </c:pt>
                <c:pt idx="31">
                  <c:v>43405</c:v>
                </c:pt>
                <c:pt idx="32">
                  <c:v>43406</c:v>
                </c:pt>
                <c:pt idx="33">
                  <c:v>43407</c:v>
                </c:pt>
                <c:pt idx="34">
                  <c:v>43408</c:v>
                </c:pt>
                <c:pt idx="35">
                  <c:v>43409</c:v>
                </c:pt>
                <c:pt idx="36">
                  <c:v>43410</c:v>
                </c:pt>
                <c:pt idx="37">
                  <c:v>43411</c:v>
                </c:pt>
                <c:pt idx="38">
                  <c:v>43412</c:v>
                </c:pt>
                <c:pt idx="39">
                  <c:v>43413</c:v>
                </c:pt>
                <c:pt idx="40">
                  <c:v>43414</c:v>
                </c:pt>
                <c:pt idx="41">
                  <c:v>43415</c:v>
                </c:pt>
                <c:pt idx="42">
                  <c:v>43416</c:v>
                </c:pt>
                <c:pt idx="43">
                  <c:v>43417</c:v>
                </c:pt>
                <c:pt idx="44">
                  <c:v>43418</c:v>
                </c:pt>
                <c:pt idx="45">
                  <c:v>43419</c:v>
                </c:pt>
                <c:pt idx="46">
                  <c:v>43420</c:v>
                </c:pt>
                <c:pt idx="47">
                  <c:v>43421</c:v>
                </c:pt>
                <c:pt idx="48">
                  <c:v>43422</c:v>
                </c:pt>
                <c:pt idx="49">
                  <c:v>43423</c:v>
                </c:pt>
                <c:pt idx="50">
                  <c:v>43424</c:v>
                </c:pt>
                <c:pt idx="51">
                  <c:v>43425</c:v>
                </c:pt>
                <c:pt idx="52">
                  <c:v>43426</c:v>
                </c:pt>
                <c:pt idx="53">
                  <c:v>43427</c:v>
                </c:pt>
                <c:pt idx="54">
                  <c:v>43428</c:v>
                </c:pt>
                <c:pt idx="55">
                  <c:v>43429</c:v>
                </c:pt>
                <c:pt idx="56">
                  <c:v>43430</c:v>
                </c:pt>
                <c:pt idx="57">
                  <c:v>43431</c:v>
                </c:pt>
                <c:pt idx="58">
                  <c:v>43432</c:v>
                </c:pt>
                <c:pt idx="59">
                  <c:v>43433</c:v>
                </c:pt>
                <c:pt idx="60">
                  <c:v>43434</c:v>
                </c:pt>
                <c:pt idx="61">
                  <c:v>43435</c:v>
                </c:pt>
                <c:pt idx="62">
                  <c:v>43436</c:v>
                </c:pt>
                <c:pt idx="63">
                  <c:v>43437</c:v>
                </c:pt>
                <c:pt idx="64">
                  <c:v>43438</c:v>
                </c:pt>
                <c:pt idx="65">
                  <c:v>43439</c:v>
                </c:pt>
                <c:pt idx="66">
                  <c:v>43440</c:v>
                </c:pt>
                <c:pt idx="67">
                  <c:v>43441</c:v>
                </c:pt>
                <c:pt idx="68">
                  <c:v>43442</c:v>
                </c:pt>
                <c:pt idx="69">
                  <c:v>43443</c:v>
                </c:pt>
                <c:pt idx="70">
                  <c:v>43444</c:v>
                </c:pt>
                <c:pt idx="71">
                  <c:v>43445</c:v>
                </c:pt>
                <c:pt idx="72">
                  <c:v>43446</c:v>
                </c:pt>
                <c:pt idx="73">
                  <c:v>43447</c:v>
                </c:pt>
                <c:pt idx="74">
                  <c:v>43448</c:v>
                </c:pt>
                <c:pt idx="75">
                  <c:v>43449</c:v>
                </c:pt>
                <c:pt idx="76">
                  <c:v>43450</c:v>
                </c:pt>
                <c:pt idx="77">
                  <c:v>43451</c:v>
                </c:pt>
                <c:pt idx="78">
                  <c:v>43452</c:v>
                </c:pt>
                <c:pt idx="79">
                  <c:v>43453</c:v>
                </c:pt>
                <c:pt idx="80">
                  <c:v>43454</c:v>
                </c:pt>
                <c:pt idx="81">
                  <c:v>43455</c:v>
                </c:pt>
                <c:pt idx="82">
                  <c:v>43456</c:v>
                </c:pt>
                <c:pt idx="83">
                  <c:v>43457</c:v>
                </c:pt>
                <c:pt idx="84">
                  <c:v>43458</c:v>
                </c:pt>
                <c:pt idx="85">
                  <c:v>43459</c:v>
                </c:pt>
                <c:pt idx="86">
                  <c:v>43460</c:v>
                </c:pt>
                <c:pt idx="87">
                  <c:v>43461</c:v>
                </c:pt>
                <c:pt idx="88">
                  <c:v>43462</c:v>
                </c:pt>
                <c:pt idx="89">
                  <c:v>43463</c:v>
                </c:pt>
                <c:pt idx="90">
                  <c:v>43464</c:v>
                </c:pt>
                <c:pt idx="91">
                  <c:v>43465</c:v>
                </c:pt>
              </c:numCache>
            </c:numRef>
          </c:cat>
          <c:val>
            <c:numRef>
              <c:f>Sheet2!$C$94:$C$185</c:f>
              <c:numCache>
                <c:formatCode>0.00%</c:formatCode>
                <c:ptCount val="92"/>
                <c:pt idx="0">
                  <c:v>3.5000000000000024E-2</c:v>
                </c:pt>
                <c:pt idx="1">
                  <c:v>3.5000000000000024E-2</c:v>
                </c:pt>
                <c:pt idx="2">
                  <c:v>3.5000000000000024E-2</c:v>
                </c:pt>
                <c:pt idx="3">
                  <c:v>3.5000000000000024E-2</c:v>
                </c:pt>
                <c:pt idx="4">
                  <c:v>3.5000000000000024E-2</c:v>
                </c:pt>
                <c:pt idx="5">
                  <c:v>3.5000000000000024E-2</c:v>
                </c:pt>
                <c:pt idx="6">
                  <c:v>3.5000000000000024E-2</c:v>
                </c:pt>
                <c:pt idx="7">
                  <c:v>3.5000000000000024E-2</c:v>
                </c:pt>
                <c:pt idx="8">
                  <c:v>3.5000000000000024E-2</c:v>
                </c:pt>
                <c:pt idx="9">
                  <c:v>3.5000000000000024E-2</c:v>
                </c:pt>
                <c:pt idx="10">
                  <c:v>3.5000000000000024E-2</c:v>
                </c:pt>
                <c:pt idx="11">
                  <c:v>3.5000000000000024E-2</c:v>
                </c:pt>
                <c:pt idx="12">
                  <c:v>3.5000000000000024E-2</c:v>
                </c:pt>
                <c:pt idx="13">
                  <c:v>3.5000000000000024E-2</c:v>
                </c:pt>
                <c:pt idx="14">
                  <c:v>3.5000000000000024E-2</c:v>
                </c:pt>
                <c:pt idx="15">
                  <c:v>3.5000000000000024E-2</c:v>
                </c:pt>
                <c:pt idx="16">
                  <c:v>3.5000000000000024E-2</c:v>
                </c:pt>
                <c:pt idx="17">
                  <c:v>3.5000000000000024E-2</c:v>
                </c:pt>
                <c:pt idx="18">
                  <c:v>3.5000000000000024E-2</c:v>
                </c:pt>
                <c:pt idx="19">
                  <c:v>3.5000000000000024E-2</c:v>
                </c:pt>
                <c:pt idx="20">
                  <c:v>3.5000000000000024E-2</c:v>
                </c:pt>
                <c:pt idx="21">
                  <c:v>3.5000000000000024E-2</c:v>
                </c:pt>
                <c:pt idx="22">
                  <c:v>3.5000000000000024E-2</c:v>
                </c:pt>
                <c:pt idx="23">
                  <c:v>3.5000000000000024E-2</c:v>
                </c:pt>
                <c:pt idx="24">
                  <c:v>3.5000000000000024E-2</c:v>
                </c:pt>
                <c:pt idx="25">
                  <c:v>3.5000000000000024E-2</c:v>
                </c:pt>
                <c:pt idx="26">
                  <c:v>3.5000000000000024E-2</c:v>
                </c:pt>
                <c:pt idx="27">
                  <c:v>3.5000000000000024E-2</c:v>
                </c:pt>
                <c:pt idx="28">
                  <c:v>3.5000000000000024E-2</c:v>
                </c:pt>
                <c:pt idx="29">
                  <c:v>3.5000000000000024E-2</c:v>
                </c:pt>
                <c:pt idx="30">
                  <c:v>3.5000000000000024E-2</c:v>
                </c:pt>
                <c:pt idx="31">
                  <c:v>3.5000000000000024E-2</c:v>
                </c:pt>
                <c:pt idx="32">
                  <c:v>3.5000000000000024E-2</c:v>
                </c:pt>
                <c:pt idx="33">
                  <c:v>3.5000000000000024E-2</c:v>
                </c:pt>
                <c:pt idx="34">
                  <c:v>3.5000000000000024E-2</c:v>
                </c:pt>
                <c:pt idx="35">
                  <c:v>3.5000000000000024E-2</c:v>
                </c:pt>
                <c:pt idx="36">
                  <c:v>3.5000000000000024E-2</c:v>
                </c:pt>
                <c:pt idx="37">
                  <c:v>3.5000000000000024E-2</c:v>
                </c:pt>
                <c:pt idx="38">
                  <c:v>3.5000000000000024E-2</c:v>
                </c:pt>
                <c:pt idx="39">
                  <c:v>3.5000000000000024E-2</c:v>
                </c:pt>
                <c:pt idx="40">
                  <c:v>3.5000000000000024E-2</c:v>
                </c:pt>
                <c:pt idx="41">
                  <c:v>3.5000000000000024E-2</c:v>
                </c:pt>
                <c:pt idx="42">
                  <c:v>3.5000000000000024E-2</c:v>
                </c:pt>
                <c:pt idx="43">
                  <c:v>3.5000000000000024E-2</c:v>
                </c:pt>
                <c:pt idx="44">
                  <c:v>3.5000000000000024E-2</c:v>
                </c:pt>
                <c:pt idx="45">
                  <c:v>3.5000000000000024E-2</c:v>
                </c:pt>
                <c:pt idx="46">
                  <c:v>3.5000000000000024E-2</c:v>
                </c:pt>
                <c:pt idx="47">
                  <c:v>3.5000000000000024E-2</c:v>
                </c:pt>
                <c:pt idx="48">
                  <c:v>3.5000000000000024E-2</c:v>
                </c:pt>
                <c:pt idx="49">
                  <c:v>3.5000000000000024E-2</c:v>
                </c:pt>
                <c:pt idx="50">
                  <c:v>3.5000000000000024E-2</c:v>
                </c:pt>
                <c:pt idx="51">
                  <c:v>3.5000000000000024E-2</c:v>
                </c:pt>
                <c:pt idx="52">
                  <c:v>3.5000000000000024E-2</c:v>
                </c:pt>
                <c:pt idx="53">
                  <c:v>3.5000000000000024E-2</c:v>
                </c:pt>
                <c:pt idx="54">
                  <c:v>3.5000000000000024E-2</c:v>
                </c:pt>
                <c:pt idx="55">
                  <c:v>3.5000000000000024E-2</c:v>
                </c:pt>
                <c:pt idx="56">
                  <c:v>3.5000000000000024E-2</c:v>
                </c:pt>
                <c:pt idx="57">
                  <c:v>3.5000000000000024E-2</c:v>
                </c:pt>
                <c:pt idx="58">
                  <c:v>3.5000000000000024E-2</c:v>
                </c:pt>
                <c:pt idx="59">
                  <c:v>3.5000000000000024E-2</c:v>
                </c:pt>
                <c:pt idx="60">
                  <c:v>3.5000000000000024E-2</c:v>
                </c:pt>
                <c:pt idx="61">
                  <c:v>3.5000000000000024E-2</c:v>
                </c:pt>
                <c:pt idx="62">
                  <c:v>3.5000000000000024E-2</c:v>
                </c:pt>
                <c:pt idx="63">
                  <c:v>3.5000000000000024E-2</c:v>
                </c:pt>
                <c:pt idx="64">
                  <c:v>3.5000000000000024E-2</c:v>
                </c:pt>
                <c:pt idx="65">
                  <c:v>3.5000000000000024E-2</c:v>
                </c:pt>
                <c:pt idx="66">
                  <c:v>3.5000000000000024E-2</c:v>
                </c:pt>
                <c:pt idx="67">
                  <c:v>3.5000000000000024E-2</c:v>
                </c:pt>
                <c:pt idx="68">
                  <c:v>3.5000000000000024E-2</c:v>
                </c:pt>
                <c:pt idx="69">
                  <c:v>3.5000000000000024E-2</c:v>
                </c:pt>
                <c:pt idx="70">
                  <c:v>3.5000000000000024E-2</c:v>
                </c:pt>
                <c:pt idx="71">
                  <c:v>3.5000000000000024E-2</c:v>
                </c:pt>
                <c:pt idx="72">
                  <c:v>3.5000000000000024E-2</c:v>
                </c:pt>
                <c:pt idx="73">
                  <c:v>3.5000000000000024E-2</c:v>
                </c:pt>
                <c:pt idx="74">
                  <c:v>3.5000000000000024E-2</c:v>
                </c:pt>
                <c:pt idx="75">
                  <c:v>3.5000000000000024E-2</c:v>
                </c:pt>
                <c:pt idx="76">
                  <c:v>3.5000000000000024E-2</c:v>
                </c:pt>
                <c:pt idx="77">
                  <c:v>3.5000000000000024E-2</c:v>
                </c:pt>
                <c:pt idx="78">
                  <c:v>3.5000000000000024E-2</c:v>
                </c:pt>
                <c:pt idx="79">
                  <c:v>3.5000000000000024E-2</c:v>
                </c:pt>
                <c:pt idx="80">
                  <c:v>3.5000000000000024E-2</c:v>
                </c:pt>
                <c:pt idx="81">
                  <c:v>3.5000000000000024E-2</c:v>
                </c:pt>
                <c:pt idx="82">
                  <c:v>3.5000000000000024E-2</c:v>
                </c:pt>
                <c:pt idx="83">
                  <c:v>3.5000000000000024E-2</c:v>
                </c:pt>
                <c:pt idx="84">
                  <c:v>3.5000000000000024E-2</c:v>
                </c:pt>
                <c:pt idx="85">
                  <c:v>3.5000000000000024E-2</c:v>
                </c:pt>
                <c:pt idx="86">
                  <c:v>3.5000000000000024E-2</c:v>
                </c:pt>
                <c:pt idx="87">
                  <c:v>3.5000000000000024E-2</c:v>
                </c:pt>
                <c:pt idx="88">
                  <c:v>3.5000000000000024E-2</c:v>
                </c:pt>
                <c:pt idx="89">
                  <c:v>3.5000000000000024E-2</c:v>
                </c:pt>
                <c:pt idx="90">
                  <c:v>3.5000000000000024E-2</c:v>
                </c:pt>
                <c:pt idx="91">
                  <c:v>3.5000000000000024E-2</c:v>
                </c:pt>
              </c:numCache>
            </c:numRef>
          </c:val>
        </c:ser>
        <c:marker val="1"/>
        <c:axId val="187836672"/>
        <c:axId val="187875328"/>
      </c:lineChart>
      <c:dateAx>
        <c:axId val="187836672"/>
        <c:scaling>
          <c:orientation val="minMax"/>
        </c:scaling>
        <c:axPos val="b"/>
        <c:numFmt formatCode="yyyy/m/d" sourceLinked="1"/>
        <c:tickLblPos val="nextTo"/>
        <c:crossAx val="187875328"/>
        <c:crosses val="autoZero"/>
        <c:auto val="1"/>
        <c:lblOffset val="100"/>
        <c:majorUnit val="7"/>
        <c:majorTimeUnit val="days"/>
      </c:dateAx>
      <c:valAx>
        <c:axId val="187875328"/>
        <c:scaling>
          <c:orientation val="minMax"/>
          <c:min val="3.0000000000000009E-2"/>
        </c:scaling>
        <c:axPos val="l"/>
        <c:majorGridlines/>
        <c:numFmt formatCode="0.0%" sourceLinked="0"/>
        <c:tickLblPos val="nextTo"/>
        <c:spPr>
          <a:ln>
            <a:prstDash val="sysDot"/>
          </a:ln>
        </c:spPr>
        <c:crossAx val="1878366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C9DC-A36B-4439-9F12-8BC1DB69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1123</Words>
  <Characters>6406</Characters>
  <Application>Microsoft Office Word</Application>
  <DocSecurity>0</DocSecurity>
  <Lines>53</Lines>
  <Paragraphs>15</Paragraphs>
  <ScaleCrop>false</ScaleCrop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闫思聪</dc:creator>
  <cp:keywords/>
  <dc:description/>
  <cp:lastModifiedBy>吴姗</cp:lastModifiedBy>
  <cp:revision>228</cp:revision>
  <cp:lastPrinted>2018-07-13T10:01:00Z</cp:lastPrinted>
  <dcterms:created xsi:type="dcterms:W3CDTF">2018-07-12T02:58:00Z</dcterms:created>
  <dcterms:modified xsi:type="dcterms:W3CDTF">2019-06-28T02:59:00Z</dcterms:modified>
</cp:coreProperties>
</file>