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10" w:rsidRPr="00AA6103" w:rsidRDefault="00E42B11" w:rsidP="00E42B11">
      <w:pPr>
        <w:jc w:val="center"/>
        <w:rPr>
          <w:rFonts w:ascii="Arial" w:eastAsia="宋体" w:hAnsi="Arial" w:cs="Arial"/>
          <w:b/>
          <w:sz w:val="32"/>
          <w:szCs w:val="32"/>
        </w:rPr>
      </w:pPr>
      <w:r w:rsidRPr="00AA6103">
        <w:rPr>
          <w:rFonts w:ascii="Arial" w:eastAsia="宋体" w:hAnsi="Arial" w:cs="Arial"/>
          <w:b/>
          <w:sz w:val="32"/>
          <w:szCs w:val="32"/>
        </w:rPr>
        <w:t>兴业银行</w:t>
      </w:r>
      <w:r w:rsidRPr="00AA6103">
        <w:rPr>
          <w:rFonts w:ascii="Arial" w:eastAsia="宋体" w:hAnsi="Arial" w:cs="Arial"/>
          <w:b/>
          <w:sz w:val="32"/>
          <w:szCs w:val="32"/>
        </w:rPr>
        <w:t>“</w:t>
      </w:r>
      <w:r w:rsidRPr="00AA6103">
        <w:rPr>
          <w:rFonts w:ascii="Arial" w:eastAsia="宋体" w:hAnsi="Arial" w:cs="Arial"/>
          <w:b/>
          <w:sz w:val="32"/>
          <w:szCs w:val="32"/>
        </w:rPr>
        <w:t>添利</w:t>
      </w:r>
      <w:r w:rsidRPr="00AA6103">
        <w:rPr>
          <w:rFonts w:ascii="Arial" w:eastAsia="宋体" w:hAnsi="Arial" w:cs="Arial"/>
          <w:b/>
          <w:sz w:val="32"/>
          <w:szCs w:val="32"/>
        </w:rPr>
        <w:t>1</w:t>
      </w:r>
      <w:r w:rsidRPr="00AA6103">
        <w:rPr>
          <w:rFonts w:ascii="Arial" w:eastAsia="宋体" w:hAnsi="Arial" w:cs="Arial"/>
          <w:b/>
          <w:sz w:val="32"/>
          <w:szCs w:val="32"/>
        </w:rPr>
        <w:t>号净值型理财产品</w:t>
      </w:r>
      <w:r w:rsidR="00D957E4" w:rsidRPr="00AA6103">
        <w:rPr>
          <w:rFonts w:ascii="Arial" w:eastAsia="宋体" w:hAnsi="Arial" w:cs="Arial"/>
          <w:b/>
          <w:sz w:val="32"/>
          <w:szCs w:val="32"/>
        </w:rPr>
        <w:t>”</w:t>
      </w:r>
    </w:p>
    <w:p w:rsidR="00E42B11" w:rsidRPr="00AA6103" w:rsidRDefault="004D6789" w:rsidP="00E42B11">
      <w:pPr>
        <w:jc w:val="center"/>
        <w:rPr>
          <w:rFonts w:ascii="Arial" w:eastAsia="宋体" w:hAnsi="Arial" w:cs="Arial"/>
          <w:b/>
          <w:sz w:val="32"/>
          <w:szCs w:val="32"/>
        </w:rPr>
      </w:pPr>
      <w:r w:rsidRPr="00AA6103">
        <w:rPr>
          <w:rFonts w:ascii="Arial" w:eastAsia="宋体" w:hAnsi="Arial" w:cs="Arial"/>
          <w:b/>
          <w:sz w:val="32"/>
          <w:szCs w:val="32"/>
        </w:rPr>
        <w:t>2019</w:t>
      </w:r>
      <w:r w:rsidR="00D957E4" w:rsidRPr="00AA6103">
        <w:rPr>
          <w:rFonts w:ascii="Arial" w:eastAsia="宋体" w:hAnsi="Arial" w:cs="Arial"/>
          <w:b/>
          <w:sz w:val="32"/>
          <w:szCs w:val="32"/>
        </w:rPr>
        <w:t>年第</w:t>
      </w:r>
      <w:r w:rsidR="000C7502" w:rsidRPr="00AA6103">
        <w:rPr>
          <w:rFonts w:ascii="Arial" w:eastAsia="宋体" w:hAnsi="Arial" w:cs="Arial"/>
          <w:b/>
          <w:sz w:val="32"/>
          <w:szCs w:val="32"/>
        </w:rPr>
        <w:t>1</w:t>
      </w:r>
      <w:r w:rsidR="00D957E4" w:rsidRPr="00AA6103">
        <w:rPr>
          <w:rFonts w:ascii="Arial" w:eastAsia="宋体" w:hAnsi="Arial" w:cs="Arial"/>
          <w:b/>
          <w:sz w:val="32"/>
          <w:szCs w:val="32"/>
        </w:rPr>
        <w:t>季度报告</w:t>
      </w:r>
    </w:p>
    <w:p w:rsidR="00D40EC5" w:rsidRPr="00AA6103" w:rsidRDefault="00D40EC5" w:rsidP="00E42B11">
      <w:pPr>
        <w:jc w:val="center"/>
        <w:rPr>
          <w:rFonts w:ascii="Arial" w:eastAsia="宋体" w:hAnsi="Arial" w:cs="Arial"/>
          <w:b/>
          <w:sz w:val="32"/>
          <w:szCs w:val="32"/>
        </w:rPr>
      </w:pPr>
      <w:r w:rsidRPr="00AA6103">
        <w:rPr>
          <w:rFonts w:ascii="Arial" w:eastAsia="宋体" w:hAnsi="Arial" w:cs="Arial"/>
          <w:b/>
          <w:sz w:val="32"/>
          <w:szCs w:val="32"/>
        </w:rPr>
        <w:t>2019</w:t>
      </w:r>
      <w:r w:rsidRPr="00AA6103">
        <w:rPr>
          <w:rFonts w:ascii="Arial" w:eastAsia="宋体" w:hAnsi="Arial" w:cs="Arial"/>
          <w:b/>
          <w:sz w:val="32"/>
          <w:szCs w:val="32"/>
        </w:rPr>
        <w:t>年</w:t>
      </w:r>
      <w:r w:rsidRPr="00AA6103">
        <w:rPr>
          <w:rFonts w:ascii="Arial" w:eastAsia="宋体" w:hAnsi="Arial" w:cs="Arial"/>
          <w:b/>
          <w:sz w:val="32"/>
          <w:szCs w:val="32"/>
        </w:rPr>
        <w:t>3</w:t>
      </w:r>
      <w:r w:rsidRPr="00AA6103">
        <w:rPr>
          <w:rFonts w:ascii="Arial" w:eastAsia="宋体" w:hAnsi="Arial" w:cs="Arial"/>
          <w:b/>
          <w:sz w:val="32"/>
          <w:szCs w:val="32"/>
        </w:rPr>
        <w:t>月</w:t>
      </w:r>
      <w:r w:rsidRPr="00AA6103">
        <w:rPr>
          <w:rFonts w:ascii="Arial" w:eastAsia="宋体" w:hAnsi="Arial" w:cs="Arial"/>
          <w:b/>
          <w:sz w:val="32"/>
          <w:szCs w:val="32"/>
        </w:rPr>
        <w:t>31</w:t>
      </w:r>
      <w:r w:rsidRPr="00AA6103">
        <w:rPr>
          <w:rFonts w:ascii="Arial" w:eastAsia="宋体" w:hAnsi="Arial" w:cs="Arial"/>
          <w:b/>
          <w:sz w:val="32"/>
          <w:szCs w:val="32"/>
        </w:rPr>
        <w:t>日</w:t>
      </w:r>
    </w:p>
    <w:p w:rsidR="00D816AF" w:rsidRPr="00AA6103" w:rsidRDefault="00D816AF" w:rsidP="00774489">
      <w:pPr>
        <w:pStyle w:val="aa"/>
        <w:numPr>
          <w:ilvl w:val="0"/>
          <w:numId w:val="1"/>
        </w:numPr>
        <w:ind w:firstLineChars="0"/>
        <w:outlineLvl w:val="0"/>
        <w:rPr>
          <w:rFonts w:ascii="Arial" w:eastAsia="宋体" w:hAnsi="Arial" w:cs="Arial"/>
          <w:b/>
          <w:sz w:val="32"/>
          <w:szCs w:val="32"/>
        </w:rPr>
      </w:pPr>
      <w:bookmarkStart w:id="0" w:name="_Toc5698044"/>
      <w:bookmarkStart w:id="1" w:name="_Toc6840209"/>
      <w:r w:rsidRPr="00AA6103">
        <w:rPr>
          <w:rFonts w:ascii="Arial" w:eastAsia="宋体" w:hAnsi="Arial" w:cs="Arial"/>
          <w:b/>
          <w:sz w:val="32"/>
          <w:szCs w:val="32"/>
        </w:rPr>
        <w:t>目录</w:t>
      </w:r>
      <w:bookmarkEnd w:id="0"/>
      <w:bookmarkEnd w:id="1"/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r w:rsidRPr="001D1969">
        <w:rPr>
          <w:rFonts w:ascii="Arial" w:eastAsia="宋体" w:hAnsi="Arial" w:cs="Arial"/>
          <w:b w:val="0"/>
          <w:sz w:val="32"/>
          <w:szCs w:val="32"/>
        </w:rPr>
        <w:fldChar w:fldCharType="begin"/>
      </w:r>
      <w:r w:rsidR="00F91201" w:rsidRPr="00AA6103">
        <w:rPr>
          <w:rFonts w:ascii="Arial" w:eastAsia="宋体" w:hAnsi="Arial" w:cs="Arial"/>
          <w:b w:val="0"/>
          <w:sz w:val="32"/>
          <w:szCs w:val="32"/>
        </w:rPr>
        <w:instrText xml:space="preserve"> TOC \o "1-3" \h \z \u </w:instrText>
      </w:r>
      <w:r w:rsidRPr="001D1969">
        <w:rPr>
          <w:rFonts w:ascii="Arial" w:eastAsia="宋体" w:hAnsi="Arial" w:cs="Arial"/>
          <w:b w:val="0"/>
          <w:sz w:val="32"/>
          <w:szCs w:val="32"/>
        </w:rPr>
        <w:fldChar w:fldCharType="separate"/>
      </w:r>
      <w:hyperlink w:anchor="_Toc6840209" w:history="1">
        <w:r w:rsidR="00BF4382" w:rsidRPr="00EA676E">
          <w:rPr>
            <w:rStyle w:val="ab"/>
            <w:rFonts w:ascii="Arial" w:eastAsia="宋体" w:hAnsi="Arial" w:cs="Arial" w:hint="eastAsia"/>
            <w:noProof/>
          </w:rPr>
          <w:t>一．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eastAsia="宋体" w:hAnsi="Arial" w:cs="Arial" w:hint="eastAsia"/>
            <w:noProof/>
          </w:rPr>
          <w:t>目录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6840210" w:history="1">
        <w:r w:rsidR="00BF4382" w:rsidRPr="00EA676E">
          <w:rPr>
            <w:rStyle w:val="ab"/>
            <w:rFonts w:ascii="Arial" w:eastAsia="宋体" w:hAnsi="Arial" w:cs="Arial" w:hint="eastAsia"/>
            <w:noProof/>
          </w:rPr>
          <w:t>二．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重要提示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6840211" w:history="1">
        <w:r w:rsidR="00BF4382" w:rsidRPr="00EA676E">
          <w:rPr>
            <w:rStyle w:val="ab"/>
            <w:rFonts w:ascii="Arial" w:eastAsia="宋体" w:hAnsi="Arial" w:cs="Arial" w:hint="eastAsia"/>
            <w:noProof/>
          </w:rPr>
          <w:t>三．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产品基本情况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6840212" w:history="1">
        <w:r w:rsidR="00BF4382" w:rsidRPr="00EA676E">
          <w:rPr>
            <w:rStyle w:val="ab"/>
            <w:rFonts w:ascii="Arial" w:hAnsi="Arial" w:cs="Arial" w:hint="eastAsia"/>
            <w:noProof/>
          </w:rPr>
          <w:t>四．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产品收益表现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6840213" w:history="1">
        <w:r w:rsidR="00BF4382" w:rsidRPr="00EA676E">
          <w:rPr>
            <w:rStyle w:val="ab"/>
            <w:rFonts w:ascii="Arial" w:hAnsi="Arial" w:cs="Arial" w:hint="eastAsia"/>
            <w:noProof/>
          </w:rPr>
          <w:t>五．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报告期内产品的投资策略和运作分析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6840214" w:history="1">
        <w:r w:rsidR="00BF4382" w:rsidRPr="00EA676E">
          <w:rPr>
            <w:rStyle w:val="ab"/>
            <w:rFonts w:ascii="Arial" w:hAnsi="Arial" w:cs="Arial" w:hint="eastAsia"/>
            <w:noProof/>
          </w:rPr>
          <w:t>六．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/>
            <w:noProof/>
          </w:rPr>
          <w:t>2019</w:t>
        </w:r>
        <w:r w:rsidR="00BF4382" w:rsidRPr="00EA676E">
          <w:rPr>
            <w:rStyle w:val="ab"/>
            <w:rFonts w:ascii="Arial" w:hAnsi="Arial" w:cs="Arial" w:hint="eastAsia"/>
            <w:noProof/>
          </w:rPr>
          <w:t>年第</w:t>
        </w:r>
        <w:r w:rsidR="00BF4382" w:rsidRPr="00EA676E">
          <w:rPr>
            <w:rStyle w:val="ab"/>
            <w:rFonts w:ascii="Arial" w:hAnsi="Arial" w:cs="Arial"/>
            <w:noProof/>
          </w:rPr>
          <w:t>1</w:t>
        </w:r>
        <w:r w:rsidR="00BF4382" w:rsidRPr="00EA676E">
          <w:rPr>
            <w:rStyle w:val="ab"/>
            <w:rFonts w:ascii="Arial" w:hAnsi="Arial" w:cs="Arial" w:hint="eastAsia"/>
            <w:noProof/>
          </w:rPr>
          <w:t>季度财务会计报告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15" w:history="1">
        <w:r w:rsidR="00BF4382" w:rsidRPr="00EA676E">
          <w:rPr>
            <w:rStyle w:val="ab"/>
            <w:rFonts w:ascii="Arial" w:hAnsi="Arial" w:cs="Arial"/>
            <w:noProof/>
          </w:rPr>
          <w:t>1.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资产负债表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16" w:history="1">
        <w:r w:rsidR="00BF4382" w:rsidRPr="00EA676E">
          <w:rPr>
            <w:rStyle w:val="ab"/>
            <w:rFonts w:ascii="Arial" w:hAnsi="Arial" w:cs="Arial"/>
            <w:noProof/>
          </w:rPr>
          <w:t>2.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利润表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17" w:history="1">
        <w:r w:rsidR="00BF4382" w:rsidRPr="00EA676E">
          <w:rPr>
            <w:rStyle w:val="ab"/>
            <w:rFonts w:ascii="Arial" w:hAnsi="Arial" w:cs="Arial"/>
            <w:noProof/>
          </w:rPr>
          <w:t>3.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所有者权益（产品净值）变动表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10"/>
        <w:tabs>
          <w:tab w:val="left" w:pos="840"/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6840218" w:history="1">
        <w:r w:rsidR="00BF4382" w:rsidRPr="00EA676E">
          <w:rPr>
            <w:rStyle w:val="ab"/>
            <w:rFonts w:ascii="Arial" w:hAnsi="Arial" w:cs="Arial" w:hint="eastAsia"/>
            <w:noProof/>
          </w:rPr>
          <w:t>七．</w:t>
        </w:r>
        <w:r w:rsidR="00BF4382">
          <w:rPr>
            <w:rFonts w:asciiTheme="minorHAnsi" w:hAnsiTheme="minorHAnsi"/>
            <w:b w:val="0"/>
            <w:bCs w:val="0"/>
            <w:cap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投资组合情况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19" w:history="1">
        <w:r w:rsidR="00BF4382" w:rsidRPr="00EA676E">
          <w:rPr>
            <w:rStyle w:val="ab"/>
            <w:rFonts w:ascii="Arial" w:hAnsi="Arial" w:cs="Arial"/>
            <w:noProof/>
          </w:rPr>
          <w:t>1.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报告期末产品资产组合情况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20" w:history="1">
        <w:r w:rsidR="00BF4382" w:rsidRPr="00EA676E">
          <w:rPr>
            <w:rStyle w:val="ab"/>
            <w:rFonts w:ascii="Arial" w:hAnsi="Arial" w:cs="Arial"/>
            <w:noProof/>
          </w:rPr>
          <w:t>2.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报告期末杠杆融资情况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21" w:history="1">
        <w:r w:rsidR="00BF4382" w:rsidRPr="00EA676E">
          <w:rPr>
            <w:rStyle w:val="ab"/>
            <w:rFonts w:ascii="Arial" w:hAnsi="Arial" w:cs="Arial"/>
            <w:noProof/>
          </w:rPr>
          <w:t>3.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报告期末投资组合平均剩余期限分布比例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4382" w:rsidRDefault="001D1969">
      <w:pPr>
        <w:pStyle w:val="2"/>
        <w:tabs>
          <w:tab w:val="left" w:pos="420"/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6840222" w:history="1">
        <w:r w:rsidR="00BF4382" w:rsidRPr="00EA676E">
          <w:rPr>
            <w:rStyle w:val="ab"/>
            <w:rFonts w:ascii="Arial" w:hAnsi="Arial" w:cs="Arial"/>
            <w:noProof/>
          </w:rPr>
          <w:t>4.</w:t>
        </w:r>
        <w:r w:rsidR="00BF4382">
          <w:rPr>
            <w:b w:val="0"/>
            <w:bCs w:val="0"/>
            <w:noProof/>
            <w:sz w:val="21"/>
            <w:szCs w:val="22"/>
          </w:rPr>
          <w:tab/>
        </w:r>
        <w:r w:rsidR="00BF4382" w:rsidRPr="00EA676E">
          <w:rPr>
            <w:rStyle w:val="ab"/>
            <w:rFonts w:ascii="Arial" w:hAnsi="Arial" w:cs="Arial" w:hint="eastAsia"/>
            <w:noProof/>
          </w:rPr>
          <w:t>报告期末持仓占比前十资产投资明细</w:t>
        </w:r>
        <w:r w:rsidR="00BF438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82">
          <w:rPr>
            <w:noProof/>
            <w:webHidden/>
          </w:rPr>
          <w:instrText xml:space="preserve"> PAGEREF _Toc6840222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38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53DB6" w:rsidRPr="00AA6103" w:rsidRDefault="001D1969" w:rsidP="00353DB6">
      <w:pPr>
        <w:pStyle w:val="aa"/>
        <w:ind w:left="720" w:firstLineChars="0" w:firstLine="0"/>
        <w:rPr>
          <w:rFonts w:ascii="Arial" w:eastAsia="宋体" w:hAnsi="Arial" w:cs="Arial"/>
          <w:b/>
          <w:sz w:val="32"/>
          <w:szCs w:val="32"/>
        </w:rPr>
      </w:pPr>
      <w:r w:rsidRPr="00AA6103">
        <w:rPr>
          <w:rFonts w:ascii="Arial" w:eastAsia="宋体" w:hAnsi="Arial" w:cs="Arial"/>
          <w:b/>
          <w:sz w:val="32"/>
          <w:szCs w:val="32"/>
        </w:rPr>
        <w:fldChar w:fldCharType="end"/>
      </w:r>
    </w:p>
    <w:p w:rsidR="00D957E4" w:rsidRPr="00AA6103" w:rsidRDefault="005B1AFF" w:rsidP="00774489">
      <w:pPr>
        <w:pStyle w:val="aa"/>
        <w:numPr>
          <w:ilvl w:val="0"/>
          <w:numId w:val="1"/>
        </w:numPr>
        <w:ind w:firstLineChars="0"/>
        <w:outlineLvl w:val="0"/>
        <w:rPr>
          <w:rFonts w:ascii="Arial" w:eastAsia="宋体" w:hAnsi="Arial" w:cs="Arial"/>
          <w:b/>
          <w:sz w:val="32"/>
          <w:szCs w:val="32"/>
        </w:rPr>
      </w:pPr>
      <w:bookmarkStart w:id="2" w:name="_Toc6840210"/>
      <w:r w:rsidRPr="00AA6103">
        <w:rPr>
          <w:rFonts w:ascii="Arial" w:hAnsi="Arial" w:cs="Arial"/>
          <w:b/>
          <w:sz w:val="30"/>
          <w:szCs w:val="30"/>
        </w:rPr>
        <w:t>重要提示</w:t>
      </w:r>
      <w:bookmarkEnd w:id="2"/>
    </w:p>
    <w:p w:rsidR="005B1AFF" w:rsidRPr="00AA6103" w:rsidRDefault="005B1AFF" w:rsidP="005B1AFF">
      <w:pPr>
        <w:pStyle w:val="aa"/>
        <w:ind w:left="720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AA6103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AA6103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5B1AFF" w:rsidRPr="00AA6103" w:rsidRDefault="005B1AFF" w:rsidP="005B1AFF">
      <w:pPr>
        <w:pStyle w:val="aa"/>
        <w:ind w:left="720" w:firstLineChars="0" w:firstLine="0"/>
        <w:rPr>
          <w:rFonts w:ascii="Arial" w:eastAsia="宋体" w:hAnsi="Arial" w:cs="Arial"/>
          <w:sz w:val="30"/>
          <w:szCs w:val="30"/>
        </w:rPr>
      </w:pPr>
      <w:r w:rsidRPr="00AA6103">
        <w:rPr>
          <w:rFonts w:ascii="Arial" w:eastAsia="宋体" w:hAnsi="Arial" w:cs="Arial"/>
          <w:sz w:val="30"/>
          <w:szCs w:val="30"/>
        </w:rPr>
        <w:t>2.</w:t>
      </w:r>
      <w:r w:rsidRPr="00AA6103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AA6103">
        <w:rPr>
          <w:rFonts w:ascii="Arial" w:eastAsia="宋体" w:hAnsi="Arial" w:cs="Arial"/>
          <w:sz w:val="30"/>
          <w:szCs w:val="30"/>
        </w:rPr>
        <w:t>“</w:t>
      </w:r>
      <w:r w:rsidRPr="00AA6103">
        <w:rPr>
          <w:rFonts w:ascii="Arial" w:eastAsia="宋体" w:hAnsi="Arial" w:cs="Arial"/>
          <w:sz w:val="30"/>
          <w:szCs w:val="30"/>
        </w:rPr>
        <w:t>中国理</w:t>
      </w:r>
      <w:r w:rsidRPr="00AA6103">
        <w:rPr>
          <w:rFonts w:ascii="Arial" w:eastAsia="宋体" w:hAnsi="Arial" w:cs="Arial"/>
          <w:sz w:val="30"/>
          <w:szCs w:val="30"/>
        </w:rPr>
        <w:lastRenderedPageBreak/>
        <w:t>财网（</w:t>
      </w:r>
      <w:r w:rsidRPr="00AA6103">
        <w:rPr>
          <w:rFonts w:ascii="Arial" w:eastAsia="宋体" w:hAnsi="Arial" w:cs="Arial"/>
          <w:sz w:val="30"/>
          <w:szCs w:val="30"/>
        </w:rPr>
        <w:t>www.chinawealth.com.cn</w:t>
      </w:r>
      <w:r w:rsidRPr="00AA6103">
        <w:rPr>
          <w:rFonts w:ascii="Arial" w:eastAsia="宋体" w:hAnsi="Arial" w:cs="Arial"/>
          <w:sz w:val="30"/>
          <w:szCs w:val="30"/>
        </w:rPr>
        <w:t>）</w:t>
      </w:r>
      <w:r w:rsidRPr="00AA6103">
        <w:rPr>
          <w:rFonts w:ascii="Arial" w:eastAsia="宋体" w:hAnsi="Arial" w:cs="Arial"/>
          <w:sz w:val="30"/>
          <w:szCs w:val="30"/>
        </w:rPr>
        <w:t>”</w:t>
      </w:r>
      <w:r w:rsidRPr="00AA6103">
        <w:rPr>
          <w:rFonts w:ascii="Arial" w:eastAsia="宋体" w:hAnsi="Arial" w:cs="Arial"/>
          <w:sz w:val="30"/>
          <w:szCs w:val="30"/>
        </w:rPr>
        <w:t>查询该产品相关信息。</w:t>
      </w:r>
    </w:p>
    <w:p w:rsidR="005B1AFF" w:rsidRPr="00AA6103" w:rsidRDefault="005B1AFF" w:rsidP="005B1AFF">
      <w:pPr>
        <w:pStyle w:val="aa"/>
        <w:ind w:left="720" w:firstLineChars="0" w:firstLine="0"/>
        <w:rPr>
          <w:rFonts w:ascii="Arial" w:eastAsia="宋体" w:hAnsi="Arial" w:cs="Arial"/>
          <w:sz w:val="30"/>
          <w:szCs w:val="30"/>
        </w:rPr>
      </w:pPr>
      <w:r w:rsidRPr="00AA6103">
        <w:rPr>
          <w:rFonts w:ascii="Arial" w:eastAsia="宋体" w:hAnsi="Arial" w:cs="Arial"/>
          <w:sz w:val="30"/>
          <w:szCs w:val="30"/>
        </w:rPr>
        <w:t>3.</w:t>
      </w:r>
      <w:r w:rsidRPr="00AA6103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5B1AFF" w:rsidRPr="00AA6103" w:rsidRDefault="005B1AFF" w:rsidP="005B1AFF">
      <w:pPr>
        <w:pStyle w:val="aa"/>
        <w:ind w:firstLine="643"/>
        <w:rPr>
          <w:rFonts w:ascii="Arial" w:eastAsia="宋体" w:hAnsi="Arial" w:cs="Arial"/>
          <w:b/>
          <w:sz w:val="32"/>
          <w:szCs w:val="32"/>
        </w:rPr>
      </w:pPr>
    </w:p>
    <w:p w:rsidR="005B1AFF" w:rsidRPr="00AA6103" w:rsidRDefault="005B1AFF" w:rsidP="005B1AFF">
      <w:pPr>
        <w:pStyle w:val="aa"/>
        <w:numPr>
          <w:ilvl w:val="0"/>
          <w:numId w:val="1"/>
        </w:numPr>
        <w:ind w:firstLineChars="0"/>
        <w:outlineLvl w:val="0"/>
        <w:rPr>
          <w:rFonts w:ascii="Arial" w:eastAsia="宋体" w:hAnsi="Arial" w:cs="Arial"/>
          <w:b/>
          <w:sz w:val="32"/>
          <w:szCs w:val="32"/>
        </w:rPr>
      </w:pPr>
      <w:bookmarkStart w:id="3" w:name="_Toc6840211"/>
      <w:r w:rsidRPr="00AA6103">
        <w:rPr>
          <w:rFonts w:ascii="Arial" w:hAnsi="Arial" w:cs="Arial"/>
          <w:b/>
          <w:sz w:val="30"/>
          <w:szCs w:val="30"/>
        </w:rPr>
        <w:t>产品基本情况</w:t>
      </w:r>
      <w:bookmarkEnd w:id="3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AA6103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添利</w:t>
            </w: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1</w:t>
            </w: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号净值型理财产品</w:t>
            </w:r>
          </w:p>
        </w:tc>
      </w:tr>
      <w:tr w:rsidR="00DD6476" w:rsidRPr="00AA610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90318011</w:t>
            </w:r>
          </w:p>
        </w:tc>
      </w:tr>
      <w:tr w:rsidR="00DD6476" w:rsidRPr="00AA6103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C1030918000502</w:t>
            </w:r>
          </w:p>
        </w:tc>
      </w:tr>
      <w:tr w:rsidR="00DD6476" w:rsidRPr="00AA610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T+0</w:t>
            </w: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开放式</w:t>
            </w:r>
          </w:p>
        </w:tc>
      </w:tr>
      <w:tr w:rsidR="00DD6476" w:rsidRPr="00AA610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E11955" w:rsidP="00E11955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226,771,146,500.96</w:t>
            </w:r>
            <w:r w:rsidR="00DD6476"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份</w:t>
            </w:r>
            <w:r w:rsidR="00DD6476"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D6476" w:rsidRPr="00AA6103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在保持理财资产的低风险和高流动性的前提下，力争实现超越业绩比较基准的投资回报。</w:t>
            </w:r>
          </w:p>
        </w:tc>
      </w:tr>
      <w:tr w:rsidR="00DD6476" w:rsidRPr="00AA6103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DD6476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本产品将遵循安全性和流动性优先原则，通过对宏观经济、政策环境、市场状况和资金供求的深入分析，在严格控制风险的前提下，主动构建及调整投资组合，力争获取超额收益。</w:t>
            </w:r>
          </w:p>
        </w:tc>
      </w:tr>
      <w:tr w:rsidR="00DD6476" w:rsidRPr="00AA610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6A5F01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当前</w:t>
            </w:r>
            <w:r w:rsidR="00DD6476"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业绩</w:t>
            </w:r>
            <w:proofErr w:type="gramEnd"/>
            <w:r w:rsidR="00DD6476"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AA6103" w:rsidRDefault="00682D6D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人民银行</w:t>
            </w: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7</w:t>
            </w: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天通知存款利率</w:t>
            </w:r>
            <w:r w:rsidR="00660FDC"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(1.35%)+2.1</w:t>
            </w: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5%</w:t>
            </w:r>
            <w:r w:rsidR="000775FC"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=3.5%</w:t>
            </w:r>
          </w:p>
        </w:tc>
      </w:tr>
      <w:tr w:rsidR="00545CE3" w:rsidRPr="00AA610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AA6103" w:rsidRDefault="00545CE3" w:rsidP="00353DB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AA6103" w:rsidRDefault="00545CE3" w:rsidP="00353DB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本产品具有低风险、高流动性的特征。</w:t>
            </w:r>
          </w:p>
        </w:tc>
      </w:tr>
      <w:tr w:rsidR="00545CE3" w:rsidRPr="00AA6103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AA6103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AA6103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  <w:tr w:rsidR="00545CE3" w:rsidRPr="00AA6103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AA6103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AA6103" w:rsidRDefault="00545CE3" w:rsidP="00DD6476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</w:tbl>
    <w:p w:rsidR="00D816AF" w:rsidRPr="00AA6103" w:rsidRDefault="00D816AF" w:rsidP="00921320">
      <w:pPr>
        <w:tabs>
          <w:tab w:val="left" w:pos="5565"/>
        </w:tabs>
        <w:rPr>
          <w:rFonts w:ascii="Arial" w:hAnsi="Arial" w:cs="Arial"/>
          <w:sz w:val="30"/>
          <w:szCs w:val="30"/>
        </w:rPr>
      </w:pPr>
    </w:p>
    <w:p w:rsidR="00D957E4" w:rsidRPr="00AA6103" w:rsidRDefault="005978D1" w:rsidP="00774489">
      <w:pPr>
        <w:pStyle w:val="aa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4" w:name="_Toc5698046"/>
      <w:bookmarkStart w:id="5" w:name="_Toc6840212"/>
      <w:r w:rsidRPr="00AA6103">
        <w:rPr>
          <w:rFonts w:ascii="Arial" w:hAnsi="Arial" w:cs="Arial"/>
          <w:b/>
          <w:sz w:val="30"/>
          <w:szCs w:val="30"/>
        </w:rPr>
        <w:t>产品收益表现</w:t>
      </w:r>
      <w:bookmarkEnd w:id="4"/>
      <w:bookmarkEnd w:id="5"/>
      <w:r w:rsidR="00921320" w:rsidRPr="00AA6103">
        <w:rPr>
          <w:rFonts w:ascii="Arial" w:hAnsi="Arial" w:cs="Arial"/>
          <w:sz w:val="30"/>
          <w:szCs w:val="30"/>
        </w:rPr>
        <w:tab/>
      </w:r>
    </w:p>
    <w:p w:rsidR="000447A7" w:rsidRPr="00AA6103" w:rsidRDefault="00765D1B" w:rsidP="003C6D13">
      <w:pPr>
        <w:ind w:firstLineChars="200" w:firstLine="600"/>
        <w:rPr>
          <w:rFonts w:ascii="Arial" w:hAnsi="Arial" w:cs="Arial"/>
          <w:sz w:val="30"/>
          <w:szCs w:val="30"/>
        </w:rPr>
      </w:pPr>
      <w:r w:rsidRPr="00AA6103">
        <w:rPr>
          <w:rFonts w:ascii="Arial" w:hAnsi="Arial" w:cs="Arial"/>
          <w:sz w:val="30"/>
          <w:szCs w:val="30"/>
        </w:rPr>
        <w:t>报告期内，本产品</w:t>
      </w:r>
      <w:proofErr w:type="gramStart"/>
      <w:r w:rsidRPr="00AA6103">
        <w:rPr>
          <w:rFonts w:ascii="Arial" w:hAnsi="Arial" w:cs="Arial"/>
          <w:sz w:val="30"/>
          <w:szCs w:val="30"/>
        </w:rPr>
        <w:t>七日年化收益率</w:t>
      </w:r>
      <w:proofErr w:type="gramEnd"/>
      <w:r w:rsidRPr="00AA6103">
        <w:rPr>
          <w:rFonts w:ascii="Arial" w:hAnsi="Arial" w:cs="Arial"/>
          <w:sz w:val="30"/>
          <w:szCs w:val="30"/>
        </w:rPr>
        <w:t>均值</w:t>
      </w:r>
      <w:r w:rsidR="00EE4D47" w:rsidRPr="00AA6103">
        <w:rPr>
          <w:rFonts w:ascii="Arial" w:hAnsi="Arial" w:cs="Arial"/>
          <w:sz w:val="30"/>
          <w:szCs w:val="30"/>
        </w:rPr>
        <w:t>3.91</w:t>
      </w:r>
      <w:r w:rsidRPr="00AA6103">
        <w:rPr>
          <w:rFonts w:ascii="Arial" w:hAnsi="Arial" w:cs="Arial"/>
          <w:sz w:val="30"/>
          <w:szCs w:val="30"/>
        </w:rPr>
        <w:t>%</w:t>
      </w:r>
      <w:r w:rsidRPr="00AA6103">
        <w:rPr>
          <w:rFonts w:ascii="Arial" w:hAnsi="Arial" w:cs="Arial"/>
          <w:sz w:val="30"/>
          <w:szCs w:val="30"/>
        </w:rPr>
        <w:t>，同期业绩比较基准</w:t>
      </w:r>
      <w:r w:rsidR="000447A7" w:rsidRPr="00AA6103">
        <w:rPr>
          <w:rFonts w:ascii="Arial" w:hAnsi="Arial" w:cs="Arial"/>
          <w:sz w:val="30"/>
          <w:szCs w:val="30"/>
        </w:rPr>
        <w:t>如下：</w:t>
      </w:r>
    </w:p>
    <w:tbl>
      <w:tblPr>
        <w:tblW w:w="7800" w:type="dxa"/>
        <w:jc w:val="center"/>
        <w:tblInd w:w="93" w:type="dxa"/>
        <w:tblLook w:val="04A0"/>
      </w:tblPr>
      <w:tblGrid>
        <w:gridCol w:w="2460"/>
        <w:gridCol w:w="5340"/>
      </w:tblGrid>
      <w:tr w:rsidR="000447A7" w:rsidRPr="00AA6103" w:rsidTr="000447A7">
        <w:trPr>
          <w:trHeight w:val="27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AA6103" w:rsidRDefault="00F133DC" w:rsidP="000447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适用期间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AA6103" w:rsidRDefault="000447A7" w:rsidP="000447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业绩比较基准</w:t>
            </w:r>
          </w:p>
        </w:tc>
      </w:tr>
      <w:tr w:rsidR="000447A7" w:rsidRPr="00AA6103" w:rsidTr="000447A7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AA6103" w:rsidRDefault="0076122B" w:rsidP="00EE4D4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</w:t>
            </w:r>
            <w:r w:rsidR="00EE4D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</w:t>
            </w:r>
            <w:r w:rsidR="00EE4D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.1-201</w:t>
            </w:r>
            <w:r w:rsidR="00EE4D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9.3</w:t>
            </w:r>
            <w:r w:rsidR="000447A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.3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AA6103" w:rsidRDefault="000447A7" w:rsidP="000447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人民银行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天通知存款利率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(1.35%)+2.15%=3.5%</w:t>
            </w:r>
          </w:p>
        </w:tc>
      </w:tr>
    </w:tbl>
    <w:p w:rsidR="000447A7" w:rsidRPr="00AA6103" w:rsidRDefault="00482A89" w:rsidP="00D957E4">
      <w:pPr>
        <w:rPr>
          <w:rFonts w:ascii="Arial" w:eastAsia="宋体" w:hAnsi="Arial" w:cs="Arial"/>
          <w:sz w:val="24"/>
          <w:szCs w:val="24"/>
        </w:rPr>
      </w:pPr>
      <w:r w:rsidRPr="00AA6103">
        <w:rPr>
          <w:rFonts w:ascii="Arial" w:eastAsia="宋体" w:hAnsi="Arial" w:cs="Arial"/>
          <w:noProof/>
          <w:sz w:val="24"/>
          <w:szCs w:val="24"/>
        </w:rPr>
        <w:lastRenderedPageBreak/>
        <w:drawing>
          <wp:inline distT="0" distB="0" distL="0" distR="0">
            <wp:extent cx="5274310" cy="2397858"/>
            <wp:effectExtent l="19050" t="0" r="21590" b="2442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47A7" w:rsidRPr="00AA6103" w:rsidRDefault="000447A7" w:rsidP="000447A7">
      <w:pPr>
        <w:jc w:val="center"/>
        <w:rPr>
          <w:rFonts w:ascii="Arial" w:eastAsia="宋体" w:hAnsi="Arial" w:cs="Arial"/>
          <w:sz w:val="24"/>
          <w:szCs w:val="24"/>
        </w:rPr>
      </w:pPr>
      <w:r w:rsidRPr="00AA6103">
        <w:rPr>
          <w:rFonts w:ascii="Arial" w:eastAsia="宋体" w:hAnsi="Arial" w:cs="Arial"/>
          <w:sz w:val="24"/>
          <w:szCs w:val="24"/>
        </w:rPr>
        <w:t>添利</w:t>
      </w:r>
      <w:r w:rsidRPr="00AA6103">
        <w:rPr>
          <w:rFonts w:ascii="Arial" w:eastAsia="宋体" w:hAnsi="Arial" w:cs="Arial"/>
          <w:sz w:val="24"/>
          <w:szCs w:val="24"/>
        </w:rPr>
        <w:t>1</w:t>
      </w:r>
      <w:r w:rsidRPr="00AA6103">
        <w:rPr>
          <w:rFonts w:ascii="Arial" w:eastAsia="宋体" w:hAnsi="Arial" w:cs="Arial"/>
          <w:sz w:val="24"/>
          <w:szCs w:val="24"/>
        </w:rPr>
        <w:t>号净值型理财产品</w:t>
      </w:r>
      <w:proofErr w:type="gramStart"/>
      <w:r w:rsidRPr="00AA6103">
        <w:rPr>
          <w:rFonts w:ascii="Arial" w:eastAsia="宋体" w:hAnsi="Arial" w:cs="Arial"/>
          <w:sz w:val="24"/>
          <w:szCs w:val="24"/>
        </w:rPr>
        <w:t>七日年化收益率</w:t>
      </w:r>
      <w:proofErr w:type="gramEnd"/>
      <w:r w:rsidRPr="00AA6103">
        <w:rPr>
          <w:rFonts w:ascii="Arial" w:eastAsia="宋体" w:hAnsi="Arial" w:cs="Arial"/>
          <w:sz w:val="24"/>
          <w:szCs w:val="24"/>
        </w:rPr>
        <w:t>与业绩比较基准对比图</w:t>
      </w:r>
    </w:p>
    <w:p w:rsidR="00D816AF" w:rsidRPr="00AA6103" w:rsidRDefault="00D816AF" w:rsidP="00D816AF">
      <w:pPr>
        <w:ind w:firstLine="42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报告期末，产品收益具体如下：</w:t>
      </w:r>
    </w:p>
    <w:tbl>
      <w:tblPr>
        <w:tblW w:w="7117" w:type="dxa"/>
        <w:jc w:val="center"/>
        <w:tblInd w:w="93" w:type="dxa"/>
        <w:tblLook w:val="04A0"/>
      </w:tblPr>
      <w:tblGrid>
        <w:gridCol w:w="1415"/>
        <w:gridCol w:w="1252"/>
        <w:gridCol w:w="2089"/>
        <w:gridCol w:w="2361"/>
      </w:tblGrid>
      <w:tr w:rsidR="00D816AF" w:rsidRPr="00AA6103" w:rsidTr="00353DB6">
        <w:trPr>
          <w:trHeight w:val="546"/>
          <w:jc w:val="center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353DB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353DB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万份收益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353DB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proofErr w:type="gramStart"/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七日年化收益率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353DB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D816AF" w:rsidRPr="00AA6103" w:rsidTr="00353DB6">
        <w:trPr>
          <w:trHeight w:val="281"/>
          <w:jc w:val="center"/>
        </w:trPr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D816AF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353DB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2"/>
              </w:rPr>
              <w:t>1.071500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353DB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2"/>
              </w:rPr>
              <w:t>3.8710%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6AF" w:rsidRPr="00AA6103" w:rsidRDefault="00D816AF" w:rsidP="00D816AF">
            <w:pPr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2"/>
              </w:rPr>
              <w:t>226,771,146,500.96</w:t>
            </w:r>
          </w:p>
        </w:tc>
      </w:tr>
    </w:tbl>
    <w:p w:rsidR="00D816AF" w:rsidRPr="00AA6103" w:rsidRDefault="00D816AF" w:rsidP="000447A7">
      <w:pPr>
        <w:jc w:val="center"/>
        <w:rPr>
          <w:rFonts w:ascii="Arial" w:eastAsia="宋体" w:hAnsi="Arial" w:cs="Arial"/>
          <w:sz w:val="24"/>
          <w:szCs w:val="24"/>
        </w:rPr>
      </w:pPr>
    </w:p>
    <w:p w:rsidR="005978D1" w:rsidRPr="00AA6103" w:rsidRDefault="001F2ACD" w:rsidP="00774489">
      <w:pPr>
        <w:pStyle w:val="aa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6" w:name="_Toc5698047"/>
      <w:bookmarkStart w:id="7" w:name="_Toc6840213"/>
      <w:r w:rsidRPr="00AA6103">
        <w:rPr>
          <w:rFonts w:ascii="Arial" w:hAnsi="Arial" w:cs="Arial"/>
          <w:b/>
          <w:sz w:val="30"/>
          <w:szCs w:val="30"/>
        </w:rPr>
        <w:t>报告期内产品的投资策略和运作分析</w:t>
      </w:r>
      <w:bookmarkEnd w:id="6"/>
      <w:bookmarkEnd w:id="7"/>
    </w:p>
    <w:p w:rsidR="00AB1EBD" w:rsidRPr="00AA6103" w:rsidRDefault="002E6810" w:rsidP="00973104">
      <w:pPr>
        <w:autoSpaceDE w:val="0"/>
        <w:autoSpaceDN w:val="0"/>
        <w:adjustRightInd w:val="0"/>
        <w:spacing w:line="360" w:lineRule="auto"/>
        <w:ind w:firstLine="560"/>
        <w:jc w:val="left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201</w:t>
      </w:r>
      <w:r w:rsidR="00EC34B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9</w:t>
      </w:r>
      <w:r w:rsidR="00EC34B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年一</w:t>
      </w: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季度我国经济</w:t>
      </w:r>
      <w:r w:rsidR="00EC34B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运行总体平稳</w:t>
      </w: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  <w:r w:rsidR="00793B4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在投资方面，随着之前出台的一系列宽信用</w:t>
      </w:r>
      <w:r w:rsidR="0097310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、</w:t>
      </w:r>
      <w:proofErr w:type="gramStart"/>
      <w:r w:rsidR="0097310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稳增长</w:t>
      </w:r>
      <w:proofErr w:type="gramEnd"/>
      <w:r w:rsidR="00793B4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政策逐建起效</w:t>
      </w:r>
      <w:r w:rsidR="00EC34B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，以专项</w:t>
      </w:r>
      <w:proofErr w:type="gramStart"/>
      <w:r w:rsidR="00EC34B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债为主</w:t>
      </w:r>
      <w:proofErr w:type="gramEnd"/>
      <w:r w:rsidR="00EC34B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的积极财政持续发力带动基建企稳回升</w:t>
      </w:r>
      <w:r w:rsidR="00A56F1E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，</w:t>
      </w:r>
      <w:r w:rsidR="00AB1EBD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房地产投资受施工面积增速回升影响增速重新转正</w:t>
      </w:r>
      <w:r w:rsidR="00A56F1E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，受此影响固定资产投资增速延续小幅改善的趋势</w:t>
      </w:r>
      <w:r w:rsidR="00384E66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。在消费方面，随着减税带来居民可支配收入的提升，对</w:t>
      </w:r>
      <w:proofErr w:type="gramStart"/>
      <w:r w:rsidR="00384E66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冲汽车</w:t>
      </w:r>
      <w:proofErr w:type="gramEnd"/>
      <w:r w:rsidR="00384E66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消费下滑对消费的拖累。在出口方面，随着中美两国贸易谈判频次不断提高，贸易摩擦</w:t>
      </w:r>
      <w:r w:rsidR="003164A8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逐步淡化，其</w:t>
      </w:r>
      <w:r w:rsidR="00384E66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对出口的拖累作用逐渐缓和。</w:t>
      </w:r>
      <w:r w:rsidR="0097310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3</w:t>
      </w:r>
      <w:r w:rsidR="0097310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月制造业</w:t>
      </w:r>
      <w:r w:rsidR="0097310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PMI</w:t>
      </w:r>
      <w:r w:rsidR="0097310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指数重新回升至荣枯线以上，经济短期边际改善、企稳可期。</w:t>
      </w:r>
    </w:p>
    <w:p w:rsidR="002E6810" w:rsidRPr="00AA6103" w:rsidRDefault="002E6810" w:rsidP="002E6810">
      <w:pPr>
        <w:autoSpaceDE w:val="0"/>
        <w:autoSpaceDN w:val="0"/>
        <w:adjustRightInd w:val="0"/>
        <w:ind w:firstLine="60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利率</w:t>
      </w:r>
      <w:r w:rsidR="00AF336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和</w:t>
      </w:r>
      <w:r w:rsidR="00D92F7A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流动性</w:t>
      </w: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方面，</w:t>
      </w:r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年初由于央行降准，叠加市场对经济基本面悲观预期等因素，债券收益率延续去年的下行趋势，但节后</w:t>
      </w:r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随着股市的持续大涨，市场的风险偏好回升，债市收益率上行，底部逐步抬升。整体看来，</w:t>
      </w:r>
      <w:r w:rsidR="00084CF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一季度</w:t>
      </w:r>
      <w:r w:rsidR="006207C7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债市由去年的快牛进入了</w:t>
      </w:r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低位</w:t>
      </w:r>
      <w:r w:rsidR="006207C7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震荡</w:t>
      </w:r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期</w:t>
      </w:r>
      <w:r w:rsidR="006207C7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。银行间流动性整体保持充裕，资金价格除个别</w:t>
      </w:r>
      <w:proofErr w:type="gramStart"/>
      <w:r w:rsidR="006207C7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时点受</w:t>
      </w:r>
      <w:proofErr w:type="gramEnd"/>
      <w:r w:rsidR="006207C7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地方债发行、缴税、跨季等因素扰动外，基本保持</w:t>
      </w:r>
      <w:r w:rsidR="00683E06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稳定</w:t>
      </w:r>
      <w:r w:rsidR="006207C7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。</w:t>
      </w:r>
    </w:p>
    <w:p w:rsidR="00CF6CE0" w:rsidRPr="00AA6103" w:rsidRDefault="002E6810" w:rsidP="008E240B">
      <w:pPr>
        <w:autoSpaceDE w:val="0"/>
        <w:autoSpaceDN w:val="0"/>
        <w:adjustRightInd w:val="0"/>
        <w:ind w:firstLine="60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信用方面，</w:t>
      </w:r>
      <w:r w:rsidR="009C3DF8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在政府纾困</w:t>
      </w:r>
      <w:r w:rsidR="00865038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政策</w:t>
      </w:r>
      <w:r w:rsidR="009C3DF8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以及缓解民企股权质押风险等政策引导下，民企融资环境得到了一定改善，今年一季度违约情况和去年四季度相比明显好转。</w:t>
      </w:r>
      <w:r w:rsidR="00CF6CE0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信用债收益率小幅下行，信用利差继续收窄，其中高收益信用债的信用利差下行速度较去年四季度加快。</w:t>
      </w:r>
    </w:p>
    <w:p w:rsidR="002E6810" w:rsidRPr="00AA6103" w:rsidRDefault="002E6810" w:rsidP="002E6810">
      <w:pPr>
        <w:ind w:firstLineChars="200" w:firstLine="60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展望</w:t>
      </w:r>
      <w:r w:rsidR="00F0722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二</w:t>
      </w:r>
      <w:r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季度，</w:t>
      </w:r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随着宽信用不断推进，基建投资持续发力，减税降</w:t>
      </w:r>
      <w:proofErr w:type="gramStart"/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费逐步</w:t>
      </w:r>
      <w:proofErr w:type="gramEnd"/>
      <w:r w:rsidR="00357CF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落实，</w:t>
      </w:r>
      <w:r w:rsidR="00EE4B9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经济触底甚至企稳的可能性在提高。在</w:t>
      </w:r>
      <w:proofErr w:type="gramStart"/>
      <w:r w:rsidR="00EE4B9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宽财政稳货币</w:t>
      </w:r>
      <w:proofErr w:type="gramEnd"/>
      <w:r w:rsidR="00EE4B9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的政策主旋律下</w:t>
      </w:r>
      <w:r w:rsidR="00E2759E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，财政政策仍将进一步发力，货币政策</w:t>
      </w:r>
      <w:r w:rsidR="00EE4B94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大幅宽松</w:t>
      </w:r>
      <w:r w:rsidR="00E2759E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的空间有限</w:t>
      </w:r>
      <w:r w:rsidR="0019606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，叠加</w:t>
      </w:r>
      <w:r w:rsidR="00F047C3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猪周期导致通胀预期持续反弹</w:t>
      </w:r>
      <w:r w:rsidR="0019606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、股债跷跷板等因素，二季度债市可能</w:t>
      </w:r>
      <w:r w:rsidR="00004475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面临</w:t>
      </w:r>
      <w:r w:rsidR="0019606C" w:rsidRPr="00AA6103">
        <w:rPr>
          <w:rFonts w:ascii="Arial" w:eastAsia="宋体" w:hAnsi="Arial" w:cs="Arial"/>
          <w:color w:val="000000"/>
          <w:kern w:val="0"/>
          <w:sz w:val="30"/>
          <w:szCs w:val="30"/>
        </w:rPr>
        <w:t>一定的调整压力。</w:t>
      </w:r>
    </w:p>
    <w:p w:rsidR="001D2F7A" w:rsidRPr="00AA6103" w:rsidRDefault="00FF6934" w:rsidP="002E6810">
      <w:pPr>
        <w:ind w:firstLineChars="200" w:firstLine="600"/>
        <w:rPr>
          <w:rFonts w:ascii="Arial" w:hAnsi="Arial" w:cs="Arial"/>
          <w:sz w:val="30"/>
          <w:szCs w:val="30"/>
        </w:rPr>
      </w:pPr>
      <w:r w:rsidRPr="00AA6103">
        <w:rPr>
          <w:rFonts w:ascii="Arial" w:hAnsi="Arial" w:cs="Arial"/>
          <w:sz w:val="30"/>
          <w:szCs w:val="30"/>
        </w:rPr>
        <w:t>本产品将保持流动性安全和防范信用风险作为第一要务，投放的资产以中短期限的货币工具</w:t>
      </w:r>
      <w:r w:rsidR="00B335AF" w:rsidRPr="00AA6103">
        <w:rPr>
          <w:rFonts w:ascii="Arial" w:hAnsi="Arial" w:cs="Arial"/>
          <w:sz w:val="30"/>
          <w:szCs w:val="30"/>
        </w:rPr>
        <w:t>、政策性金融</w:t>
      </w:r>
      <w:r w:rsidRPr="00AA6103">
        <w:rPr>
          <w:rFonts w:ascii="Arial" w:hAnsi="Arial" w:cs="Arial"/>
          <w:sz w:val="30"/>
          <w:szCs w:val="30"/>
        </w:rPr>
        <w:t>债、高评级信用债</w:t>
      </w:r>
      <w:r w:rsidR="00845254" w:rsidRPr="00AA6103">
        <w:rPr>
          <w:rFonts w:ascii="Arial" w:hAnsi="Arial" w:cs="Arial"/>
          <w:sz w:val="30"/>
          <w:szCs w:val="30"/>
        </w:rPr>
        <w:t>为主。</w:t>
      </w:r>
      <w:r w:rsidR="00480C55" w:rsidRPr="00AA6103">
        <w:rPr>
          <w:rFonts w:ascii="Arial" w:hAnsi="Arial" w:cs="Arial"/>
          <w:sz w:val="30"/>
          <w:szCs w:val="30"/>
        </w:rPr>
        <w:t>其中</w:t>
      </w:r>
      <w:r w:rsidR="005B583E" w:rsidRPr="00AA6103">
        <w:rPr>
          <w:rFonts w:ascii="Arial" w:hAnsi="Arial" w:cs="Arial"/>
          <w:sz w:val="30"/>
          <w:szCs w:val="30"/>
        </w:rPr>
        <w:t>货币工具</w:t>
      </w:r>
      <w:r w:rsidRPr="00AA6103">
        <w:rPr>
          <w:rFonts w:ascii="Arial" w:hAnsi="Arial" w:cs="Arial"/>
          <w:sz w:val="30"/>
          <w:szCs w:val="30"/>
        </w:rPr>
        <w:t>期限以</w:t>
      </w:r>
      <w:r w:rsidR="00845254" w:rsidRPr="00AA6103">
        <w:rPr>
          <w:rFonts w:ascii="Arial" w:hAnsi="Arial" w:cs="Arial"/>
          <w:sz w:val="30"/>
          <w:szCs w:val="30"/>
        </w:rPr>
        <w:t>1</w:t>
      </w:r>
      <w:r w:rsidR="00845254" w:rsidRPr="00AA6103">
        <w:rPr>
          <w:rFonts w:ascii="Arial" w:hAnsi="Arial" w:cs="Arial"/>
          <w:sz w:val="30"/>
          <w:szCs w:val="30"/>
        </w:rPr>
        <w:t>年</w:t>
      </w:r>
      <w:r w:rsidRPr="00AA6103">
        <w:rPr>
          <w:rFonts w:ascii="Arial" w:hAnsi="Arial" w:cs="Arial"/>
          <w:sz w:val="30"/>
          <w:szCs w:val="30"/>
        </w:rPr>
        <w:t>内为主</w:t>
      </w:r>
      <w:r w:rsidR="00845254" w:rsidRPr="00AA6103">
        <w:rPr>
          <w:rFonts w:ascii="Arial" w:hAnsi="Arial" w:cs="Arial"/>
          <w:sz w:val="30"/>
          <w:szCs w:val="30"/>
        </w:rPr>
        <w:t>，债券的</w:t>
      </w:r>
      <w:proofErr w:type="gramStart"/>
      <w:r w:rsidR="0016769D" w:rsidRPr="00AA6103">
        <w:rPr>
          <w:rFonts w:ascii="Arial" w:hAnsi="Arial" w:cs="Arial"/>
          <w:sz w:val="30"/>
          <w:szCs w:val="30"/>
        </w:rPr>
        <w:t>平均</w:t>
      </w:r>
      <w:r w:rsidR="00845254" w:rsidRPr="00AA6103">
        <w:rPr>
          <w:rFonts w:ascii="Arial" w:hAnsi="Arial" w:cs="Arial"/>
          <w:sz w:val="30"/>
          <w:szCs w:val="30"/>
        </w:rPr>
        <w:t>久期</w:t>
      </w:r>
      <w:r w:rsidR="00C21680" w:rsidRPr="00AA6103">
        <w:rPr>
          <w:rFonts w:ascii="Arial" w:hAnsi="Arial" w:cs="Arial"/>
          <w:sz w:val="30"/>
          <w:szCs w:val="30"/>
        </w:rPr>
        <w:t>不</w:t>
      </w:r>
      <w:proofErr w:type="gramEnd"/>
      <w:r w:rsidR="00C21680" w:rsidRPr="00AA6103">
        <w:rPr>
          <w:rFonts w:ascii="Arial" w:hAnsi="Arial" w:cs="Arial"/>
          <w:sz w:val="30"/>
          <w:szCs w:val="30"/>
        </w:rPr>
        <w:t>超过</w:t>
      </w:r>
      <w:r w:rsidR="00C21680" w:rsidRPr="00AA6103">
        <w:rPr>
          <w:rFonts w:ascii="Arial" w:hAnsi="Arial" w:cs="Arial"/>
          <w:sz w:val="30"/>
          <w:szCs w:val="30"/>
        </w:rPr>
        <w:t>3</w:t>
      </w:r>
      <w:r w:rsidR="00C21680" w:rsidRPr="00AA6103">
        <w:rPr>
          <w:rFonts w:ascii="Arial" w:hAnsi="Arial" w:cs="Arial"/>
          <w:sz w:val="30"/>
          <w:szCs w:val="30"/>
        </w:rPr>
        <w:t>年</w:t>
      </w:r>
      <w:r w:rsidR="00DF6B41" w:rsidRPr="00AA6103">
        <w:rPr>
          <w:rFonts w:ascii="Arial" w:hAnsi="Arial" w:cs="Arial"/>
          <w:sz w:val="30"/>
          <w:szCs w:val="30"/>
        </w:rPr>
        <w:t>，信用债主体评级均在</w:t>
      </w:r>
      <w:r w:rsidR="00DF6B41" w:rsidRPr="00AA6103">
        <w:rPr>
          <w:rFonts w:ascii="Arial" w:hAnsi="Arial" w:cs="Arial"/>
          <w:sz w:val="30"/>
          <w:szCs w:val="30"/>
        </w:rPr>
        <w:t>AA+</w:t>
      </w:r>
      <w:r w:rsidR="00DF6B41" w:rsidRPr="00AA6103">
        <w:rPr>
          <w:rFonts w:ascii="Arial" w:hAnsi="Arial" w:cs="Arial"/>
          <w:sz w:val="30"/>
          <w:szCs w:val="30"/>
        </w:rPr>
        <w:t>以上</w:t>
      </w:r>
      <w:r w:rsidR="00BC36F4" w:rsidRPr="00AA6103">
        <w:rPr>
          <w:rFonts w:ascii="Arial" w:hAnsi="Arial" w:cs="Arial"/>
          <w:sz w:val="30"/>
          <w:szCs w:val="30"/>
        </w:rPr>
        <w:t>，</w:t>
      </w:r>
      <w:r w:rsidR="003E3CDE" w:rsidRPr="00AA6103">
        <w:rPr>
          <w:rFonts w:ascii="Arial" w:hAnsi="Arial" w:cs="Arial"/>
          <w:sz w:val="30"/>
          <w:szCs w:val="30"/>
        </w:rPr>
        <w:t>在努力做好流动性管理的同时保持</w:t>
      </w:r>
      <w:r w:rsidRPr="00AA6103">
        <w:rPr>
          <w:rFonts w:ascii="Arial" w:hAnsi="Arial" w:cs="Arial"/>
          <w:sz w:val="30"/>
          <w:szCs w:val="30"/>
        </w:rPr>
        <w:t>相对平稳的收益。</w:t>
      </w:r>
    </w:p>
    <w:p w:rsidR="00DF2704" w:rsidRPr="00AA6103" w:rsidRDefault="00DF2704" w:rsidP="001F1EDF">
      <w:pPr>
        <w:rPr>
          <w:rFonts w:ascii="Arial" w:hAnsi="Arial" w:cs="Arial"/>
          <w:sz w:val="30"/>
          <w:szCs w:val="30"/>
        </w:rPr>
      </w:pPr>
    </w:p>
    <w:p w:rsidR="00D816AF" w:rsidRPr="00AA6103" w:rsidRDefault="00D816AF" w:rsidP="00774489">
      <w:pPr>
        <w:pStyle w:val="aa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8" w:name="_Toc5698048"/>
      <w:bookmarkStart w:id="9" w:name="_Toc6840214"/>
      <w:r w:rsidRPr="00AA6103">
        <w:rPr>
          <w:rFonts w:ascii="Arial" w:hAnsi="Arial" w:cs="Arial"/>
          <w:b/>
          <w:sz w:val="30"/>
          <w:szCs w:val="30"/>
        </w:rPr>
        <w:t>2019</w:t>
      </w:r>
      <w:r w:rsidRPr="00AA6103">
        <w:rPr>
          <w:rFonts w:ascii="Arial" w:hAnsi="Arial" w:cs="Arial"/>
          <w:b/>
          <w:sz w:val="30"/>
          <w:szCs w:val="30"/>
        </w:rPr>
        <w:t>年第</w:t>
      </w:r>
      <w:r w:rsidRPr="00AA6103">
        <w:rPr>
          <w:rFonts w:ascii="Arial" w:hAnsi="Arial" w:cs="Arial"/>
          <w:b/>
          <w:sz w:val="30"/>
          <w:szCs w:val="30"/>
        </w:rPr>
        <w:t>1</w:t>
      </w:r>
      <w:r w:rsidRPr="00AA6103">
        <w:rPr>
          <w:rFonts w:ascii="Arial" w:hAnsi="Arial" w:cs="Arial"/>
          <w:b/>
          <w:sz w:val="30"/>
          <w:szCs w:val="30"/>
        </w:rPr>
        <w:t>季度财务会计报告</w:t>
      </w:r>
      <w:bookmarkEnd w:id="8"/>
      <w:bookmarkEnd w:id="9"/>
    </w:p>
    <w:p w:rsidR="00C135C7" w:rsidRPr="00AA6103" w:rsidRDefault="00D816AF" w:rsidP="00774489">
      <w:pPr>
        <w:pStyle w:val="aa"/>
        <w:numPr>
          <w:ilvl w:val="0"/>
          <w:numId w:val="2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0" w:name="_Toc5698049"/>
      <w:bookmarkStart w:id="11" w:name="_Toc6840215"/>
      <w:r w:rsidRPr="00AA6103">
        <w:rPr>
          <w:rFonts w:ascii="Arial" w:hAnsi="Arial" w:cs="Arial"/>
          <w:b/>
          <w:sz w:val="30"/>
          <w:szCs w:val="30"/>
        </w:rPr>
        <w:t>资产负债表</w:t>
      </w:r>
      <w:bookmarkEnd w:id="10"/>
      <w:bookmarkEnd w:id="11"/>
    </w:p>
    <w:p w:rsidR="00C135C7" w:rsidRPr="00AA6103" w:rsidRDefault="00C135C7" w:rsidP="00C135C7">
      <w:pPr>
        <w:pStyle w:val="aa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AA6103">
        <w:rPr>
          <w:rFonts w:ascii="Arial" w:eastAsia="宋体" w:hAnsi="Arial" w:cs="Arial"/>
          <w:sz w:val="22"/>
        </w:rPr>
        <w:lastRenderedPageBreak/>
        <w:t>会计主体：现金宝</w:t>
      </w:r>
      <w:r w:rsidRPr="00AA6103">
        <w:rPr>
          <w:rFonts w:ascii="Arial" w:eastAsia="宋体" w:hAnsi="Arial" w:cs="Arial"/>
          <w:sz w:val="22"/>
        </w:rPr>
        <w:t>-</w:t>
      </w:r>
      <w:r w:rsidRPr="00AA6103">
        <w:rPr>
          <w:rFonts w:ascii="Arial" w:eastAsia="宋体" w:hAnsi="Arial" w:cs="Arial"/>
          <w:sz w:val="22"/>
        </w:rPr>
        <w:t>添利</w:t>
      </w:r>
      <w:r w:rsidRPr="00AA6103">
        <w:rPr>
          <w:rFonts w:ascii="Arial" w:eastAsia="宋体" w:hAnsi="Arial" w:cs="Arial"/>
          <w:sz w:val="22"/>
        </w:rPr>
        <w:t>1</w:t>
      </w:r>
      <w:r w:rsidRPr="00AA6103">
        <w:rPr>
          <w:rFonts w:ascii="Arial" w:eastAsia="宋体" w:hAnsi="Arial" w:cs="Arial"/>
          <w:sz w:val="22"/>
        </w:rPr>
        <w:t>号净值型理财产品</w:t>
      </w:r>
    </w:p>
    <w:p w:rsidR="00C135C7" w:rsidRPr="00AA6103" w:rsidRDefault="00C135C7" w:rsidP="00C135C7">
      <w:pPr>
        <w:pStyle w:val="aa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AA6103">
        <w:rPr>
          <w:rFonts w:ascii="Arial" w:eastAsia="宋体" w:hAnsi="Arial" w:cs="Arial"/>
          <w:color w:val="000000"/>
          <w:kern w:val="0"/>
          <w:sz w:val="22"/>
        </w:rPr>
        <w:t>报告截止日：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2019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年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3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月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31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10300" w:type="dxa"/>
        <w:jc w:val="center"/>
        <w:tblInd w:w="93" w:type="dxa"/>
        <w:tblLook w:val="04A0"/>
      </w:tblPr>
      <w:tblGrid>
        <w:gridCol w:w="1000"/>
        <w:gridCol w:w="1996"/>
        <w:gridCol w:w="1996"/>
        <w:gridCol w:w="1316"/>
        <w:gridCol w:w="1996"/>
        <w:gridCol w:w="1996"/>
      </w:tblGrid>
      <w:tr w:rsidR="0032384A" w:rsidRPr="0032384A" w:rsidTr="0032384A">
        <w:trPr>
          <w:trHeight w:val="28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90318011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现金宝</w:t>
            </w: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添利</w:t>
            </w: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号净值型理财产品</w:t>
            </w:r>
          </w:p>
        </w:tc>
      </w:tr>
      <w:tr w:rsidR="0032384A" w:rsidRPr="0032384A" w:rsidTr="0032384A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2384A" w:rsidRPr="0032384A" w:rsidTr="0032384A">
        <w:trPr>
          <w:trHeight w:val="57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期末余额（2019年3月31日）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期初余额（2019年12月31日）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期末余额（2019年3月31日）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期初余额（2019年12月31日）</w:t>
            </w:r>
          </w:p>
        </w:tc>
      </w:tr>
      <w:tr w:rsidR="0032384A" w:rsidRPr="0032384A" w:rsidTr="0032384A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62,975,027,667.36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64,997,410,987.22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1,284,679.60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2,218,356.66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51,300,000,000.00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47,100,000,000.00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29,790,912,278.07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35,582,360,336.52 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199,015,786.59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20,520,481.86 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13,496,867,718.03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9,768,941,484.47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984,540.91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2,772,372.93 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125,405,081,293.64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101,776,276,608.79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199,015,786.59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20,520,481.86 </w:t>
            </w:r>
          </w:p>
        </w:tc>
      </w:tr>
      <w:tr w:rsidR="0032384A" w:rsidRPr="0032384A" w:rsidTr="0032384A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8,770,853.78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6,537,199.14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29,604,623.86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45,724,045.38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3,845,909,130.72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3,218,091,133.61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24,300,716.24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20,562,385.58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10,953,587.73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419,402.35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379,303.95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28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30,253,023,988.39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35,699,376,607.22 </w:t>
            </w:r>
          </w:p>
        </w:tc>
      </w:tr>
      <w:tr w:rsidR="0032384A" w:rsidRPr="0032384A" w:rsidTr="0032384A">
        <w:trPr>
          <w:trHeight w:val="5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226,771,146,500.96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191,174,515,551.26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2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32384A" w:rsidRPr="0032384A" w:rsidTr="0032384A">
        <w:trPr>
          <w:trHeight w:val="5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226,771,146,500.96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191,174,515,551.26 </w:t>
            </w:r>
          </w:p>
        </w:tc>
      </w:tr>
      <w:tr w:rsidR="0032384A" w:rsidRPr="0032384A" w:rsidTr="0032384A">
        <w:trPr>
          <w:trHeight w:val="55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257,024,170,489.35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226,873,892,158.48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32384A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257,024,170,489.35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4A" w:rsidRPr="0032384A" w:rsidRDefault="0032384A" w:rsidP="0032384A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226,873,892,158.48 </w:t>
            </w:r>
          </w:p>
        </w:tc>
      </w:tr>
    </w:tbl>
    <w:p w:rsidR="00C135C7" w:rsidRPr="00AA6103" w:rsidRDefault="00C135C7" w:rsidP="00C135C7">
      <w:pPr>
        <w:pStyle w:val="aa"/>
        <w:ind w:left="360" w:firstLineChars="0" w:firstLine="0"/>
        <w:rPr>
          <w:rFonts w:ascii="Arial" w:hAnsi="Arial" w:cs="Arial"/>
          <w:b/>
          <w:sz w:val="30"/>
          <w:szCs w:val="30"/>
        </w:rPr>
      </w:pPr>
    </w:p>
    <w:p w:rsidR="00C135C7" w:rsidRPr="00294574" w:rsidRDefault="005A19B4" w:rsidP="00774489">
      <w:pPr>
        <w:pStyle w:val="aa"/>
        <w:numPr>
          <w:ilvl w:val="0"/>
          <w:numId w:val="2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2" w:name="_Toc5698050"/>
      <w:bookmarkStart w:id="13" w:name="_Toc6840216"/>
      <w:r w:rsidRPr="00294574">
        <w:rPr>
          <w:rFonts w:ascii="Arial" w:hAnsi="Arial" w:cs="Arial"/>
          <w:b/>
          <w:sz w:val="30"/>
          <w:szCs w:val="30"/>
        </w:rPr>
        <w:t>利润表</w:t>
      </w:r>
      <w:bookmarkEnd w:id="12"/>
      <w:bookmarkEnd w:id="13"/>
    </w:p>
    <w:p w:rsidR="00186FD0" w:rsidRPr="00AA6103" w:rsidRDefault="00186FD0" w:rsidP="00186FD0">
      <w:pPr>
        <w:pStyle w:val="aa"/>
        <w:ind w:left="36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AA6103">
        <w:rPr>
          <w:rFonts w:ascii="Arial" w:eastAsia="宋体" w:hAnsi="Arial" w:cs="Arial"/>
          <w:sz w:val="22"/>
        </w:rPr>
        <w:t>会计主体：现金宝</w:t>
      </w:r>
      <w:r w:rsidRPr="00AA6103">
        <w:rPr>
          <w:rFonts w:ascii="Arial" w:eastAsia="宋体" w:hAnsi="Arial" w:cs="Arial"/>
          <w:sz w:val="22"/>
        </w:rPr>
        <w:t>-</w:t>
      </w:r>
      <w:r w:rsidRPr="00AA6103">
        <w:rPr>
          <w:rFonts w:ascii="Arial" w:eastAsia="宋体" w:hAnsi="Arial" w:cs="Arial"/>
          <w:sz w:val="22"/>
        </w:rPr>
        <w:t>添利</w:t>
      </w:r>
      <w:r w:rsidRPr="00AA6103">
        <w:rPr>
          <w:rFonts w:ascii="Arial" w:eastAsia="宋体" w:hAnsi="Arial" w:cs="Arial"/>
          <w:sz w:val="22"/>
        </w:rPr>
        <w:t>1</w:t>
      </w:r>
      <w:r w:rsidRPr="00AA6103">
        <w:rPr>
          <w:rFonts w:ascii="Arial" w:eastAsia="宋体" w:hAnsi="Arial" w:cs="Arial"/>
          <w:sz w:val="22"/>
        </w:rPr>
        <w:t>号净值型理财产品</w:t>
      </w:r>
    </w:p>
    <w:p w:rsidR="00186FD0" w:rsidRPr="00AA6103" w:rsidRDefault="00186FD0" w:rsidP="00186FD0">
      <w:pPr>
        <w:pStyle w:val="aa"/>
        <w:ind w:left="36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AA6103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2019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年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月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2019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年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3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月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31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日</w:t>
      </w:r>
    </w:p>
    <w:p w:rsidR="005A19B4" w:rsidRPr="00AA6103" w:rsidRDefault="005A19B4" w:rsidP="005A19B4">
      <w:pPr>
        <w:pStyle w:val="aa"/>
        <w:ind w:left="360" w:firstLineChars="0" w:firstLine="0"/>
        <w:rPr>
          <w:rFonts w:ascii="Arial" w:hAnsi="Arial" w:cs="Arial"/>
          <w:sz w:val="30"/>
          <w:szCs w:val="30"/>
        </w:rPr>
      </w:pPr>
    </w:p>
    <w:tbl>
      <w:tblPr>
        <w:tblW w:w="9300" w:type="dxa"/>
        <w:jc w:val="center"/>
        <w:tblInd w:w="93" w:type="dxa"/>
        <w:tblLook w:val="04A0"/>
      </w:tblPr>
      <w:tblGrid>
        <w:gridCol w:w="945"/>
        <w:gridCol w:w="1242"/>
        <w:gridCol w:w="2027"/>
        <w:gridCol w:w="621"/>
        <w:gridCol w:w="2223"/>
        <w:gridCol w:w="2242"/>
      </w:tblGrid>
      <w:tr w:rsidR="00186FD0" w:rsidRPr="00AA6103" w:rsidTr="00353DB6">
        <w:trPr>
          <w:trHeight w:val="300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186F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2019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年第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季度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季报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编制单位：兴业银行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本年累计金额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0F2E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2,835,272,25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25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2,835,272,253.53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0F2E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2,8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,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410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,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593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05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2,829,346,067.25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其中：存款利息收入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0F2E33" w:rsidP="000F2E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804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695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833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29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1,039,138.90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债券利息收入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0F2E33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1,234,978,180.67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760,284,006.45 </w:t>
            </w:r>
          </w:p>
        </w:tc>
      </w:tr>
      <w:tr w:rsidR="001438CC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CC" w:rsidRPr="00AA6103" w:rsidRDefault="001438CC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CC" w:rsidRPr="00AA6103" w:rsidRDefault="001438CC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CC" w:rsidRPr="00AA6103" w:rsidRDefault="001438CC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拆出资金利息收入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CC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CC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732,387,222.24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CC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资产支持证券利息收入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25,961,349.21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买入返售金融资产收入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0F2E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50,349,356.</w:t>
            </w:r>
            <w:r w:rsidR="000F2E3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50,349,356.75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其他利息收入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1,991,712,215.94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投资收益（损失以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填列）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0F2E33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861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663.20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5,926,186.28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其中：股票投资收益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E0403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基金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投资收益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债券投资收益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4,102,714.29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资产支持证券投资收益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衍生工具收益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股利收益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1,823,471.99 </w:t>
            </w:r>
          </w:p>
        </w:tc>
      </w:tr>
      <w:tr w:rsidR="001438CC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CC" w:rsidRPr="00AA6103" w:rsidRDefault="001438CC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CC" w:rsidRPr="00AA6103" w:rsidRDefault="001438CC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8CC" w:rsidRPr="00AA6103" w:rsidRDefault="001438CC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CC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CC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12,861,663.20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8CC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公允价值变动收益（损失以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填列）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汇兑收益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其他收入（损失以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填列）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二、费用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BD5FB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,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947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,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116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88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555,509,817.25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管理人报酬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178,495,304.73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178,495,304.73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托管费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17,849,530.46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17,849,530.46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销售服务费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178,495,304.73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178,495,304.73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交易费用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55,252.48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利息支出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BD5FB0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179,632,3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77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 w:rsidR="00BD5FB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179,632,376.95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其中：卖出回购证券支出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BD5FB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179,632,3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77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21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179,632,376.95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BD5FB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40,377.48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982,047.90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投资顾问费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行政服务费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BD5FB0" w:rsidRPr="00AA6103" w:rsidTr="00353DB6">
        <w:trPr>
          <w:trHeight w:val="3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FB0" w:rsidRPr="00AA6103" w:rsidRDefault="00BD5FB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FB0" w:rsidRPr="00AA6103" w:rsidRDefault="00BD5FB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9.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增值税及附加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B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B0" w:rsidRPr="00AA6103" w:rsidRDefault="00BD5FB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434,222.27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B0" w:rsidRPr="00AA6103" w:rsidRDefault="00BD5FB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三、利润总额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BD5FB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2,280,325,139.37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2,279,762,436.28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减：所得税费用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43689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186FD0" w:rsidRPr="00AA6103" w:rsidTr="00353DB6">
        <w:trPr>
          <w:trHeight w:val="300"/>
          <w:jc w:val="center"/>
        </w:trPr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四、净利润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FD0" w:rsidRPr="00AA6103" w:rsidRDefault="00186FD0" w:rsidP="00436893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436893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BD5FB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2,280,325,139.37</w:t>
            </w:r>
            <w:r w:rsidR="00186FD0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FD0" w:rsidRPr="00AA6103" w:rsidRDefault="00186FD0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2,279,762,436.28 </w:t>
            </w:r>
          </w:p>
        </w:tc>
      </w:tr>
    </w:tbl>
    <w:p w:rsidR="00D816AF" w:rsidRPr="00AA6103" w:rsidRDefault="00D816AF" w:rsidP="001F1EDF">
      <w:pPr>
        <w:rPr>
          <w:rFonts w:ascii="Arial" w:hAnsi="Arial" w:cs="Arial"/>
          <w:sz w:val="30"/>
          <w:szCs w:val="30"/>
        </w:rPr>
      </w:pPr>
    </w:p>
    <w:p w:rsidR="00186FD0" w:rsidRPr="00AA6103" w:rsidRDefault="00186FD0" w:rsidP="00774489">
      <w:pPr>
        <w:pStyle w:val="aa"/>
        <w:numPr>
          <w:ilvl w:val="0"/>
          <w:numId w:val="2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4" w:name="_Toc535504145"/>
      <w:bookmarkStart w:id="15" w:name="_Toc5698051"/>
      <w:bookmarkStart w:id="16" w:name="_Toc6840217"/>
      <w:r w:rsidRPr="00AA6103">
        <w:rPr>
          <w:rFonts w:ascii="Arial" w:hAnsi="Arial" w:cs="Arial"/>
          <w:b/>
          <w:sz w:val="30"/>
          <w:szCs w:val="30"/>
        </w:rPr>
        <w:t>所有者权益（产品净值）变动表</w:t>
      </w:r>
      <w:bookmarkEnd w:id="14"/>
      <w:bookmarkEnd w:id="15"/>
      <w:bookmarkEnd w:id="16"/>
    </w:p>
    <w:p w:rsidR="00186FD0" w:rsidRPr="00AA6103" w:rsidRDefault="00186FD0" w:rsidP="00186FD0">
      <w:pPr>
        <w:pStyle w:val="aa"/>
        <w:ind w:left="36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AA6103">
        <w:rPr>
          <w:rFonts w:ascii="Arial" w:eastAsia="宋体" w:hAnsi="Arial" w:cs="Arial"/>
          <w:sz w:val="22"/>
        </w:rPr>
        <w:t>会计主体：现金宝</w:t>
      </w:r>
      <w:r w:rsidRPr="00AA6103">
        <w:rPr>
          <w:rFonts w:ascii="Arial" w:eastAsia="宋体" w:hAnsi="Arial" w:cs="Arial"/>
          <w:sz w:val="22"/>
        </w:rPr>
        <w:t>-</w:t>
      </w:r>
      <w:r w:rsidRPr="00AA6103">
        <w:rPr>
          <w:rFonts w:ascii="Arial" w:eastAsia="宋体" w:hAnsi="Arial" w:cs="Arial"/>
          <w:sz w:val="22"/>
        </w:rPr>
        <w:t>添利</w:t>
      </w:r>
      <w:r w:rsidRPr="00AA6103">
        <w:rPr>
          <w:rFonts w:ascii="Arial" w:eastAsia="宋体" w:hAnsi="Arial" w:cs="Arial"/>
          <w:sz w:val="22"/>
        </w:rPr>
        <w:t>1</w:t>
      </w:r>
      <w:r w:rsidRPr="00AA6103">
        <w:rPr>
          <w:rFonts w:ascii="Arial" w:eastAsia="宋体" w:hAnsi="Arial" w:cs="Arial"/>
          <w:sz w:val="22"/>
        </w:rPr>
        <w:t>号净值型理财产品</w:t>
      </w:r>
    </w:p>
    <w:p w:rsidR="00186FD0" w:rsidRPr="00AA6103" w:rsidRDefault="00186FD0" w:rsidP="00186FD0">
      <w:pPr>
        <w:pStyle w:val="aa"/>
        <w:ind w:left="36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AA6103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2019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年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月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2019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年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3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月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31</w:t>
      </w:r>
      <w:r w:rsidRPr="00AA6103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9840" w:type="dxa"/>
        <w:jc w:val="center"/>
        <w:tblInd w:w="93" w:type="dxa"/>
        <w:tblLook w:val="04A0"/>
      </w:tblPr>
      <w:tblGrid>
        <w:gridCol w:w="3280"/>
        <w:gridCol w:w="2260"/>
        <w:gridCol w:w="2040"/>
        <w:gridCol w:w="2260"/>
      </w:tblGrid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62" w:rsidRPr="00AA6103" w:rsidRDefault="00740262" w:rsidP="0074026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编制单位：兴业银行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E0403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191,174,515,551.26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191,174,515,551.26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2,280,325,139.37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66013F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2,280,325,139.37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35,596,630,949.70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35,596,630,949.70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751,162,917,303.71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751,162,917,303.71 </w:t>
            </w:r>
          </w:p>
        </w:tc>
      </w:tr>
      <w:tr w:rsidR="00740262" w:rsidRPr="00AA6103" w:rsidTr="00353DB6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-715,566,286,354.01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-715,566,286,354.01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-2,280,325,139.37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-2,280,325,139.37 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226,771,146,500.96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1438CC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2384A">
              <w:rPr>
                <w:rFonts w:ascii="Arial" w:eastAsia="宋体" w:hAnsi="Arial" w:cs="Arial"/>
                <w:kern w:val="0"/>
                <w:sz w:val="20"/>
                <w:szCs w:val="20"/>
              </w:rPr>
              <w:t>226,771,146,500.96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E04033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156,903,407,377.70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156,903,407,377.70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F3586A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1,925,617,677.22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F3586A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1,925,617,677.22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34,271,108,173.56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34,271,108,173.56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668,419,056,363.97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668,419,056,363.97 </w:t>
            </w:r>
          </w:p>
        </w:tc>
      </w:tr>
      <w:tr w:rsidR="00740262" w:rsidRPr="00AA6103" w:rsidTr="00353DB6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    2.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-634,147,948,190.41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-634,147,948,190.41 </w:t>
            </w:r>
          </w:p>
        </w:tc>
      </w:tr>
      <w:tr w:rsidR="00740262" w:rsidRPr="00AA6103" w:rsidTr="00353DB6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-1,925,617,677.22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-1,925,617,677.22 </w:t>
            </w:r>
          </w:p>
        </w:tc>
      </w:tr>
      <w:tr w:rsidR="00740262" w:rsidRPr="00AA6103" w:rsidTr="00353DB6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740262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E04033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740262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191,174,515,551.26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62" w:rsidRPr="00AA6103" w:rsidRDefault="00F3586A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0.00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62" w:rsidRPr="00AA6103" w:rsidRDefault="00F3586A" w:rsidP="00E0403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191,174,515,551.26</w:t>
            </w:r>
            <w:r w:rsidR="00740262" w:rsidRPr="00AA610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186FD0" w:rsidRPr="00AA6103" w:rsidRDefault="00186FD0" w:rsidP="001F1EDF">
      <w:pPr>
        <w:rPr>
          <w:rFonts w:ascii="Arial" w:hAnsi="Arial" w:cs="Arial"/>
          <w:sz w:val="30"/>
          <w:szCs w:val="30"/>
        </w:rPr>
      </w:pPr>
    </w:p>
    <w:p w:rsidR="00A136F5" w:rsidRPr="00AA6103" w:rsidRDefault="001F2ACD" w:rsidP="00774489">
      <w:pPr>
        <w:pStyle w:val="aa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7" w:name="_Toc5698052"/>
      <w:bookmarkStart w:id="18" w:name="_Toc6840218"/>
      <w:r w:rsidRPr="00AA6103">
        <w:rPr>
          <w:rFonts w:ascii="Arial" w:hAnsi="Arial" w:cs="Arial"/>
          <w:b/>
          <w:sz w:val="30"/>
          <w:szCs w:val="30"/>
        </w:rPr>
        <w:t>投资组合情况</w:t>
      </w:r>
      <w:bookmarkEnd w:id="17"/>
      <w:bookmarkEnd w:id="18"/>
    </w:p>
    <w:p w:rsidR="00740262" w:rsidRPr="00AA6103" w:rsidRDefault="007B501B" w:rsidP="00774489">
      <w:pPr>
        <w:pStyle w:val="aa"/>
        <w:numPr>
          <w:ilvl w:val="0"/>
          <w:numId w:val="4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9" w:name="_Toc5698053"/>
      <w:bookmarkStart w:id="20" w:name="_Toc6840219"/>
      <w:r w:rsidRPr="00AA6103">
        <w:rPr>
          <w:rFonts w:ascii="Arial" w:hAnsi="Arial" w:cs="Arial"/>
          <w:b/>
          <w:sz w:val="30"/>
          <w:szCs w:val="30"/>
        </w:rPr>
        <w:t>报告期末产品资产组合情况</w:t>
      </w:r>
      <w:bookmarkEnd w:id="19"/>
      <w:bookmarkEnd w:id="20"/>
    </w:p>
    <w:tbl>
      <w:tblPr>
        <w:tblW w:w="7200" w:type="dxa"/>
        <w:jc w:val="center"/>
        <w:tblInd w:w="93" w:type="dxa"/>
        <w:tblLook w:val="04A0"/>
      </w:tblPr>
      <w:tblGrid>
        <w:gridCol w:w="2740"/>
        <w:gridCol w:w="2660"/>
        <w:gridCol w:w="1800"/>
      </w:tblGrid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资产规模（亿元）</w:t>
            </w: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银行存款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BA1A5A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599.8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BA1A5A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23.6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同业存单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BA1A5A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391.75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BA1A5A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15.4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政策性金融债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BA1A5A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173.9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6.9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企业债等债务融资工具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705.4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3C265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27.</w:t>
            </w:r>
            <w:r w:rsidR="003C265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资产支持证券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B6E40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债券逆回购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135.0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其他债权类资产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20.2</w:t>
            </w:r>
            <w:r w:rsidR="00AF3847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F3847" w:rsidRPr="00AA6103" w:rsidTr="00AF3847">
        <w:trPr>
          <w:trHeight w:val="3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AF384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3C2657" w:rsidP="00EE4FC5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2538.9</w:t>
            </w:r>
            <w:r w:rsidR="00AF3847"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847" w:rsidRPr="00AA6103" w:rsidRDefault="00AF3847" w:rsidP="00EE4FC5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550BC4" w:rsidRPr="00AA6103" w:rsidRDefault="00B352EF" w:rsidP="00AF3847">
      <w:pPr>
        <w:ind w:firstLineChars="200" w:firstLine="600"/>
        <w:rPr>
          <w:rFonts w:ascii="Arial" w:hAnsi="Arial" w:cs="Arial"/>
          <w:bCs/>
          <w:sz w:val="30"/>
          <w:szCs w:val="30"/>
        </w:rPr>
      </w:pPr>
      <w:r w:rsidRPr="00AA6103">
        <w:rPr>
          <w:rFonts w:ascii="Arial" w:hAnsi="Arial" w:cs="Arial"/>
          <w:bCs/>
          <w:sz w:val="30"/>
          <w:szCs w:val="30"/>
        </w:rPr>
        <w:t>上述资产组合中，银行存款、同业存单、利率债等具有高流动性资产投资占比</w:t>
      </w:r>
      <w:r w:rsidR="00F36938" w:rsidRPr="00AA6103">
        <w:rPr>
          <w:rFonts w:ascii="Arial" w:hAnsi="Arial" w:cs="Arial"/>
          <w:bCs/>
          <w:sz w:val="30"/>
          <w:szCs w:val="30"/>
        </w:rPr>
        <w:t>45.</w:t>
      </w:r>
      <w:r w:rsidR="000C3DC4" w:rsidRPr="00AA6103">
        <w:rPr>
          <w:rFonts w:ascii="Arial" w:hAnsi="Arial" w:cs="Arial"/>
          <w:bCs/>
          <w:sz w:val="30"/>
          <w:szCs w:val="30"/>
        </w:rPr>
        <w:t>9</w:t>
      </w:r>
      <w:r w:rsidR="00CD4799" w:rsidRPr="00AA6103">
        <w:rPr>
          <w:rFonts w:ascii="Arial" w:hAnsi="Arial" w:cs="Arial"/>
          <w:bCs/>
          <w:sz w:val="30"/>
          <w:szCs w:val="30"/>
        </w:rPr>
        <w:t>%</w:t>
      </w:r>
      <w:r w:rsidRPr="00AA6103">
        <w:rPr>
          <w:rFonts w:ascii="Arial" w:hAnsi="Arial" w:cs="Arial"/>
          <w:bCs/>
          <w:sz w:val="30"/>
          <w:szCs w:val="30"/>
        </w:rPr>
        <w:t>，</w:t>
      </w:r>
      <w:r w:rsidR="00CD4799" w:rsidRPr="00AA6103">
        <w:rPr>
          <w:rFonts w:ascii="Arial" w:hAnsi="Arial" w:cs="Arial"/>
          <w:bCs/>
          <w:sz w:val="30"/>
          <w:szCs w:val="30"/>
        </w:rPr>
        <w:t>符合产品协议对于本产品流动性资产最低投资比例（</w:t>
      </w:r>
      <w:r w:rsidR="00CD4799" w:rsidRPr="00AA6103">
        <w:rPr>
          <w:rFonts w:ascii="Arial" w:hAnsi="Arial" w:cs="Arial"/>
          <w:bCs/>
          <w:sz w:val="30"/>
          <w:szCs w:val="30"/>
        </w:rPr>
        <w:t>30%</w:t>
      </w:r>
      <w:r w:rsidR="00CD4799" w:rsidRPr="00AA6103">
        <w:rPr>
          <w:rFonts w:ascii="Arial" w:hAnsi="Arial" w:cs="Arial"/>
          <w:bCs/>
          <w:sz w:val="30"/>
          <w:szCs w:val="30"/>
        </w:rPr>
        <w:t>）的要求。</w:t>
      </w:r>
    </w:p>
    <w:p w:rsidR="00E9356F" w:rsidRPr="00AA6103" w:rsidRDefault="00E9356F" w:rsidP="00DB17F1">
      <w:pPr>
        <w:ind w:firstLineChars="200" w:firstLine="600"/>
        <w:rPr>
          <w:rFonts w:ascii="Arial" w:hAnsi="Arial" w:cs="Arial"/>
          <w:bCs/>
          <w:sz w:val="30"/>
          <w:szCs w:val="30"/>
        </w:rPr>
      </w:pPr>
    </w:p>
    <w:p w:rsidR="007B501B" w:rsidRPr="00AA6103" w:rsidRDefault="007B501B" w:rsidP="00774489">
      <w:pPr>
        <w:pStyle w:val="aa"/>
        <w:numPr>
          <w:ilvl w:val="0"/>
          <w:numId w:val="4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21" w:name="_Toc5698054"/>
      <w:bookmarkStart w:id="22" w:name="_Toc6840220"/>
      <w:r w:rsidRPr="00AA6103">
        <w:rPr>
          <w:rFonts w:ascii="Arial" w:hAnsi="Arial" w:cs="Arial"/>
          <w:b/>
          <w:sz w:val="30"/>
          <w:szCs w:val="30"/>
        </w:rPr>
        <w:t>报告期末</w:t>
      </w:r>
      <w:r w:rsidR="00D72610" w:rsidRPr="00AA6103">
        <w:rPr>
          <w:rFonts w:ascii="Arial" w:hAnsi="Arial" w:cs="Arial"/>
          <w:b/>
          <w:sz w:val="30"/>
          <w:szCs w:val="30"/>
        </w:rPr>
        <w:t>杠杆</w:t>
      </w:r>
      <w:r w:rsidRPr="00AA6103">
        <w:rPr>
          <w:rFonts w:ascii="Arial" w:hAnsi="Arial" w:cs="Arial"/>
          <w:b/>
          <w:sz w:val="30"/>
          <w:szCs w:val="30"/>
        </w:rPr>
        <w:t>融资情况</w:t>
      </w:r>
      <w:bookmarkEnd w:id="21"/>
      <w:bookmarkEnd w:id="22"/>
    </w:p>
    <w:tbl>
      <w:tblPr>
        <w:tblW w:w="6960" w:type="dxa"/>
        <w:jc w:val="center"/>
        <w:tblInd w:w="93" w:type="dxa"/>
        <w:tblLook w:val="04A0"/>
      </w:tblPr>
      <w:tblGrid>
        <w:gridCol w:w="3276"/>
        <w:gridCol w:w="1842"/>
        <w:gridCol w:w="1842"/>
      </w:tblGrid>
      <w:tr w:rsidR="00934839" w:rsidRPr="00AA6103" w:rsidTr="00ED38CE">
        <w:trPr>
          <w:trHeight w:val="27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AA6103" w:rsidRDefault="00934839" w:rsidP="00934839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AA6103" w:rsidRDefault="00934839" w:rsidP="00934839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金额（亿元）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AA6103" w:rsidRDefault="00934839" w:rsidP="00934839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占净资产比例</w:t>
            </w:r>
          </w:p>
        </w:tc>
      </w:tr>
      <w:tr w:rsidR="00934839" w:rsidRPr="00AA6103" w:rsidTr="00ED38CE">
        <w:trPr>
          <w:trHeight w:val="2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AA6103" w:rsidRDefault="00934839" w:rsidP="009348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报告期末债券回购融资余额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AA6103" w:rsidRDefault="00C966FC" w:rsidP="009348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297.91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AA6103" w:rsidRDefault="00C966FC" w:rsidP="0093483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13.3</w:t>
            </w:r>
            <w:r w:rsidR="00934839" w:rsidRPr="00AA610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4B57EF" w:rsidRPr="00AA6103" w:rsidRDefault="002E53B1" w:rsidP="00DB17F1">
      <w:pPr>
        <w:ind w:firstLineChars="200" w:firstLine="600"/>
        <w:rPr>
          <w:rFonts w:ascii="Arial" w:hAnsi="Arial" w:cs="Arial"/>
          <w:sz w:val="30"/>
          <w:szCs w:val="30"/>
        </w:rPr>
      </w:pPr>
      <w:r w:rsidRPr="00AA6103">
        <w:rPr>
          <w:rFonts w:ascii="Arial" w:hAnsi="Arial" w:cs="Arial"/>
          <w:sz w:val="30"/>
          <w:szCs w:val="30"/>
        </w:rPr>
        <w:t>报告期内本产品</w:t>
      </w:r>
      <w:r w:rsidR="00B839B2" w:rsidRPr="00AA6103">
        <w:rPr>
          <w:rFonts w:ascii="Arial" w:hAnsi="Arial" w:cs="Arial"/>
          <w:sz w:val="30"/>
          <w:szCs w:val="30"/>
        </w:rPr>
        <w:t>债券回购融资余额未超过净资产规模的</w:t>
      </w:r>
      <w:r w:rsidR="00B839B2" w:rsidRPr="00AA6103">
        <w:rPr>
          <w:rFonts w:ascii="Arial" w:hAnsi="Arial" w:cs="Arial"/>
          <w:sz w:val="30"/>
          <w:szCs w:val="30"/>
        </w:rPr>
        <w:t>40%</w:t>
      </w:r>
      <w:r w:rsidR="002979A4" w:rsidRPr="00AA6103">
        <w:rPr>
          <w:rFonts w:ascii="Arial" w:hAnsi="Arial" w:cs="Arial"/>
          <w:sz w:val="30"/>
          <w:szCs w:val="30"/>
        </w:rPr>
        <w:t>，</w:t>
      </w:r>
      <w:r w:rsidR="00BF55F4" w:rsidRPr="00AA6103">
        <w:rPr>
          <w:rFonts w:ascii="Arial" w:hAnsi="Arial" w:cs="Arial"/>
          <w:sz w:val="30"/>
          <w:szCs w:val="30"/>
        </w:rPr>
        <w:t>本产品</w:t>
      </w:r>
      <w:r w:rsidRPr="00AA6103">
        <w:rPr>
          <w:rFonts w:ascii="Arial" w:hAnsi="Arial" w:cs="Arial"/>
          <w:sz w:val="30"/>
          <w:szCs w:val="30"/>
        </w:rPr>
        <w:t>总资产未超过该产品净资产</w:t>
      </w:r>
      <w:r w:rsidR="002979A4" w:rsidRPr="00AA6103">
        <w:rPr>
          <w:rFonts w:ascii="Arial" w:hAnsi="Arial" w:cs="Arial"/>
          <w:sz w:val="30"/>
          <w:szCs w:val="30"/>
        </w:rPr>
        <w:t>规模</w:t>
      </w:r>
      <w:r w:rsidRPr="00AA6103">
        <w:rPr>
          <w:rFonts w:ascii="Arial" w:hAnsi="Arial" w:cs="Arial"/>
          <w:sz w:val="30"/>
          <w:szCs w:val="30"/>
        </w:rPr>
        <w:t>的</w:t>
      </w:r>
      <w:r w:rsidRPr="00AA6103">
        <w:rPr>
          <w:rFonts w:ascii="Arial" w:hAnsi="Arial" w:cs="Arial"/>
          <w:sz w:val="30"/>
          <w:szCs w:val="30"/>
        </w:rPr>
        <w:t>140%</w:t>
      </w:r>
      <w:r w:rsidR="002979A4" w:rsidRPr="00AA6103">
        <w:rPr>
          <w:rFonts w:ascii="Arial" w:hAnsi="Arial" w:cs="Arial"/>
          <w:sz w:val="30"/>
          <w:szCs w:val="30"/>
        </w:rPr>
        <w:t>，符合产品协议对本产品杠杆比例的要求。</w:t>
      </w:r>
    </w:p>
    <w:p w:rsidR="00BC3E4B" w:rsidRPr="00AA6103" w:rsidRDefault="00BC3E4B" w:rsidP="00DB17F1">
      <w:pPr>
        <w:ind w:firstLineChars="200" w:firstLine="600"/>
        <w:rPr>
          <w:rFonts w:ascii="Arial" w:hAnsi="Arial" w:cs="Arial"/>
          <w:sz w:val="30"/>
          <w:szCs w:val="30"/>
        </w:rPr>
      </w:pPr>
    </w:p>
    <w:p w:rsidR="004B1115" w:rsidRPr="00AA6103" w:rsidRDefault="004B1115" w:rsidP="00774489">
      <w:pPr>
        <w:pStyle w:val="aa"/>
        <w:numPr>
          <w:ilvl w:val="0"/>
          <w:numId w:val="4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23" w:name="_Toc5698055"/>
      <w:bookmarkStart w:id="24" w:name="_Toc6840221"/>
      <w:r w:rsidRPr="00AA6103">
        <w:rPr>
          <w:rFonts w:ascii="Arial" w:hAnsi="Arial" w:cs="Arial"/>
          <w:b/>
          <w:sz w:val="30"/>
          <w:szCs w:val="30"/>
        </w:rPr>
        <w:t>报告期末投资组合平均剩余期限分布比例</w:t>
      </w:r>
      <w:bookmarkEnd w:id="23"/>
      <w:bookmarkEnd w:id="24"/>
    </w:p>
    <w:tbl>
      <w:tblPr>
        <w:tblW w:w="6464" w:type="dxa"/>
        <w:jc w:val="center"/>
        <w:tblInd w:w="-204" w:type="dxa"/>
        <w:tblLook w:val="04A0"/>
      </w:tblPr>
      <w:tblGrid>
        <w:gridCol w:w="2307"/>
        <w:gridCol w:w="2083"/>
        <w:gridCol w:w="2074"/>
      </w:tblGrid>
      <w:tr w:rsidR="00ED38CE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AA6103" w:rsidRDefault="00ED38CE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剩余期限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AA6103" w:rsidRDefault="00ED38CE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各期限资产占比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AA6103" w:rsidRDefault="00ED38CE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各期限负债占比</w:t>
            </w:r>
          </w:p>
        </w:tc>
      </w:tr>
      <w:tr w:rsidR="003D787F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lastRenderedPageBreak/>
              <w:t>30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天（含）以内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742A76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12.6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78.9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</w:tr>
      <w:tr w:rsidR="003D787F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31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-90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天（含）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13.7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17.8%</w:t>
            </w:r>
          </w:p>
        </w:tc>
      </w:tr>
      <w:tr w:rsidR="003D787F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91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-180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天（含）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10.7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3.3%</w:t>
            </w:r>
          </w:p>
        </w:tc>
      </w:tr>
      <w:tr w:rsidR="003D787F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181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-365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天（含）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35.9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</w:p>
        </w:tc>
      </w:tr>
      <w:tr w:rsidR="003D787F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1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年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-3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年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25.3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</w:p>
        </w:tc>
      </w:tr>
      <w:tr w:rsidR="003D787F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3</w:t>
            </w: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742A76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1.8</w:t>
            </w:r>
            <w:r w:rsidR="003D787F"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7F" w:rsidRPr="00AA6103" w:rsidRDefault="003D787F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</w:p>
        </w:tc>
      </w:tr>
      <w:tr w:rsidR="00ED38CE" w:rsidRPr="00AA6103" w:rsidTr="003D787F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AA6103" w:rsidRDefault="00ED38CE" w:rsidP="00353DB6">
            <w:pPr>
              <w:widowControl/>
              <w:jc w:val="left"/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b/>
                <w:color w:val="000000"/>
                <w:kern w:val="0"/>
                <w:sz w:val="24"/>
              </w:rPr>
              <w:t xml:space="preserve">　合计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AA6103" w:rsidRDefault="003D787F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CE" w:rsidRPr="00AA6103" w:rsidRDefault="00A744B8" w:rsidP="003D787F">
            <w:pPr>
              <w:widowControl/>
              <w:jc w:val="center"/>
              <w:rPr>
                <w:rFonts w:ascii="Arial" w:eastAsiaTheme="majorEastAsia" w:hAnsi="Arial" w:cs="Arial"/>
                <w:color w:val="000000"/>
                <w:kern w:val="0"/>
                <w:sz w:val="24"/>
              </w:rPr>
            </w:pPr>
            <w:r w:rsidRPr="00AA6103">
              <w:rPr>
                <w:rFonts w:ascii="Arial" w:eastAsiaTheme="majorEastAsia" w:hAnsi="Arial" w:cs="Arial"/>
                <w:color w:val="000000"/>
                <w:kern w:val="0"/>
                <w:sz w:val="24"/>
              </w:rPr>
              <w:t>100.00%</w:t>
            </w:r>
          </w:p>
        </w:tc>
      </w:tr>
    </w:tbl>
    <w:p w:rsidR="004B1115" w:rsidRPr="00AA6103" w:rsidRDefault="004B1115" w:rsidP="004B1115">
      <w:pPr>
        <w:rPr>
          <w:rFonts w:ascii="Arial" w:hAnsi="Arial" w:cs="Arial"/>
          <w:sz w:val="30"/>
          <w:szCs w:val="30"/>
        </w:rPr>
      </w:pPr>
    </w:p>
    <w:p w:rsidR="00ED38CE" w:rsidRPr="00AA6103" w:rsidRDefault="00ED38CE" w:rsidP="00774489">
      <w:pPr>
        <w:pStyle w:val="aa"/>
        <w:numPr>
          <w:ilvl w:val="0"/>
          <w:numId w:val="4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25" w:name="_Toc5698056"/>
      <w:bookmarkStart w:id="26" w:name="_Toc6840222"/>
      <w:r w:rsidRPr="00AA6103">
        <w:rPr>
          <w:rFonts w:ascii="Arial" w:hAnsi="Arial" w:cs="Arial"/>
          <w:b/>
          <w:sz w:val="30"/>
          <w:szCs w:val="30"/>
        </w:rPr>
        <w:t>报告期末持仓占比前</w:t>
      </w:r>
      <w:proofErr w:type="gramStart"/>
      <w:r w:rsidRPr="00AA6103">
        <w:rPr>
          <w:rFonts w:ascii="Arial" w:hAnsi="Arial" w:cs="Arial"/>
          <w:b/>
          <w:sz w:val="30"/>
          <w:szCs w:val="30"/>
        </w:rPr>
        <w:t>十</w:t>
      </w:r>
      <w:r w:rsidR="00AA6103" w:rsidRPr="00AA6103">
        <w:rPr>
          <w:rFonts w:ascii="Arial" w:hAnsi="Arial" w:cs="Arial"/>
          <w:b/>
          <w:sz w:val="30"/>
          <w:szCs w:val="30"/>
        </w:rPr>
        <w:t>资产</w:t>
      </w:r>
      <w:proofErr w:type="gramEnd"/>
      <w:r w:rsidRPr="00AA6103">
        <w:rPr>
          <w:rFonts w:ascii="Arial" w:hAnsi="Arial" w:cs="Arial"/>
          <w:b/>
          <w:sz w:val="30"/>
          <w:szCs w:val="30"/>
        </w:rPr>
        <w:t>投资明细</w:t>
      </w:r>
      <w:bookmarkEnd w:id="25"/>
      <w:bookmarkEnd w:id="26"/>
    </w:p>
    <w:tbl>
      <w:tblPr>
        <w:tblW w:w="7983" w:type="dxa"/>
        <w:jc w:val="center"/>
        <w:tblInd w:w="93" w:type="dxa"/>
        <w:tblLook w:val="04A0"/>
      </w:tblPr>
      <w:tblGrid>
        <w:gridCol w:w="1780"/>
        <w:gridCol w:w="2500"/>
        <w:gridCol w:w="2623"/>
        <w:gridCol w:w="1080"/>
      </w:tblGrid>
      <w:tr w:rsidR="009670FB" w:rsidRPr="009670FB" w:rsidTr="009670FB">
        <w:trPr>
          <w:trHeight w:val="28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70F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资产面额</w:t>
            </w:r>
            <w:r w:rsidRPr="009670FB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逆回购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--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8,184,479,382.00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3.22%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债券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证金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D01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6,900,000,000.00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2.70%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宋体" w:cs="Arial"/>
                <w:color w:val="000000"/>
                <w:kern w:val="0"/>
                <w:sz w:val="22"/>
              </w:rPr>
              <w:t>债券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证金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D27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5,400,000,000.00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2.11%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债券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证金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D20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5,000,000,000.00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1.96%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债券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证金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D29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4,500,000,000.00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1.77%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债券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农发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3,330,000,000.00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1.32%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债券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18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证金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D16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3,100,000,000.00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1.21%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现金及银行存款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存放同业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20180813001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3,000,000,000.00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1.18%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现金及银行存款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存放同业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20181011001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3,000,000,000.00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1.17%</w:t>
            </w:r>
          </w:p>
        </w:tc>
      </w:tr>
      <w:tr w:rsidR="009670FB" w:rsidRPr="009670FB" w:rsidTr="009670FB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现金及银行存款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存放同业</w:t>
            </w: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20181011002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 3,000,000,000.00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FB" w:rsidRPr="009670FB" w:rsidRDefault="009670FB" w:rsidP="009670FB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9670FB">
              <w:rPr>
                <w:rFonts w:ascii="Arial" w:eastAsia="宋体" w:hAnsi="Arial" w:cs="Arial"/>
                <w:color w:val="000000"/>
                <w:kern w:val="0"/>
                <w:sz w:val="22"/>
              </w:rPr>
              <w:t>1.17%</w:t>
            </w:r>
          </w:p>
        </w:tc>
      </w:tr>
    </w:tbl>
    <w:p w:rsidR="00E04033" w:rsidRPr="00AA6103" w:rsidRDefault="00E04033" w:rsidP="00771C77">
      <w:pPr>
        <w:ind w:right="750"/>
        <w:rPr>
          <w:rFonts w:ascii="Arial" w:hAnsi="Arial" w:cs="Arial"/>
          <w:sz w:val="30"/>
          <w:szCs w:val="30"/>
        </w:rPr>
      </w:pPr>
    </w:p>
    <w:p w:rsidR="00ED38CE" w:rsidRPr="00AA6103" w:rsidRDefault="00740262" w:rsidP="00740262">
      <w:pPr>
        <w:jc w:val="right"/>
        <w:rPr>
          <w:rFonts w:ascii="Arial" w:hAnsi="Arial" w:cs="Arial"/>
          <w:sz w:val="30"/>
          <w:szCs w:val="30"/>
        </w:rPr>
      </w:pPr>
      <w:r w:rsidRPr="00AA6103">
        <w:rPr>
          <w:rFonts w:ascii="Arial" w:hAnsi="Arial" w:cs="Arial"/>
          <w:sz w:val="30"/>
          <w:szCs w:val="30"/>
        </w:rPr>
        <w:t>兴业银行股份有限公司</w:t>
      </w:r>
    </w:p>
    <w:p w:rsidR="00740262" w:rsidRPr="00AA6103" w:rsidRDefault="00740262" w:rsidP="00740262">
      <w:pPr>
        <w:jc w:val="right"/>
        <w:rPr>
          <w:rFonts w:ascii="Arial" w:hAnsi="Arial" w:cs="Arial"/>
          <w:sz w:val="30"/>
          <w:szCs w:val="30"/>
        </w:rPr>
      </w:pPr>
      <w:r w:rsidRPr="00AA6103">
        <w:rPr>
          <w:rFonts w:ascii="Arial" w:hAnsi="Arial" w:cs="Arial"/>
          <w:sz w:val="30"/>
          <w:szCs w:val="30"/>
        </w:rPr>
        <w:t>2019</w:t>
      </w:r>
      <w:r w:rsidRPr="00AA6103">
        <w:rPr>
          <w:rFonts w:ascii="Arial" w:hAnsi="Arial" w:cs="Arial"/>
          <w:sz w:val="30"/>
          <w:szCs w:val="30"/>
        </w:rPr>
        <w:t>年</w:t>
      </w:r>
      <w:r w:rsidRPr="00AA6103">
        <w:rPr>
          <w:rFonts w:ascii="Arial" w:hAnsi="Arial" w:cs="Arial"/>
          <w:sz w:val="30"/>
          <w:szCs w:val="30"/>
        </w:rPr>
        <w:t>4</w:t>
      </w:r>
      <w:r w:rsidRPr="00AA6103">
        <w:rPr>
          <w:rFonts w:ascii="Arial" w:hAnsi="Arial" w:cs="Arial"/>
          <w:sz w:val="30"/>
          <w:szCs w:val="30"/>
        </w:rPr>
        <w:t>月</w:t>
      </w:r>
      <w:r w:rsidRPr="00AA6103">
        <w:rPr>
          <w:rFonts w:ascii="Arial" w:hAnsi="Arial" w:cs="Arial"/>
          <w:sz w:val="30"/>
          <w:szCs w:val="30"/>
        </w:rPr>
        <w:t>9</w:t>
      </w:r>
      <w:r w:rsidRPr="00AA6103">
        <w:rPr>
          <w:rFonts w:ascii="Arial" w:hAnsi="Arial" w:cs="Arial"/>
          <w:sz w:val="30"/>
          <w:szCs w:val="30"/>
        </w:rPr>
        <w:t>日</w:t>
      </w:r>
    </w:p>
    <w:sectPr w:rsidR="00740262" w:rsidRPr="00AA6103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47" w:rsidRDefault="00A83C47" w:rsidP="00E42B11">
      <w:r>
        <w:separator/>
      </w:r>
    </w:p>
  </w:endnote>
  <w:endnote w:type="continuationSeparator" w:id="0">
    <w:p w:rsidR="00A83C47" w:rsidRDefault="00A83C47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47" w:rsidRDefault="00A83C47" w:rsidP="00E42B11">
      <w:r>
        <w:separator/>
      </w:r>
    </w:p>
  </w:footnote>
  <w:footnote w:type="continuationSeparator" w:id="0">
    <w:p w:rsidR="00A83C47" w:rsidRDefault="00A83C47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D7A"/>
    <w:multiLevelType w:val="hybridMultilevel"/>
    <w:tmpl w:val="02C6D360"/>
    <w:lvl w:ilvl="0" w:tplc="DB18C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EA67F3D"/>
    <w:multiLevelType w:val="hybridMultilevel"/>
    <w:tmpl w:val="100AAFC0"/>
    <w:lvl w:ilvl="0" w:tplc="946467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D071C92"/>
    <w:multiLevelType w:val="hybridMultilevel"/>
    <w:tmpl w:val="45BA6D3A"/>
    <w:lvl w:ilvl="0" w:tplc="D5AE335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452C5B"/>
    <w:multiLevelType w:val="hybridMultilevel"/>
    <w:tmpl w:val="F1EC9BD4"/>
    <w:lvl w:ilvl="0" w:tplc="E81645E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04475"/>
    <w:rsid w:val="00026241"/>
    <w:rsid w:val="00034EB6"/>
    <w:rsid w:val="000447A7"/>
    <w:rsid w:val="00061247"/>
    <w:rsid w:val="00067D54"/>
    <w:rsid w:val="00076FD4"/>
    <w:rsid w:val="000775FC"/>
    <w:rsid w:val="00084CF4"/>
    <w:rsid w:val="000A20E0"/>
    <w:rsid w:val="000B2D52"/>
    <w:rsid w:val="000C3DC4"/>
    <w:rsid w:val="000C7502"/>
    <w:rsid w:val="000F2E33"/>
    <w:rsid w:val="00105CBB"/>
    <w:rsid w:val="001123E8"/>
    <w:rsid w:val="001438CC"/>
    <w:rsid w:val="0016001C"/>
    <w:rsid w:val="001610B6"/>
    <w:rsid w:val="00165214"/>
    <w:rsid w:val="00167336"/>
    <w:rsid w:val="0016769D"/>
    <w:rsid w:val="001769C2"/>
    <w:rsid w:val="0018246E"/>
    <w:rsid w:val="00183D68"/>
    <w:rsid w:val="00186FD0"/>
    <w:rsid w:val="0019606C"/>
    <w:rsid w:val="001B7910"/>
    <w:rsid w:val="001D1969"/>
    <w:rsid w:val="001D2F7A"/>
    <w:rsid w:val="001F1BB1"/>
    <w:rsid w:val="001F1EDF"/>
    <w:rsid w:val="001F1FC7"/>
    <w:rsid w:val="001F2ACD"/>
    <w:rsid w:val="001F7B76"/>
    <w:rsid w:val="0020760D"/>
    <w:rsid w:val="002245B7"/>
    <w:rsid w:val="002257A2"/>
    <w:rsid w:val="00242066"/>
    <w:rsid w:val="00265805"/>
    <w:rsid w:val="00271616"/>
    <w:rsid w:val="00294574"/>
    <w:rsid w:val="002979A4"/>
    <w:rsid w:val="002A28C4"/>
    <w:rsid w:val="002B5EE3"/>
    <w:rsid w:val="002C151E"/>
    <w:rsid w:val="002E53B1"/>
    <w:rsid w:val="002E6810"/>
    <w:rsid w:val="002E79A4"/>
    <w:rsid w:val="003164A8"/>
    <w:rsid w:val="0032384A"/>
    <w:rsid w:val="003323FF"/>
    <w:rsid w:val="00347423"/>
    <w:rsid w:val="003524F8"/>
    <w:rsid w:val="00353DB6"/>
    <w:rsid w:val="00357CFC"/>
    <w:rsid w:val="00384E66"/>
    <w:rsid w:val="0038530C"/>
    <w:rsid w:val="003A4F2D"/>
    <w:rsid w:val="003B13DE"/>
    <w:rsid w:val="003B3D31"/>
    <w:rsid w:val="003B6E40"/>
    <w:rsid w:val="003C2657"/>
    <w:rsid w:val="003C6D13"/>
    <w:rsid w:val="003D1418"/>
    <w:rsid w:val="003D3D4D"/>
    <w:rsid w:val="003D4DBA"/>
    <w:rsid w:val="003D787F"/>
    <w:rsid w:val="003E3CDE"/>
    <w:rsid w:val="003E7E11"/>
    <w:rsid w:val="003F1344"/>
    <w:rsid w:val="0040702C"/>
    <w:rsid w:val="0041186A"/>
    <w:rsid w:val="00416ECC"/>
    <w:rsid w:val="00430AE5"/>
    <w:rsid w:val="004325E1"/>
    <w:rsid w:val="00432E4F"/>
    <w:rsid w:val="0043305A"/>
    <w:rsid w:val="00436893"/>
    <w:rsid w:val="00445857"/>
    <w:rsid w:val="004476A0"/>
    <w:rsid w:val="004505A9"/>
    <w:rsid w:val="00480C55"/>
    <w:rsid w:val="00482A89"/>
    <w:rsid w:val="00484919"/>
    <w:rsid w:val="004A59D4"/>
    <w:rsid w:val="004B01BE"/>
    <w:rsid w:val="004B0D28"/>
    <w:rsid w:val="004B1115"/>
    <w:rsid w:val="004B11FA"/>
    <w:rsid w:val="004B57EF"/>
    <w:rsid w:val="004D6789"/>
    <w:rsid w:val="004D6F09"/>
    <w:rsid w:val="00504FE1"/>
    <w:rsid w:val="00525364"/>
    <w:rsid w:val="00527CDB"/>
    <w:rsid w:val="00535C36"/>
    <w:rsid w:val="00545CE3"/>
    <w:rsid w:val="00550BC4"/>
    <w:rsid w:val="00553CFE"/>
    <w:rsid w:val="0055426C"/>
    <w:rsid w:val="00557F6B"/>
    <w:rsid w:val="00565E65"/>
    <w:rsid w:val="005757AB"/>
    <w:rsid w:val="005978D1"/>
    <w:rsid w:val="005A19B4"/>
    <w:rsid w:val="005B1AFF"/>
    <w:rsid w:val="005B583E"/>
    <w:rsid w:val="005B7A75"/>
    <w:rsid w:val="005D137B"/>
    <w:rsid w:val="005E73E5"/>
    <w:rsid w:val="00601E3D"/>
    <w:rsid w:val="00607065"/>
    <w:rsid w:val="00616CAD"/>
    <w:rsid w:val="006207C7"/>
    <w:rsid w:val="006300D0"/>
    <w:rsid w:val="00630450"/>
    <w:rsid w:val="00632F7D"/>
    <w:rsid w:val="00634D0A"/>
    <w:rsid w:val="006358D5"/>
    <w:rsid w:val="006478FF"/>
    <w:rsid w:val="0066013F"/>
    <w:rsid w:val="00660FDC"/>
    <w:rsid w:val="00670EC8"/>
    <w:rsid w:val="00682D6D"/>
    <w:rsid w:val="00683E06"/>
    <w:rsid w:val="00692C11"/>
    <w:rsid w:val="006A0F9B"/>
    <w:rsid w:val="006A5F01"/>
    <w:rsid w:val="006A6B70"/>
    <w:rsid w:val="006B1D7F"/>
    <w:rsid w:val="006B61CA"/>
    <w:rsid w:val="006C7B48"/>
    <w:rsid w:val="0070517F"/>
    <w:rsid w:val="00714621"/>
    <w:rsid w:val="007225B3"/>
    <w:rsid w:val="00731412"/>
    <w:rsid w:val="0073787C"/>
    <w:rsid w:val="00740262"/>
    <w:rsid w:val="00742A76"/>
    <w:rsid w:val="0076122B"/>
    <w:rsid w:val="00765D1B"/>
    <w:rsid w:val="00771C77"/>
    <w:rsid w:val="00774489"/>
    <w:rsid w:val="0077742B"/>
    <w:rsid w:val="00777D87"/>
    <w:rsid w:val="00782D7F"/>
    <w:rsid w:val="00787C85"/>
    <w:rsid w:val="00792BDC"/>
    <w:rsid w:val="00793B44"/>
    <w:rsid w:val="007A776B"/>
    <w:rsid w:val="007B501B"/>
    <w:rsid w:val="00833046"/>
    <w:rsid w:val="00845254"/>
    <w:rsid w:val="00865038"/>
    <w:rsid w:val="00883A4F"/>
    <w:rsid w:val="008B151B"/>
    <w:rsid w:val="008B6D9D"/>
    <w:rsid w:val="008E16F2"/>
    <w:rsid w:val="008E240B"/>
    <w:rsid w:val="008F470E"/>
    <w:rsid w:val="00920DA3"/>
    <w:rsid w:val="00921320"/>
    <w:rsid w:val="00934839"/>
    <w:rsid w:val="00962762"/>
    <w:rsid w:val="009670FB"/>
    <w:rsid w:val="00973104"/>
    <w:rsid w:val="009763FD"/>
    <w:rsid w:val="009775C0"/>
    <w:rsid w:val="009C3DF8"/>
    <w:rsid w:val="009D6CCE"/>
    <w:rsid w:val="009E54AD"/>
    <w:rsid w:val="009E5AD4"/>
    <w:rsid w:val="009F14C0"/>
    <w:rsid w:val="009F3A99"/>
    <w:rsid w:val="009F585F"/>
    <w:rsid w:val="00A136F5"/>
    <w:rsid w:val="00A24152"/>
    <w:rsid w:val="00A251DF"/>
    <w:rsid w:val="00A31900"/>
    <w:rsid w:val="00A50646"/>
    <w:rsid w:val="00A56F1E"/>
    <w:rsid w:val="00A744B8"/>
    <w:rsid w:val="00A7613E"/>
    <w:rsid w:val="00A83C47"/>
    <w:rsid w:val="00A86F3C"/>
    <w:rsid w:val="00A920CC"/>
    <w:rsid w:val="00AA3989"/>
    <w:rsid w:val="00AA6103"/>
    <w:rsid w:val="00AB1EBD"/>
    <w:rsid w:val="00AC0AFF"/>
    <w:rsid w:val="00AD2D0C"/>
    <w:rsid w:val="00AE0DB4"/>
    <w:rsid w:val="00AF3364"/>
    <w:rsid w:val="00AF3847"/>
    <w:rsid w:val="00AF4C4A"/>
    <w:rsid w:val="00B01F57"/>
    <w:rsid w:val="00B335AF"/>
    <w:rsid w:val="00B352EF"/>
    <w:rsid w:val="00B36784"/>
    <w:rsid w:val="00B82B81"/>
    <w:rsid w:val="00B839B2"/>
    <w:rsid w:val="00B8437C"/>
    <w:rsid w:val="00B94046"/>
    <w:rsid w:val="00B95A73"/>
    <w:rsid w:val="00BA1A5A"/>
    <w:rsid w:val="00BA2131"/>
    <w:rsid w:val="00BC36F4"/>
    <w:rsid w:val="00BC3E4B"/>
    <w:rsid w:val="00BD5FB0"/>
    <w:rsid w:val="00BF4382"/>
    <w:rsid w:val="00BF55F4"/>
    <w:rsid w:val="00C135C7"/>
    <w:rsid w:val="00C14AEA"/>
    <w:rsid w:val="00C1608A"/>
    <w:rsid w:val="00C21680"/>
    <w:rsid w:val="00C36377"/>
    <w:rsid w:val="00C40A6B"/>
    <w:rsid w:val="00C50155"/>
    <w:rsid w:val="00C86A89"/>
    <w:rsid w:val="00C873F1"/>
    <w:rsid w:val="00C90BC7"/>
    <w:rsid w:val="00C966FC"/>
    <w:rsid w:val="00C9676B"/>
    <w:rsid w:val="00CA5233"/>
    <w:rsid w:val="00CA6807"/>
    <w:rsid w:val="00CB36F1"/>
    <w:rsid w:val="00CC04CB"/>
    <w:rsid w:val="00CD4799"/>
    <w:rsid w:val="00CF6CE0"/>
    <w:rsid w:val="00D04288"/>
    <w:rsid w:val="00D160E5"/>
    <w:rsid w:val="00D40EC5"/>
    <w:rsid w:val="00D437B8"/>
    <w:rsid w:val="00D6033F"/>
    <w:rsid w:val="00D72610"/>
    <w:rsid w:val="00D816AF"/>
    <w:rsid w:val="00D92F7A"/>
    <w:rsid w:val="00D957E4"/>
    <w:rsid w:val="00DA0767"/>
    <w:rsid w:val="00DB17F1"/>
    <w:rsid w:val="00DC347E"/>
    <w:rsid w:val="00DC3C80"/>
    <w:rsid w:val="00DC5710"/>
    <w:rsid w:val="00DC5FF2"/>
    <w:rsid w:val="00DC7FEB"/>
    <w:rsid w:val="00DD6476"/>
    <w:rsid w:val="00DE5EE5"/>
    <w:rsid w:val="00DF2704"/>
    <w:rsid w:val="00DF6B41"/>
    <w:rsid w:val="00E04033"/>
    <w:rsid w:val="00E05C2B"/>
    <w:rsid w:val="00E11955"/>
    <w:rsid w:val="00E268C3"/>
    <w:rsid w:val="00E2759E"/>
    <w:rsid w:val="00E35A7D"/>
    <w:rsid w:val="00E42B11"/>
    <w:rsid w:val="00E44B19"/>
    <w:rsid w:val="00E46765"/>
    <w:rsid w:val="00E56E11"/>
    <w:rsid w:val="00E65752"/>
    <w:rsid w:val="00E71B61"/>
    <w:rsid w:val="00E73C20"/>
    <w:rsid w:val="00E82255"/>
    <w:rsid w:val="00E9356F"/>
    <w:rsid w:val="00EA062C"/>
    <w:rsid w:val="00EA2D02"/>
    <w:rsid w:val="00EA4F76"/>
    <w:rsid w:val="00EB7F6E"/>
    <w:rsid w:val="00EC34B0"/>
    <w:rsid w:val="00ED0764"/>
    <w:rsid w:val="00ED38CE"/>
    <w:rsid w:val="00ED4904"/>
    <w:rsid w:val="00ED7259"/>
    <w:rsid w:val="00EE4B94"/>
    <w:rsid w:val="00EE4D47"/>
    <w:rsid w:val="00EE4FC5"/>
    <w:rsid w:val="00EF492B"/>
    <w:rsid w:val="00EF66DE"/>
    <w:rsid w:val="00F047C3"/>
    <w:rsid w:val="00F0722C"/>
    <w:rsid w:val="00F133DC"/>
    <w:rsid w:val="00F21DEB"/>
    <w:rsid w:val="00F25B10"/>
    <w:rsid w:val="00F307C3"/>
    <w:rsid w:val="00F3586A"/>
    <w:rsid w:val="00F36938"/>
    <w:rsid w:val="00F62692"/>
    <w:rsid w:val="00F71F44"/>
    <w:rsid w:val="00F7783B"/>
    <w:rsid w:val="00F82988"/>
    <w:rsid w:val="00F91201"/>
    <w:rsid w:val="00FB2CE7"/>
    <w:rsid w:val="00FD0B11"/>
    <w:rsid w:val="00FD57E3"/>
    <w:rsid w:val="00FE1CE8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1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2B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16AF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D816A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D816AF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D816AF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D816AF"/>
    <w:rPr>
      <w:b/>
      <w:bCs/>
    </w:rPr>
  </w:style>
  <w:style w:type="paragraph" w:styleId="aa">
    <w:name w:val="List Paragraph"/>
    <w:basedOn w:val="a"/>
    <w:uiPriority w:val="34"/>
    <w:qFormat/>
    <w:rsid w:val="00D816A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2BD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792BD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92BDC"/>
    <w:pPr>
      <w:spacing w:before="240"/>
      <w:jc w:val="left"/>
    </w:pPr>
    <w:rPr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792BDC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792BDC"/>
    <w:pPr>
      <w:ind w:left="21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92BDC"/>
    <w:pPr>
      <w:ind w:left="4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92BDC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92BDC"/>
    <w:pPr>
      <w:ind w:left="84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92BDC"/>
    <w:pPr>
      <w:ind w:left="105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92BDC"/>
    <w:pPr>
      <w:ind w:left="12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92BDC"/>
    <w:pPr>
      <w:ind w:left="1470"/>
      <w:jc w:val="left"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792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616;&#37329;&#23453;-&#28155;&#21033;1&#21495;\&#36816;&#20316;&#25253;&#21578;\te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七日年化收益率</c:v>
                </c:pt>
              </c:strCache>
            </c:strRef>
          </c:tx>
          <c:marker>
            <c:symbol val="none"/>
          </c:marker>
          <c:cat>
            <c:numRef>
              <c:f>Sheet2!$A$186:$A$275</c:f>
              <c:numCache>
                <c:formatCode>yyyy/m/d</c:formatCode>
                <c:ptCount val="90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89">
                  <c:v>43555</c:v>
                </c:pt>
              </c:numCache>
            </c:numRef>
          </c:cat>
          <c:val>
            <c:numRef>
              <c:f>Sheet2!$B$186:$B$275</c:f>
              <c:numCache>
                <c:formatCode>0.0000%</c:formatCode>
                <c:ptCount val="90"/>
                <c:pt idx="0">
                  <c:v>4.0139999999999995E-2</c:v>
                </c:pt>
                <c:pt idx="1">
                  <c:v>4.0430000000000049E-2</c:v>
                </c:pt>
                <c:pt idx="2">
                  <c:v>4.0550000000000003E-2</c:v>
                </c:pt>
                <c:pt idx="3">
                  <c:v>4.052E-2</c:v>
                </c:pt>
                <c:pt idx="4">
                  <c:v>4.0379999999999999E-2</c:v>
                </c:pt>
                <c:pt idx="5">
                  <c:v>4.031000000000004E-2</c:v>
                </c:pt>
                <c:pt idx="6">
                  <c:v>4.0289999999999986E-2</c:v>
                </c:pt>
                <c:pt idx="7">
                  <c:v>4.0340000000000022E-2</c:v>
                </c:pt>
                <c:pt idx="8">
                  <c:v>4.0059999999999998E-2</c:v>
                </c:pt>
                <c:pt idx="9">
                  <c:v>3.9880000000000033E-2</c:v>
                </c:pt>
                <c:pt idx="10">
                  <c:v>3.9760000000000004E-2</c:v>
                </c:pt>
                <c:pt idx="11">
                  <c:v>3.9700000000000006E-2</c:v>
                </c:pt>
                <c:pt idx="12">
                  <c:v>3.9650000000000012E-2</c:v>
                </c:pt>
                <c:pt idx="13">
                  <c:v>3.9600000000000038E-2</c:v>
                </c:pt>
                <c:pt idx="14">
                  <c:v>3.9550000000000002E-2</c:v>
                </c:pt>
                <c:pt idx="15">
                  <c:v>3.9630000000000012E-2</c:v>
                </c:pt>
                <c:pt idx="16">
                  <c:v>3.9740000000000011E-2</c:v>
                </c:pt>
                <c:pt idx="17">
                  <c:v>3.9930000000000014E-2</c:v>
                </c:pt>
                <c:pt idx="18">
                  <c:v>4.0120000000000003E-2</c:v>
                </c:pt>
                <c:pt idx="19">
                  <c:v>4.0320000000000022E-2</c:v>
                </c:pt>
                <c:pt idx="20">
                  <c:v>4.0490000000000033E-2</c:v>
                </c:pt>
                <c:pt idx="21">
                  <c:v>4.059000000000005E-2</c:v>
                </c:pt>
                <c:pt idx="22">
                  <c:v>4.0649999999999985E-2</c:v>
                </c:pt>
                <c:pt idx="23">
                  <c:v>4.0669999999999998E-2</c:v>
                </c:pt>
                <c:pt idx="24">
                  <c:v>4.0639999999999996E-2</c:v>
                </c:pt>
                <c:pt idx="25">
                  <c:v>4.059000000000005E-2</c:v>
                </c:pt>
                <c:pt idx="26">
                  <c:v>4.0550000000000003E-2</c:v>
                </c:pt>
                <c:pt idx="27">
                  <c:v>4.0450000000000014E-2</c:v>
                </c:pt>
                <c:pt idx="28">
                  <c:v>4.0320000000000022E-2</c:v>
                </c:pt>
                <c:pt idx="29">
                  <c:v>4.0200000000000007E-2</c:v>
                </c:pt>
                <c:pt idx="30">
                  <c:v>4.0100000000000004E-2</c:v>
                </c:pt>
                <c:pt idx="31">
                  <c:v>3.9970000000000006E-2</c:v>
                </c:pt>
                <c:pt idx="32">
                  <c:v>3.9730000000000015E-2</c:v>
                </c:pt>
                <c:pt idx="33">
                  <c:v>3.9450000000000013E-2</c:v>
                </c:pt>
                <c:pt idx="34">
                  <c:v>3.9150000000000004E-2</c:v>
                </c:pt>
                <c:pt idx="35">
                  <c:v>3.8870000000000016E-2</c:v>
                </c:pt>
                <c:pt idx="36">
                  <c:v>3.8590000000000006E-2</c:v>
                </c:pt>
                <c:pt idx="37">
                  <c:v>3.8280000000000008E-2</c:v>
                </c:pt>
                <c:pt idx="38">
                  <c:v>3.806000000000001E-2</c:v>
                </c:pt>
                <c:pt idx="39">
                  <c:v>3.7980000000000055E-2</c:v>
                </c:pt>
                <c:pt idx="40">
                  <c:v>3.7940000000000015E-2</c:v>
                </c:pt>
                <c:pt idx="41">
                  <c:v>3.7980000000000055E-2</c:v>
                </c:pt>
                <c:pt idx="42">
                  <c:v>3.8050000000000007E-2</c:v>
                </c:pt>
                <c:pt idx="43">
                  <c:v>3.8129999999999997E-2</c:v>
                </c:pt>
                <c:pt idx="44">
                  <c:v>3.8180000000000006E-2</c:v>
                </c:pt>
                <c:pt idx="45">
                  <c:v>3.8350000000000002E-2</c:v>
                </c:pt>
                <c:pt idx="46">
                  <c:v>3.8350000000000002E-2</c:v>
                </c:pt>
                <c:pt idx="47">
                  <c:v>3.8340000000000006E-2</c:v>
                </c:pt>
                <c:pt idx="48">
                  <c:v>3.8350000000000002E-2</c:v>
                </c:pt>
                <c:pt idx="49">
                  <c:v>3.8350000000000002E-2</c:v>
                </c:pt>
                <c:pt idx="50">
                  <c:v>3.8350000000000002E-2</c:v>
                </c:pt>
                <c:pt idx="51">
                  <c:v>3.8410000000000014E-2</c:v>
                </c:pt>
                <c:pt idx="52">
                  <c:v>3.8340000000000006E-2</c:v>
                </c:pt>
                <c:pt idx="53">
                  <c:v>3.842000000000001E-2</c:v>
                </c:pt>
                <c:pt idx="54">
                  <c:v>3.849000000000001E-2</c:v>
                </c:pt>
                <c:pt idx="55">
                  <c:v>3.858000000000001E-2</c:v>
                </c:pt>
                <c:pt idx="56">
                  <c:v>3.8680000000000013E-2</c:v>
                </c:pt>
                <c:pt idx="57">
                  <c:v>3.8810000000000011E-2</c:v>
                </c:pt>
                <c:pt idx="58">
                  <c:v>3.891E-2</c:v>
                </c:pt>
                <c:pt idx="59">
                  <c:v>3.8950000000000005E-2</c:v>
                </c:pt>
                <c:pt idx="60">
                  <c:v>3.8990000000000004E-2</c:v>
                </c:pt>
                <c:pt idx="61">
                  <c:v>3.9030000000000016E-2</c:v>
                </c:pt>
                <c:pt idx="62">
                  <c:v>3.9010000000000017E-2</c:v>
                </c:pt>
                <c:pt idx="63">
                  <c:v>3.8940000000000002E-2</c:v>
                </c:pt>
                <c:pt idx="64">
                  <c:v>3.8810000000000011E-2</c:v>
                </c:pt>
                <c:pt idx="65">
                  <c:v>3.8680000000000013E-2</c:v>
                </c:pt>
                <c:pt idx="66">
                  <c:v>3.8570000000000014E-2</c:v>
                </c:pt>
                <c:pt idx="67">
                  <c:v>3.8500000000000006E-2</c:v>
                </c:pt>
                <c:pt idx="68">
                  <c:v>3.842000000000001E-2</c:v>
                </c:pt>
                <c:pt idx="69">
                  <c:v>3.8380000000000004E-2</c:v>
                </c:pt>
                <c:pt idx="70">
                  <c:v>3.8280000000000008E-2</c:v>
                </c:pt>
                <c:pt idx="71">
                  <c:v>3.8340000000000006E-2</c:v>
                </c:pt>
                <c:pt idx="72">
                  <c:v>3.8440000000000009E-2</c:v>
                </c:pt>
                <c:pt idx="73">
                  <c:v>3.8840000000000013E-2</c:v>
                </c:pt>
                <c:pt idx="74">
                  <c:v>3.8820000000000007E-2</c:v>
                </c:pt>
                <c:pt idx="75">
                  <c:v>3.8800000000000015E-2</c:v>
                </c:pt>
                <c:pt idx="76">
                  <c:v>3.8769999999999999E-2</c:v>
                </c:pt>
                <c:pt idx="77">
                  <c:v>3.876000000000001E-2</c:v>
                </c:pt>
                <c:pt idx="78">
                  <c:v>3.8640000000000015E-2</c:v>
                </c:pt>
                <c:pt idx="79">
                  <c:v>3.8500000000000006E-2</c:v>
                </c:pt>
                <c:pt idx="80">
                  <c:v>3.8070000000000041E-2</c:v>
                </c:pt>
                <c:pt idx="81">
                  <c:v>3.8050000000000007E-2</c:v>
                </c:pt>
                <c:pt idx="82">
                  <c:v>3.8030000000000015E-2</c:v>
                </c:pt>
                <c:pt idx="83">
                  <c:v>3.7980000000000055E-2</c:v>
                </c:pt>
                <c:pt idx="84">
                  <c:v>3.7950000000000012E-2</c:v>
                </c:pt>
                <c:pt idx="85">
                  <c:v>3.7930000000000012E-2</c:v>
                </c:pt>
                <c:pt idx="86">
                  <c:v>3.7930000000000012E-2</c:v>
                </c:pt>
                <c:pt idx="87">
                  <c:v>3.8129999999999997E-2</c:v>
                </c:pt>
                <c:pt idx="88">
                  <c:v>3.842000000000001E-2</c:v>
                </c:pt>
                <c:pt idx="89">
                  <c:v>3.8710000000000001E-2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业绩比较基准</c:v>
                </c:pt>
              </c:strCache>
            </c:strRef>
          </c:tx>
          <c:marker>
            <c:symbol val="none"/>
          </c:marker>
          <c:cat>
            <c:numRef>
              <c:f>Sheet2!$A$186:$A$275</c:f>
              <c:numCache>
                <c:formatCode>yyyy/m/d</c:formatCode>
                <c:ptCount val="90"/>
                <c:pt idx="0">
                  <c:v>43466</c:v>
                </c:pt>
                <c:pt idx="1">
                  <c:v>43467</c:v>
                </c:pt>
                <c:pt idx="2">
                  <c:v>43468</c:v>
                </c:pt>
                <c:pt idx="3">
                  <c:v>43469</c:v>
                </c:pt>
                <c:pt idx="4">
                  <c:v>43470</c:v>
                </c:pt>
                <c:pt idx="5">
                  <c:v>43471</c:v>
                </c:pt>
                <c:pt idx="6">
                  <c:v>43472</c:v>
                </c:pt>
                <c:pt idx="7">
                  <c:v>43473</c:v>
                </c:pt>
                <c:pt idx="8">
                  <c:v>43474</c:v>
                </c:pt>
                <c:pt idx="9">
                  <c:v>43475</c:v>
                </c:pt>
                <c:pt idx="10">
                  <c:v>43476</c:v>
                </c:pt>
                <c:pt idx="11">
                  <c:v>43477</c:v>
                </c:pt>
                <c:pt idx="12">
                  <c:v>43478</c:v>
                </c:pt>
                <c:pt idx="13">
                  <c:v>43479</c:v>
                </c:pt>
                <c:pt idx="14">
                  <c:v>43480</c:v>
                </c:pt>
                <c:pt idx="15">
                  <c:v>43481</c:v>
                </c:pt>
                <c:pt idx="16">
                  <c:v>43482</c:v>
                </c:pt>
                <c:pt idx="17">
                  <c:v>43483</c:v>
                </c:pt>
                <c:pt idx="18">
                  <c:v>43484</c:v>
                </c:pt>
                <c:pt idx="19">
                  <c:v>43485</c:v>
                </c:pt>
                <c:pt idx="20">
                  <c:v>43486</c:v>
                </c:pt>
                <c:pt idx="21">
                  <c:v>43487</c:v>
                </c:pt>
                <c:pt idx="22">
                  <c:v>43488</c:v>
                </c:pt>
                <c:pt idx="23">
                  <c:v>43489</c:v>
                </c:pt>
                <c:pt idx="24">
                  <c:v>43490</c:v>
                </c:pt>
                <c:pt idx="25">
                  <c:v>43491</c:v>
                </c:pt>
                <c:pt idx="26">
                  <c:v>43492</c:v>
                </c:pt>
                <c:pt idx="27">
                  <c:v>43493</c:v>
                </c:pt>
                <c:pt idx="28">
                  <c:v>43494</c:v>
                </c:pt>
                <c:pt idx="29">
                  <c:v>43495</c:v>
                </c:pt>
                <c:pt idx="30">
                  <c:v>43496</c:v>
                </c:pt>
                <c:pt idx="31">
                  <c:v>43497</c:v>
                </c:pt>
                <c:pt idx="32">
                  <c:v>43498</c:v>
                </c:pt>
                <c:pt idx="33">
                  <c:v>43499</c:v>
                </c:pt>
                <c:pt idx="34">
                  <c:v>43500</c:v>
                </c:pt>
                <c:pt idx="35">
                  <c:v>43501</c:v>
                </c:pt>
                <c:pt idx="36">
                  <c:v>43502</c:v>
                </c:pt>
                <c:pt idx="37">
                  <c:v>43503</c:v>
                </c:pt>
                <c:pt idx="38">
                  <c:v>43504</c:v>
                </c:pt>
                <c:pt idx="39">
                  <c:v>43505</c:v>
                </c:pt>
                <c:pt idx="40">
                  <c:v>43506</c:v>
                </c:pt>
                <c:pt idx="41">
                  <c:v>43507</c:v>
                </c:pt>
                <c:pt idx="42">
                  <c:v>43508</c:v>
                </c:pt>
                <c:pt idx="43">
                  <c:v>43509</c:v>
                </c:pt>
                <c:pt idx="44">
                  <c:v>43510</c:v>
                </c:pt>
                <c:pt idx="45">
                  <c:v>43511</c:v>
                </c:pt>
                <c:pt idx="46">
                  <c:v>43512</c:v>
                </c:pt>
                <c:pt idx="47">
                  <c:v>43513</c:v>
                </c:pt>
                <c:pt idx="48">
                  <c:v>43514</c:v>
                </c:pt>
                <c:pt idx="49">
                  <c:v>43515</c:v>
                </c:pt>
                <c:pt idx="50">
                  <c:v>43516</c:v>
                </c:pt>
                <c:pt idx="51">
                  <c:v>43517</c:v>
                </c:pt>
                <c:pt idx="52">
                  <c:v>43518</c:v>
                </c:pt>
                <c:pt idx="53">
                  <c:v>43519</c:v>
                </c:pt>
                <c:pt idx="54">
                  <c:v>43520</c:v>
                </c:pt>
                <c:pt idx="55">
                  <c:v>43521</c:v>
                </c:pt>
                <c:pt idx="56">
                  <c:v>43522</c:v>
                </c:pt>
                <c:pt idx="57">
                  <c:v>43523</c:v>
                </c:pt>
                <c:pt idx="58">
                  <c:v>43524</c:v>
                </c:pt>
                <c:pt idx="59">
                  <c:v>43525</c:v>
                </c:pt>
                <c:pt idx="60">
                  <c:v>43526</c:v>
                </c:pt>
                <c:pt idx="61">
                  <c:v>43527</c:v>
                </c:pt>
                <c:pt idx="62">
                  <c:v>43528</c:v>
                </c:pt>
                <c:pt idx="63">
                  <c:v>43529</c:v>
                </c:pt>
                <c:pt idx="64">
                  <c:v>43530</c:v>
                </c:pt>
                <c:pt idx="65">
                  <c:v>43531</c:v>
                </c:pt>
                <c:pt idx="66">
                  <c:v>43532</c:v>
                </c:pt>
                <c:pt idx="67">
                  <c:v>43533</c:v>
                </c:pt>
                <c:pt idx="68">
                  <c:v>43534</c:v>
                </c:pt>
                <c:pt idx="69">
                  <c:v>43535</c:v>
                </c:pt>
                <c:pt idx="70">
                  <c:v>43536</c:v>
                </c:pt>
                <c:pt idx="71">
                  <c:v>43537</c:v>
                </c:pt>
                <c:pt idx="72">
                  <c:v>43538</c:v>
                </c:pt>
                <c:pt idx="73">
                  <c:v>43539</c:v>
                </c:pt>
                <c:pt idx="74">
                  <c:v>43540</c:v>
                </c:pt>
                <c:pt idx="75">
                  <c:v>43541</c:v>
                </c:pt>
                <c:pt idx="76">
                  <c:v>43542</c:v>
                </c:pt>
                <c:pt idx="77">
                  <c:v>43543</c:v>
                </c:pt>
                <c:pt idx="78">
                  <c:v>43544</c:v>
                </c:pt>
                <c:pt idx="79">
                  <c:v>43545</c:v>
                </c:pt>
                <c:pt idx="80">
                  <c:v>43546</c:v>
                </c:pt>
                <c:pt idx="81">
                  <c:v>43547</c:v>
                </c:pt>
                <c:pt idx="82">
                  <c:v>43548</c:v>
                </c:pt>
                <c:pt idx="83">
                  <c:v>43549</c:v>
                </c:pt>
                <c:pt idx="84">
                  <c:v>43550</c:v>
                </c:pt>
                <c:pt idx="85">
                  <c:v>43551</c:v>
                </c:pt>
                <c:pt idx="86">
                  <c:v>43552</c:v>
                </c:pt>
                <c:pt idx="87">
                  <c:v>43553</c:v>
                </c:pt>
                <c:pt idx="88">
                  <c:v>43554</c:v>
                </c:pt>
                <c:pt idx="89">
                  <c:v>43555</c:v>
                </c:pt>
              </c:numCache>
            </c:numRef>
          </c:cat>
          <c:val>
            <c:numRef>
              <c:f>Sheet2!$C$186:$C$275</c:f>
              <c:numCache>
                <c:formatCode>0.00%</c:formatCode>
                <c:ptCount val="90"/>
                <c:pt idx="0">
                  <c:v>3.5000000000000038E-2</c:v>
                </c:pt>
                <c:pt idx="1">
                  <c:v>3.5000000000000038E-2</c:v>
                </c:pt>
                <c:pt idx="2">
                  <c:v>3.5000000000000038E-2</c:v>
                </c:pt>
                <c:pt idx="3">
                  <c:v>3.5000000000000038E-2</c:v>
                </c:pt>
                <c:pt idx="4">
                  <c:v>3.5000000000000038E-2</c:v>
                </c:pt>
                <c:pt idx="5">
                  <c:v>3.5000000000000038E-2</c:v>
                </c:pt>
                <c:pt idx="6">
                  <c:v>3.5000000000000038E-2</c:v>
                </c:pt>
                <c:pt idx="7">
                  <c:v>3.5000000000000038E-2</c:v>
                </c:pt>
                <c:pt idx="8">
                  <c:v>3.5000000000000038E-2</c:v>
                </c:pt>
                <c:pt idx="9">
                  <c:v>3.5000000000000038E-2</c:v>
                </c:pt>
                <c:pt idx="10">
                  <c:v>3.5000000000000038E-2</c:v>
                </c:pt>
                <c:pt idx="11">
                  <c:v>3.5000000000000038E-2</c:v>
                </c:pt>
                <c:pt idx="12">
                  <c:v>3.5000000000000038E-2</c:v>
                </c:pt>
                <c:pt idx="13">
                  <c:v>3.5000000000000038E-2</c:v>
                </c:pt>
                <c:pt idx="14">
                  <c:v>3.5000000000000038E-2</c:v>
                </c:pt>
                <c:pt idx="15">
                  <c:v>3.5000000000000038E-2</c:v>
                </c:pt>
                <c:pt idx="16">
                  <c:v>3.5000000000000038E-2</c:v>
                </c:pt>
                <c:pt idx="17">
                  <c:v>3.5000000000000038E-2</c:v>
                </c:pt>
                <c:pt idx="18">
                  <c:v>3.5000000000000038E-2</c:v>
                </c:pt>
                <c:pt idx="19">
                  <c:v>3.5000000000000038E-2</c:v>
                </c:pt>
                <c:pt idx="20">
                  <c:v>3.5000000000000038E-2</c:v>
                </c:pt>
                <c:pt idx="21">
                  <c:v>3.5000000000000038E-2</c:v>
                </c:pt>
                <c:pt idx="22">
                  <c:v>3.5000000000000038E-2</c:v>
                </c:pt>
                <c:pt idx="23">
                  <c:v>3.5000000000000038E-2</c:v>
                </c:pt>
                <c:pt idx="24">
                  <c:v>3.5000000000000038E-2</c:v>
                </c:pt>
                <c:pt idx="25">
                  <c:v>3.5000000000000038E-2</c:v>
                </c:pt>
                <c:pt idx="26">
                  <c:v>3.5000000000000038E-2</c:v>
                </c:pt>
                <c:pt idx="27">
                  <c:v>3.5000000000000038E-2</c:v>
                </c:pt>
                <c:pt idx="28">
                  <c:v>3.5000000000000038E-2</c:v>
                </c:pt>
                <c:pt idx="29">
                  <c:v>3.5000000000000038E-2</c:v>
                </c:pt>
                <c:pt idx="30">
                  <c:v>3.5000000000000038E-2</c:v>
                </c:pt>
                <c:pt idx="31">
                  <c:v>3.5000000000000038E-2</c:v>
                </c:pt>
                <c:pt idx="32">
                  <c:v>3.5000000000000038E-2</c:v>
                </c:pt>
                <c:pt idx="33">
                  <c:v>3.5000000000000038E-2</c:v>
                </c:pt>
                <c:pt idx="34">
                  <c:v>3.5000000000000038E-2</c:v>
                </c:pt>
                <c:pt idx="35">
                  <c:v>3.5000000000000038E-2</c:v>
                </c:pt>
                <c:pt idx="36">
                  <c:v>3.5000000000000038E-2</c:v>
                </c:pt>
                <c:pt idx="37">
                  <c:v>3.5000000000000038E-2</c:v>
                </c:pt>
                <c:pt idx="38">
                  <c:v>3.5000000000000038E-2</c:v>
                </c:pt>
                <c:pt idx="39">
                  <c:v>3.5000000000000038E-2</c:v>
                </c:pt>
                <c:pt idx="40">
                  <c:v>3.5000000000000038E-2</c:v>
                </c:pt>
                <c:pt idx="41">
                  <c:v>3.5000000000000038E-2</c:v>
                </c:pt>
                <c:pt idx="42">
                  <c:v>3.5000000000000038E-2</c:v>
                </c:pt>
                <c:pt idx="43">
                  <c:v>3.5000000000000038E-2</c:v>
                </c:pt>
                <c:pt idx="44">
                  <c:v>3.5000000000000038E-2</c:v>
                </c:pt>
                <c:pt idx="45">
                  <c:v>3.5000000000000038E-2</c:v>
                </c:pt>
                <c:pt idx="46">
                  <c:v>3.5000000000000038E-2</c:v>
                </c:pt>
                <c:pt idx="47">
                  <c:v>3.5000000000000038E-2</c:v>
                </c:pt>
                <c:pt idx="48">
                  <c:v>3.5000000000000038E-2</c:v>
                </c:pt>
                <c:pt idx="49">
                  <c:v>3.5000000000000038E-2</c:v>
                </c:pt>
                <c:pt idx="50">
                  <c:v>3.5000000000000038E-2</c:v>
                </c:pt>
                <c:pt idx="51">
                  <c:v>3.5000000000000038E-2</c:v>
                </c:pt>
                <c:pt idx="52">
                  <c:v>3.5000000000000038E-2</c:v>
                </c:pt>
                <c:pt idx="53">
                  <c:v>3.5000000000000038E-2</c:v>
                </c:pt>
                <c:pt idx="54">
                  <c:v>3.5000000000000038E-2</c:v>
                </c:pt>
                <c:pt idx="55">
                  <c:v>3.5000000000000038E-2</c:v>
                </c:pt>
                <c:pt idx="56">
                  <c:v>3.5000000000000038E-2</c:v>
                </c:pt>
                <c:pt idx="57">
                  <c:v>3.5000000000000038E-2</c:v>
                </c:pt>
                <c:pt idx="58">
                  <c:v>3.5000000000000038E-2</c:v>
                </c:pt>
                <c:pt idx="59">
                  <c:v>3.5000000000000038E-2</c:v>
                </c:pt>
                <c:pt idx="60">
                  <c:v>3.5000000000000038E-2</c:v>
                </c:pt>
                <c:pt idx="61">
                  <c:v>3.5000000000000038E-2</c:v>
                </c:pt>
                <c:pt idx="62">
                  <c:v>3.5000000000000038E-2</c:v>
                </c:pt>
                <c:pt idx="63">
                  <c:v>3.5000000000000038E-2</c:v>
                </c:pt>
                <c:pt idx="64">
                  <c:v>3.5000000000000038E-2</c:v>
                </c:pt>
                <c:pt idx="65">
                  <c:v>3.5000000000000038E-2</c:v>
                </c:pt>
                <c:pt idx="66">
                  <c:v>3.5000000000000038E-2</c:v>
                </c:pt>
                <c:pt idx="67">
                  <c:v>3.5000000000000038E-2</c:v>
                </c:pt>
                <c:pt idx="68">
                  <c:v>3.5000000000000038E-2</c:v>
                </c:pt>
                <c:pt idx="69">
                  <c:v>3.5000000000000038E-2</c:v>
                </c:pt>
                <c:pt idx="70">
                  <c:v>3.5000000000000038E-2</c:v>
                </c:pt>
                <c:pt idx="71">
                  <c:v>3.5000000000000038E-2</c:v>
                </c:pt>
                <c:pt idx="72">
                  <c:v>3.5000000000000038E-2</c:v>
                </c:pt>
                <c:pt idx="73">
                  <c:v>3.5000000000000038E-2</c:v>
                </c:pt>
                <c:pt idx="74">
                  <c:v>3.5000000000000038E-2</c:v>
                </c:pt>
                <c:pt idx="75">
                  <c:v>3.5000000000000038E-2</c:v>
                </c:pt>
                <c:pt idx="76">
                  <c:v>3.5000000000000038E-2</c:v>
                </c:pt>
                <c:pt idx="77">
                  <c:v>3.5000000000000038E-2</c:v>
                </c:pt>
                <c:pt idx="78">
                  <c:v>3.5000000000000038E-2</c:v>
                </c:pt>
                <c:pt idx="79">
                  <c:v>3.5000000000000038E-2</c:v>
                </c:pt>
                <c:pt idx="80">
                  <c:v>3.5000000000000038E-2</c:v>
                </c:pt>
                <c:pt idx="81">
                  <c:v>3.5000000000000038E-2</c:v>
                </c:pt>
                <c:pt idx="82">
                  <c:v>3.5000000000000038E-2</c:v>
                </c:pt>
                <c:pt idx="83">
                  <c:v>3.5000000000000038E-2</c:v>
                </c:pt>
                <c:pt idx="84">
                  <c:v>3.5000000000000038E-2</c:v>
                </c:pt>
                <c:pt idx="85">
                  <c:v>3.5000000000000038E-2</c:v>
                </c:pt>
                <c:pt idx="86">
                  <c:v>3.5000000000000038E-2</c:v>
                </c:pt>
                <c:pt idx="87">
                  <c:v>3.5000000000000038E-2</c:v>
                </c:pt>
                <c:pt idx="88">
                  <c:v>3.5000000000000038E-2</c:v>
                </c:pt>
                <c:pt idx="89">
                  <c:v>3.5000000000000038E-2</c:v>
                </c:pt>
              </c:numCache>
            </c:numRef>
          </c:val>
        </c:ser>
        <c:marker val="1"/>
        <c:axId val="155060096"/>
        <c:axId val="155061632"/>
      </c:lineChart>
      <c:dateAx>
        <c:axId val="155060096"/>
        <c:scaling>
          <c:orientation val="minMax"/>
          <c:max val="43555"/>
          <c:min val="43466"/>
        </c:scaling>
        <c:axPos val="b"/>
        <c:numFmt formatCode="m/d;@" sourceLinked="0"/>
        <c:tickLblPos val="nextTo"/>
        <c:crossAx val="155061632"/>
        <c:crosses val="autoZero"/>
        <c:auto val="1"/>
        <c:lblOffset val="100"/>
        <c:majorUnit val="7"/>
        <c:majorTimeUnit val="days"/>
      </c:dateAx>
      <c:valAx>
        <c:axId val="155061632"/>
        <c:scaling>
          <c:orientation val="minMax"/>
        </c:scaling>
        <c:axPos val="l"/>
        <c:majorGridlines/>
        <c:numFmt formatCode="0.00%" sourceLinked="0"/>
        <c:tickLblPos val="nextTo"/>
        <c:crossAx val="1550600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F1DA-A23A-44E0-B6DB-E0D4800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1115</Words>
  <Characters>6359</Characters>
  <Application>Microsoft Office Word</Application>
  <DocSecurity>0</DocSecurity>
  <Lines>52</Lines>
  <Paragraphs>14</Paragraphs>
  <ScaleCrop>false</ScaleCrop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闫思聪</dc:creator>
  <cp:keywords/>
  <dc:description/>
  <cp:lastModifiedBy>吴姗</cp:lastModifiedBy>
  <cp:revision>350</cp:revision>
  <cp:lastPrinted>2018-07-13T10:01:00Z</cp:lastPrinted>
  <dcterms:created xsi:type="dcterms:W3CDTF">2018-07-12T02:58:00Z</dcterms:created>
  <dcterms:modified xsi:type="dcterms:W3CDTF">2019-06-28T03:01:00Z</dcterms:modified>
</cp:coreProperties>
</file>