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67" w:rsidRPr="00E55036" w:rsidRDefault="003732C3" w:rsidP="00E42B11">
      <w:pPr>
        <w:jc w:val="center"/>
        <w:rPr>
          <w:rFonts w:asciiTheme="minorEastAsia" w:hAnsiTheme="minorEastAsia" w:cs="Times New Roman"/>
          <w:b/>
          <w:sz w:val="32"/>
          <w:szCs w:val="30"/>
        </w:rPr>
      </w:pPr>
      <w:r w:rsidRPr="00E55036">
        <w:rPr>
          <w:rFonts w:asciiTheme="minorEastAsia" w:hAnsiTheme="minorEastAsia"/>
          <w:b/>
          <w:sz w:val="32"/>
          <w:szCs w:val="28"/>
        </w:rPr>
        <w:t>“</w:t>
      </w:r>
      <w:r w:rsidRPr="00E55036">
        <w:rPr>
          <w:rFonts w:asciiTheme="minorEastAsia" w:hAnsiTheme="minorEastAsia" w:hint="eastAsia"/>
          <w:b/>
          <w:sz w:val="32"/>
          <w:szCs w:val="28"/>
        </w:rPr>
        <w:t>兴业银行金雪球添利快线</w:t>
      </w:r>
      <w:r w:rsidRPr="00E55036">
        <w:rPr>
          <w:rFonts w:asciiTheme="minorEastAsia" w:hAnsiTheme="minorEastAsia"/>
          <w:b/>
          <w:sz w:val="32"/>
          <w:szCs w:val="28"/>
        </w:rPr>
        <w:t>净值型理财产品</w:t>
      </w:r>
      <w:r w:rsidR="00D957E4" w:rsidRPr="00E55036">
        <w:rPr>
          <w:rFonts w:asciiTheme="minorEastAsia" w:hAnsiTheme="minorEastAsia" w:cs="Times New Roman" w:hint="eastAsia"/>
          <w:b/>
          <w:sz w:val="32"/>
          <w:szCs w:val="30"/>
        </w:rPr>
        <w:t>”</w:t>
      </w:r>
    </w:p>
    <w:p w:rsidR="00E42B11" w:rsidRPr="00E55036" w:rsidRDefault="00D957E4" w:rsidP="00E42B11">
      <w:pPr>
        <w:jc w:val="center"/>
        <w:rPr>
          <w:rFonts w:asciiTheme="minorEastAsia" w:hAnsiTheme="minorEastAsia" w:cs="Times New Roman"/>
          <w:b/>
          <w:sz w:val="32"/>
          <w:szCs w:val="30"/>
        </w:rPr>
      </w:pPr>
      <w:r w:rsidRPr="00E55036">
        <w:rPr>
          <w:rFonts w:asciiTheme="minorEastAsia" w:hAnsiTheme="minorEastAsia" w:cs="Times New Roman"/>
          <w:b/>
          <w:sz w:val="32"/>
          <w:szCs w:val="30"/>
        </w:rPr>
        <w:t>201</w:t>
      </w:r>
      <w:r w:rsidR="00BF266A" w:rsidRPr="00E55036">
        <w:rPr>
          <w:rFonts w:asciiTheme="minorEastAsia" w:hAnsiTheme="minorEastAsia" w:cs="Times New Roman" w:hint="eastAsia"/>
          <w:b/>
          <w:sz w:val="32"/>
          <w:szCs w:val="30"/>
        </w:rPr>
        <w:t>9</w:t>
      </w:r>
      <w:r w:rsidR="003732C3" w:rsidRPr="00E55036">
        <w:rPr>
          <w:rFonts w:asciiTheme="minorEastAsia" w:hAnsiTheme="minorEastAsia" w:cs="Times New Roman"/>
          <w:b/>
          <w:sz w:val="32"/>
          <w:szCs w:val="30"/>
        </w:rPr>
        <w:t>年</w:t>
      </w:r>
      <w:r w:rsidR="00BF266A" w:rsidRPr="00E55036">
        <w:rPr>
          <w:rFonts w:asciiTheme="minorEastAsia" w:hAnsiTheme="minorEastAsia" w:cs="Times New Roman" w:hint="eastAsia"/>
          <w:b/>
          <w:sz w:val="32"/>
          <w:szCs w:val="30"/>
        </w:rPr>
        <w:t>1</w:t>
      </w:r>
      <w:r w:rsidRPr="00E55036">
        <w:rPr>
          <w:rFonts w:asciiTheme="minorEastAsia" w:hAnsiTheme="minorEastAsia" w:cs="Times New Roman"/>
          <w:b/>
          <w:sz w:val="32"/>
          <w:szCs w:val="30"/>
        </w:rPr>
        <w:t>季度报告</w:t>
      </w:r>
    </w:p>
    <w:p w:rsidR="00ED200B" w:rsidRPr="00E55036" w:rsidRDefault="00ED200B" w:rsidP="00E42B11">
      <w:pPr>
        <w:jc w:val="center"/>
        <w:rPr>
          <w:rFonts w:asciiTheme="minorEastAsia" w:hAnsiTheme="minorEastAsia" w:cs="Times New Roman"/>
          <w:b/>
          <w:sz w:val="32"/>
          <w:szCs w:val="30"/>
        </w:rPr>
      </w:pPr>
      <w:r w:rsidRPr="00E55036">
        <w:rPr>
          <w:rFonts w:asciiTheme="minorEastAsia" w:hAnsiTheme="minorEastAsia" w:cs="Times New Roman" w:hint="eastAsia"/>
          <w:b/>
          <w:sz w:val="32"/>
          <w:szCs w:val="30"/>
        </w:rPr>
        <w:t>2019年3月31日</w:t>
      </w:r>
    </w:p>
    <w:p w:rsidR="00ED200B" w:rsidRPr="00E55036" w:rsidRDefault="00ED200B" w:rsidP="001449A0">
      <w:pPr>
        <w:pStyle w:val="a8"/>
        <w:numPr>
          <w:ilvl w:val="0"/>
          <w:numId w:val="1"/>
        </w:numPr>
        <w:ind w:firstLineChars="0"/>
        <w:outlineLvl w:val="0"/>
        <w:rPr>
          <w:rFonts w:asciiTheme="minorEastAsia" w:hAnsiTheme="minorEastAsia"/>
          <w:b/>
          <w:sz w:val="30"/>
          <w:szCs w:val="30"/>
        </w:rPr>
      </w:pPr>
      <w:bookmarkStart w:id="0" w:name="_Toc6410271"/>
      <w:r w:rsidRPr="00E55036">
        <w:rPr>
          <w:rFonts w:asciiTheme="minorEastAsia" w:hAnsiTheme="minorEastAsia" w:hint="eastAsia"/>
          <w:b/>
          <w:sz w:val="30"/>
          <w:szCs w:val="30"/>
        </w:rPr>
        <w:t>目录</w:t>
      </w:r>
      <w:bookmarkEnd w:id="0"/>
    </w:p>
    <w:p w:rsidR="00E91094" w:rsidRDefault="00DE7B84">
      <w:pPr>
        <w:pStyle w:val="1"/>
        <w:tabs>
          <w:tab w:val="left" w:pos="840"/>
          <w:tab w:val="right" w:leader="dot" w:pos="8296"/>
        </w:tabs>
        <w:rPr>
          <w:noProof/>
        </w:rPr>
      </w:pPr>
      <w:r w:rsidRPr="00E55036">
        <w:rPr>
          <w:rFonts w:asciiTheme="minorEastAsia" w:hAnsiTheme="minorEastAsia"/>
          <w:b/>
          <w:sz w:val="30"/>
          <w:szCs w:val="30"/>
        </w:rPr>
        <w:fldChar w:fldCharType="begin"/>
      </w:r>
      <w:r w:rsidR="001449A0" w:rsidRPr="00E55036">
        <w:rPr>
          <w:rFonts w:asciiTheme="minorEastAsia" w:hAnsiTheme="minorEastAsia"/>
          <w:b/>
          <w:sz w:val="30"/>
          <w:szCs w:val="30"/>
        </w:rPr>
        <w:instrText xml:space="preserve"> TOC \o "1-3" \h \z \u </w:instrText>
      </w:r>
      <w:r w:rsidRPr="00E55036">
        <w:rPr>
          <w:rFonts w:asciiTheme="minorEastAsia" w:hAnsiTheme="minorEastAsia"/>
          <w:b/>
          <w:sz w:val="30"/>
          <w:szCs w:val="30"/>
        </w:rPr>
        <w:fldChar w:fldCharType="separate"/>
      </w:r>
      <w:hyperlink w:anchor="_Toc6410271" w:history="1"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一．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目录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1"/>
        <w:tabs>
          <w:tab w:val="left" w:pos="840"/>
          <w:tab w:val="right" w:leader="dot" w:pos="8296"/>
        </w:tabs>
        <w:rPr>
          <w:noProof/>
        </w:rPr>
      </w:pPr>
      <w:hyperlink w:anchor="_Toc6410272" w:history="1"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二．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重要提示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1"/>
        <w:tabs>
          <w:tab w:val="left" w:pos="840"/>
          <w:tab w:val="right" w:leader="dot" w:pos="8296"/>
        </w:tabs>
        <w:rPr>
          <w:noProof/>
        </w:rPr>
      </w:pPr>
      <w:hyperlink w:anchor="_Toc6410273" w:history="1"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三．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产品基本情况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1"/>
        <w:tabs>
          <w:tab w:val="left" w:pos="840"/>
          <w:tab w:val="right" w:leader="dot" w:pos="8296"/>
        </w:tabs>
        <w:rPr>
          <w:noProof/>
        </w:rPr>
      </w:pPr>
      <w:hyperlink w:anchor="_Toc6410274" w:history="1"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四．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产品收益表现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1"/>
        <w:tabs>
          <w:tab w:val="left" w:pos="840"/>
          <w:tab w:val="right" w:leader="dot" w:pos="8296"/>
        </w:tabs>
        <w:rPr>
          <w:noProof/>
        </w:rPr>
      </w:pPr>
      <w:hyperlink w:anchor="_Toc6410275" w:history="1"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五．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报告期内产品的投资策略和运作分析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1"/>
        <w:tabs>
          <w:tab w:val="left" w:pos="840"/>
          <w:tab w:val="right" w:leader="dot" w:pos="8296"/>
        </w:tabs>
        <w:rPr>
          <w:noProof/>
        </w:rPr>
      </w:pPr>
      <w:hyperlink w:anchor="_Toc6410276" w:history="1"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六．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/>
            <w:b/>
            <w:noProof/>
          </w:rPr>
          <w:t>2019</w:t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年第</w:t>
        </w:r>
        <w:r w:rsidR="00E91094" w:rsidRPr="006B73F0">
          <w:rPr>
            <w:rStyle w:val="a9"/>
            <w:rFonts w:asciiTheme="minorEastAsia" w:hAnsiTheme="minorEastAsia"/>
            <w:b/>
            <w:noProof/>
          </w:rPr>
          <w:t>1</w:t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季度财务会计报告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2"/>
        <w:tabs>
          <w:tab w:val="left" w:pos="1050"/>
          <w:tab w:val="right" w:leader="dot" w:pos="8296"/>
        </w:tabs>
        <w:rPr>
          <w:noProof/>
        </w:rPr>
      </w:pPr>
      <w:hyperlink w:anchor="_Toc6410277" w:history="1">
        <w:r w:rsidR="00E91094" w:rsidRPr="006B73F0">
          <w:rPr>
            <w:rStyle w:val="a9"/>
            <w:rFonts w:asciiTheme="minorEastAsia" w:hAnsiTheme="minorEastAsia"/>
            <w:b/>
            <w:noProof/>
          </w:rPr>
          <w:t>1.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资产负债表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2"/>
        <w:tabs>
          <w:tab w:val="left" w:pos="1050"/>
          <w:tab w:val="right" w:leader="dot" w:pos="8296"/>
        </w:tabs>
        <w:rPr>
          <w:noProof/>
        </w:rPr>
      </w:pPr>
      <w:hyperlink w:anchor="_Toc6410278" w:history="1">
        <w:r w:rsidR="00E91094" w:rsidRPr="006B73F0">
          <w:rPr>
            <w:rStyle w:val="a9"/>
            <w:rFonts w:asciiTheme="minorEastAsia" w:hAnsiTheme="minorEastAsia"/>
            <w:b/>
            <w:noProof/>
          </w:rPr>
          <w:t>2.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利润表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2"/>
        <w:tabs>
          <w:tab w:val="left" w:pos="1050"/>
          <w:tab w:val="right" w:leader="dot" w:pos="8296"/>
        </w:tabs>
        <w:rPr>
          <w:noProof/>
        </w:rPr>
      </w:pPr>
      <w:hyperlink w:anchor="_Toc6410279" w:history="1">
        <w:r w:rsidR="00E91094" w:rsidRPr="006B73F0">
          <w:rPr>
            <w:rStyle w:val="a9"/>
            <w:rFonts w:asciiTheme="minorEastAsia" w:hAnsiTheme="minorEastAsia"/>
            <w:b/>
            <w:noProof/>
          </w:rPr>
          <w:t>3.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所有者权益表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1"/>
        <w:tabs>
          <w:tab w:val="left" w:pos="840"/>
          <w:tab w:val="right" w:leader="dot" w:pos="8296"/>
        </w:tabs>
        <w:rPr>
          <w:noProof/>
        </w:rPr>
      </w:pPr>
      <w:hyperlink w:anchor="_Toc6410280" w:history="1"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七．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投资组合情况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2"/>
        <w:tabs>
          <w:tab w:val="left" w:pos="1050"/>
          <w:tab w:val="right" w:leader="dot" w:pos="8296"/>
        </w:tabs>
        <w:rPr>
          <w:noProof/>
        </w:rPr>
      </w:pPr>
      <w:hyperlink w:anchor="_Toc6410281" w:history="1">
        <w:r w:rsidR="00E91094" w:rsidRPr="006B73F0">
          <w:rPr>
            <w:rStyle w:val="a9"/>
            <w:rFonts w:asciiTheme="minorEastAsia" w:hAnsiTheme="minorEastAsia"/>
            <w:b/>
            <w:noProof/>
          </w:rPr>
          <w:t>1.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报告期末产品资产组合情况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2"/>
        <w:tabs>
          <w:tab w:val="left" w:pos="1050"/>
          <w:tab w:val="right" w:leader="dot" w:pos="8296"/>
        </w:tabs>
        <w:rPr>
          <w:noProof/>
        </w:rPr>
      </w:pPr>
      <w:hyperlink w:anchor="_Toc6410282" w:history="1">
        <w:r w:rsidR="00E91094" w:rsidRPr="006B73F0">
          <w:rPr>
            <w:rStyle w:val="a9"/>
            <w:rFonts w:asciiTheme="minorEastAsia" w:hAnsiTheme="minorEastAsia"/>
            <w:b/>
            <w:noProof/>
          </w:rPr>
          <w:t>2.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报告期末杠杆融资情况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2"/>
        <w:tabs>
          <w:tab w:val="left" w:pos="1050"/>
          <w:tab w:val="right" w:leader="dot" w:pos="8296"/>
        </w:tabs>
        <w:rPr>
          <w:noProof/>
        </w:rPr>
      </w:pPr>
      <w:hyperlink w:anchor="_Toc6410283" w:history="1">
        <w:r w:rsidR="00E91094" w:rsidRPr="006B73F0">
          <w:rPr>
            <w:rStyle w:val="a9"/>
            <w:rFonts w:asciiTheme="minorEastAsia" w:hAnsiTheme="minorEastAsia"/>
            <w:b/>
            <w:noProof/>
          </w:rPr>
          <w:t>3.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报告期末投资组合平均剩余期限分布比例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E91094" w:rsidRDefault="00DE7B84">
      <w:pPr>
        <w:pStyle w:val="2"/>
        <w:tabs>
          <w:tab w:val="left" w:pos="1050"/>
          <w:tab w:val="right" w:leader="dot" w:pos="8296"/>
        </w:tabs>
        <w:rPr>
          <w:noProof/>
        </w:rPr>
      </w:pPr>
      <w:hyperlink w:anchor="_Toc6410284" w:history="1">
        <w:r w:rsidR="00E91094" w:rsidRPr="006B73F0">
          <w:rPr>
            <w:rStyle w:val="a9"/>
            <w:rFonts w:asciiTheme="minorEastAsia" w:hAnsiTheme="minorEastAsia"/>
            <w:b/>
            <w:noProof/>
          </w:rPr>
          <w:t>4.</w:t>
        </w:r>
        <w:r w:rsidR="00E91094">
          <w:rPr>
            <w:noProof/>
          </w:rPr>
          <w:tab/>
        </w:r>
        <w:r w:rsidR="00E91094" w:rsidRPr="006B73F0">
          <w:rPr>
            <w:rStyle w:val="a9"/>
            <w:rFonts w:asciiTheme="minorEastAsia" w:hAnsiTheme="minorEastAsia" w:hint="eastAsia"/>
            <w:b/>
            <w:noProof/>
          </w:rPr>
          <w:t>报告期末持仓占比前十名债券投资明细</w:t>
        </w:r>
        <w:r w:rsidR="00E9109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91094">
          <w:rPr>
            <w:noProof/>
            <w:webHidden/>
          </w:rPr>
          <w:instrText xml:space="preserve"> PAGEREF _Toc6410284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91094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C70BA" w:rsidRPr="00E55036" w:rsidRDefault="00DE7B84" w:rsidP="005C70BA">
      <w:pPr>
        <w:pStyle w:val="a8"/>
        <w:ind w:left="720" w:firstLineChars="0" w:firstLine="0"/>
        <w:rPr>
          <w:rFonts w:asciiTheme="minorEastAsia" w:hAnsiTheme="minorEastAsia"/>
          <w:b/>
          <w:sz w:val="30"/>
          <w:szCs w:val="30"/>
        </w:rPr>
      </w:pPr>
      <w:r w:rsidRPr="00E55036">
        <w:rPr>
          <w:rFonts w:asciiTheme="minorEastAsia" w:hAnsiTheme="minorEastAsia"/>
          <w:b/>
          <w:sz w:val="30"/>
          <w:szCs w:val="30"/>
        </w:rPr>
        <w:fldChar w:fldCharType="end"/>
      </w:r>
    </w:p>
    <w:p w:rsidR="00D957E4" w:rsidRPr="00E55036" w:rsidRDefault="00E55036" w:rsidP="001449A0">
      <w:pPr>
        <w:pStyle w:val="a8"/>
        <w:numPr>
          <w:ilvl w:val="0"/>
          <w:numId w:val="1"/>
        </w:numPr>
        <w:ind w:firstLineChars="0"/>
        <w:outlineLvl w:val="0"/>
        <w:rPr>
          <w:rFonts w:asciiTheme="minorEastAsia" w:hAnsiTheme="minorEastAsia"/>
          <w:b/>
          <w:sz w:val="30"/>
          <w:szCs w:val="30"/>
        </w:rPr>
      </w:pPr>
      <w:bookmarkStart w:id="1" w:name="_Toc6410272"/>
      <w:r w:rsidRPr="00E55036">
        <w:rPr>
          <w:rFonts w:asciiTheme="minorEastAsia" w:hAnsiTheme="minorEastAsia" w:hint="eastAsia"/>
          <w:b/>
          <w:sz w:val="30"/>
          <w:szCs w:val="30"/>
        </w:rPr>
        <w:t>重要提示</w:t>
      </w:r>
      <w:bookmarkEnd w:id="1"/>
    </w:p>
    <w:p w:rsidR="00E55036" w:rsidRPr="00E55036" w:rsidRDefault="00E55036" w:rsidP="00E55036">
      <w:pPr>
        <w:pStyle w:val="a8"/>
        <w:ind w:left="720" w:firstLineChars="0" w:firstLine="0"/>
        <w:rPr>
          <w:rFonts w:asciiTheme="minorEastAsia" w:hAnsiTheme="minorEastAsia" w:cs="Arial"/>
          <w:color w:val="FF0000"/>
          <w:sz w:val="30"/>
          <w:szCs w:val="30"/>
        </w:rPr>
      </w:pPr>
      <w:r w:rsidRPr="00E55036">
        <w:rPr>
          <w:rFonts w:asciiTheme="minorEastAsia" w:hAnsiTheme="minorEastAsia" w:cs="Arial"/>
          <w:b/>
          <w:bCs/>
          <w:color w:val="FF0000"/>
          <w:sz w:val="30"/>
          <w:szCs w:val="30"/>
        </w:rPr>
        <w:t>1.温馨提醒：理财非存款，产品有风险，投资需谨慎！</w:t>
      </w:r>
    </w:p>
    <w:p w:rsidR="00E55036" w:rsidRPr="00E55036" w:rsidRDefault="00E55036" w:rsidP="00E55036">
      <w:pPr>
        <w:pStyle w:val="a8"/>
        <w:ind w:left="720" w:firstLineChars="0" w:firstLine="0"/>
        <w:rPr>
          <w:rFonts w:asciiTheme="minorEastAsia" w:hAnsiTheme="minorEastAsia" w:cs="Arial"/>
          <w:sz w:val="30"/>
          <w:szCs w:val="30"/>
        </w:rPr>
      </w:pPr>
      <w:r w:rsidRPr="00E55036">
        <w:rPr>
          <w:rFonts w:asciiTheme="minorEastAsia" w:hAnsiTheme="minorEastAsia" w:cs="Arial"/>
          <w:sz w:val="30"/>
          <w:szCs w:val="30"/>
        </w:rPr>
        <w:t>2.理财信息可供参考，详情请咨询理财经理，或在“中国</w:t>
      </w:r>
      <w:r w:rsidRPr="00E55036">
        <w:rPr>
          <w:rFonts w:asciiTheme="minorEastAsia" w:hAnsiTheme="minorEastAsia" w:cs="Arial" w:hint="eastAsia"/>
          <w:sz w:val="30"/>
          <w:szCs w:val="30"/>
        </w:rPr>
        <w:t>理财网</w:t>
      </w:r>
      <w:r w:rsidRPr="00E55036">
        <w:rPr>
          <w:rFonts w:asciiTheme="minorEastAsia" w:hAnsiTheme="minorEastAsia" w:cs="Arial"/>
          <w:sz w:val="30"/>
          <w:szCs w:val="30"/>
        </w:rPr>
        <w:t>（www.chinawealth.com.cn）”查询该产品相关信息。</w:t>
      </w:r>
    </w:p>
    <w:p w:rsidR="00E55036" w:rsidRPr="00E55036" w:rsidRDefault="00E55036" w:rsidP="00E55036">
      <w:pPr>
        <w:pStyle w:val="a8"/>
        <w:ind w:left="720" w:firstLineChars="0" w:firstLine="0"/>
        <w:rPr>
          <w:rFonts w:asciiTheme="minorEastAsia" w:hAnsiTheme="minorEastAsia" w:cs="Arial"/>
          <w:sz w:val="30"/>
          <w:szCs w:val="30"/>
        </w:rPr>
      </w:pPr>
      <w:r w:rsidRPr="00E55036">
        <w:rPr>
          <w:rFonts w:asciiTheme="minorEastAsia" w:hAnsiTheme="minorEastAsia" w:cs="Arial"/>
          <w:sz w:val="30"/>
          <w:szCs w:val="30"/>
        </w:rPr>
        <w:t>3.兴业银行保留对所有文字说明的最终解释权。</w:t>
      </w:r>
    </w:p>
    <w:p w:rsidR="00E55036" w:rsidRPr="00E55036" w:rsidRDefault="00E55036" w:rsidP="00E55036">
      <w:pPr>
        <w:pStyle w:val="a8"/>
        <w:ind w:left="720" w:firstLineChars="0" w:firstLine="0"/>
        <w:outlineLvl w:val="0"/>
        <w:rPr>
          <w:rFonts w:asciiTheme="minorEastAsia" w:hAnsiTheme="minorEastAsia"/>
          <w:b/>
          <w:sz w:val="30"/>
          <w:szCs w:val="30"/>
        </w:rPr>
      </w:pPr>
    </w:p>
    <w:p w:rsidR="00E55036" w:rsidRPr="00E55036" w:rsidRDefault="00E55036" w:rsidP="00E55036">
      <w:pPr>
        <w:pStyle w:val="a8"/>
        <w:numPr>
          <w:ilvl w:val="0"/>
          <w:numId w:val="1"/>
        </w:numPr>
        <w:ind w:firstLineChars="0"/>
        <w:outlineLvl w:val="0"/>
        <w:rPr>
          <w:rFonts w:asciiTheme="minorEastAsia" w:hAnsiTheme="minorEastAsia"/>
          <w:b/>
          <w:sz w:val="30"/>
          <w:szCs w:val="30"/>
        </w:rPr>
      </w:pPr>
      <w:bookmarkStart w:id="2" w:name="_Toc6410273"/>
      <w:r w:rsidRPr="00E55036">
        <w:rPr>
          <w:rFonts w:asciiTheme="minorEastAsia" w:hAnsiTheme="minorEastAsia" w:hint="eastAsia"/>
          <w:b/>
          <w:sz w:val="30"/>
          <w:szCs w:val="30"/>
        </w:rPr>
        <w:t>产品基本情况</w:t>
      </w:r>
      <w:bookmarkEnd w:id="2"/>
    </w:p>
    <w:tbl>
      <w:tblPr>
        <w:tblW w:w="8295" w:type="dxa"/>
        <w:tblInd w:w="93" w:type="dxa"/>
        <w:tblLook w:val="04A0"/>
      </w:tblPr>
      <w:tblGrid>
        <w:gridCol w:w="2700"/>
        <w:gridCol w:w="5595"/>
      </w:tblGrid>
      <w:tr w:rsidR="00DD6476" w:rsidRPr="00E55036" w:rsidTr="00DD6476">
        <w:trPr>
          <w:trHeight w:val="270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3732C3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  <w:t>添利快线</w:t>
            </w: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净值型理财产品</w:t>
            </w:r>
          </w:p>
        </w:tc>
      </w:tr>
      <w:tr w:rsidR="00DD6476" w:rsidRPr="00E5503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3732C3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9</w:t>
            </w:r>
            <w:r w:rsidR="003732C3"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7</w:t>
            </w: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318011</w:t>
            </w:r>
          </w:p>
        </w:tc>
      </w:tr>
      <w:tr w:rsidR="00DD6476" w:rsidRPr="00E55036" w:rsidTr="00DD647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全国银行业理财信息登记系统登记编码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F12467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  <w:t>C1030918A003606</w:t>
            </w:r>
          </w:p>
        </w:tc>
      </w:tr>
      <w:tr w:rsidR="00DD6476" w:rsidRPr="00E5503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lastRenderedPageBreak/>
              <w:t>产品运作方式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T+0开放式</w:t>
            </w:r>
          </w:p>
        </w:tc>
      </w:tr>
      <w:tr w:rsidR="00DD6476" w:rsidRPr="00E5503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报告期末产品份额总额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BF266A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  <w:t>20</w:t>
            </w: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,</w:t>
            </w:r>
            <w:r w:rsidRPr="00E55036"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  <w:t>360</w:t>
            </w: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,</w:t>
            </w:r>
            <w:r w:rsidRPr="00E55036"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  <w:t>598</w:t>
            </w: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,</w:t>
            </w:r>
            <w:r w:rsidRPr="00E55036"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  <w:t>496.49</w:t>
            </w:r>
            <w:r w:rsidR="00DD6476"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份</w:t>
            </w:r>
          </w:p>
        </w:tc>
      </w:tr>
      <w:tr w:rsidR="00DD6476" w:rsidRPr="00E55036" w:rsidTr="00DD647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投资目标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在保持理财资产的低风险和高流动性的前提下，力争实现超越业绩比较基准的投资回报。</w:t>
            </w:r>
          </w:p>
        </w:tc>
      </w:tr>
      <w:tr w:rsidR="00DD6476" w:rsidRPr="00E55036" w:rsidTr="00DD6476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投资策略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本产品将遵循安全性和流动性优先原则，通过对宏观经济、政策环境、市场状况和资金供求的深入分析，在严格控制风险的前提下，主动构建及调整投资组合，力争获取超额收益。</w:t>
            </w:r>
          </w:p>
        </w:tc>
      </w:tr>
      <w:tr w:rsidR="00DD6476" w:rsidRPr="00E5503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DD6476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业绩比较基准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6476" w:rsidRPr="00E55036" w:rsidRDefault="00682D6D" w:rsidP="003732C3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人民银行</w:t>
            </w:r>
            <w:r w:rsidRPr="00E55036"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  <w:t>7天通知存款利率(1.35%)</w:t>
            </w:r>
          </w:p>
        </w:tc>
      </w:tr>
      <w:tr w:rsidR="00545CE3" w:rsidRPr="00E5503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E55036" w:rsidRDefault="00545CE3" w:rsidP="00ED20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风险收益特征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E55036" w:rsidRDefault="00545CE3" w:rsidP="00ED200B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本产品具有低风险、高流动性的特征。</w:t>
            </w:r>
          </w:p>
        </w:tc>
      </w:tr>
      <w:tr w:rsidR="00545CE3" w:rsidRPr="00E55036" w:rsidTr="00DD6476">
        <w:trPr>
          <w:trHeight w:val="2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E55036" w:rsidRDefault="00545CE3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管理人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E55036" w:rsidRDefault="00545CE3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  <w:tr w:rsidR="00545CE3" w:rsidRPr="00E55036" w:rsidTr="00DD6476">
        <w:trPr>
          <w:trHeight w:val="28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CE3" w:rsidRPr="00E55036" w:rsidRDefault="00545CE3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托管人</w:t>
            </w:r>
          </w:p>
        </w:tc>
        <w:tc>
          <w:tcPr>
            <w:tcW w:w="5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5CE3" w:rsidRPr="00E55036" w:rsidRDefault="00545CE3" w:rsidP="00DD6476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2"/>
              </w:rPr>
              <w:t>兴业银行股份有限公司</w:t>
            </w:r>
          </w:p>
        </w:tc>
      </w:tr>
    </w:tbl>
    <w:p w:rsidR="003524F8" w:rsidRPr="00E55036" w:rsidRDefault="003524F8" w:rsidP="00D957E4">
      <w:pPr>
        <w:rPr>
          <w:rFonts w:asciiTheme="minorEastAsia" w:hAnsiTheme="minorEastAsia"/>
          <w:sz w:val="30"/>
          <w:szCs w:val="30"/>
        </w:rPr>
      </w:pPr>
    </w:p>
    <w:p w:rsidR="00D957E4" w:rsidRPr="00E55036" w:rsidRDefault="005978D1" w:rsidP="001449A0">
      <w:pPr>
        <w:pStyle w:val="a8"/>
        <w:numPr>
          <w:ilvl w:val="0"/>
          <w:numId w:val="1"/>
        </w:numPr>
        <w:ind w:firstLineChars="0"/>
        <w:outlineLvl w:val="0"/>
        <w:rPr>
          <w:rFonts w:asciiTheme="minorEastAsia" w:hAnsiTheme="minorEastAsia"/>
          <w:b/>
          <w:sz w:val="30"/>
          <w:szCs w:val="30"/>
        </w:rPr>
      </w:pPr>
      <w:bookmarkStart w:id="3" w:name="_Toc6410274"/>
      <w:r w:rsidRPr="00E55036">
        <w:rPr>
          <w:rFonts w:asciiTheme="minorEastAsia" w:hAnsiTheme="minorEastAsia" w:hint="eastAsia"/>
          <w:b/>
          <w:sz w:val="30"/>
          <w:szCs w:val="30"/>
        </w:rPr>
        <w:t>产品收益表现</w:t>
      </w:r>
      <w:bookmarkEnd w:id="3"/>
    </w:p>
    <w:p w:rsidR="00F12467" w:rsidRPr="00E55036" w:rsidRDefault="00765D1B" w:rsidP="003C6D13">
      <w:pPr>
        <w:ind w:firstLineChars="200" w:firstLine="600"/>
        <w:rPr>
          <w:rFonts w:asciiTheme="minorEastAsia" w:hAnsiTheme="minorEastAsia"/>
          <w:sz w:val="32"/>
          <w:szCs w:val="30"/>
        </w:rPr>
      </w:pPr>
      <w:r w:rsidRPr="00E55036">
        <w:rPr>
          <w:rFonts w:asciiTheme="minorEastAsia" w:hAnsiTheme="minorEastAsia" w:hint="eastAsia"/>
          <w:sz w:val="30"/>
          <w:szCs w:val="30"/>
        </w:rPr>
        <w:t>报告期内，本产品</w:t>
      </w:r>
      <w:proofErr w:type="gramStart"/>
      <w:r w:rsidRPr="00E55036">
        <w:rPr>
          <w:rFonts w:asciiTheme="minorEastAsia" w:hAnsiTheme="minorEastAsia" w:hint="eastAsia"/>
          <w:sz w:val="30"/>
          <w:szCs w:val="30"/>
        </w:rPr>
        <w:t>七日年化收益率</w:t>
      </w:r>
      <w:proofErr w:type="gramEnd"/>
      <w:r w:rsidRPr="00E55036">
        <w:rPr>
          <w:rFonts w:asciiTheme="minorEastAsia" w:hAnsiTheme="minorEastAsia" w:hint="eastAsia"/>
          <w:sz w:val="30"/>
          <w:szCs w:val="30"/>
        </w:rPr>
        <w:t>均值</w:t>
      </w:r>
      <w:r w:rsidR="0064387F" w:rsidRPr="00E55036">
        <w:rPr>
          <w:rFonts w:asciiTheme="minorEastAsia" w:hAnsiTheme="minorEastAsia" w:hint="eastAsia"/>
          <w:sz w:val="30"/>
          <w:szCs w:val="30"/>
        </w:rPr>
        <w:t>3.716</w:t>
      </w:r>
      <w:r w:rsidRPr="00E55036">
        <w:rPr>
          <w:rFonts w:asciiTheme="minorEastAsia" w:hAnsiTheme="minorEastAsia" w:hint="eastAsia"/>
          <w:sz w:val="30"/>
          <w:szCs w:val="30"/>
        </w:rPr>
        <w:t>%，同期业绩比较基准收益率为</w:t>
      </w:r>
      <w:r w:rsidR="003C6D13" w:rsidRPr="00E55036">
        <w:rPr>
          <w:rFonts w:asciiTheme="minorEastAsia" w:hAnsiTheme="minorEastAsia" w:hint="eastAsia"/>
          <w:sz w:val="30"/>
          <w:szCs w:val="30"/>
        </w:rPr>
        <w:t>人民银行</w:t>
      </w:r>
      <w:r w:rsidR="003C6D13" w:rsidRPr="00E55036">
        <w:rPr>
          <w:rFonts w:asciiTheme="minorEastAsia" w:hAnsiTheme="minorEastAsia"/>
          <w:sz w:val="30"/>
          <w:szCs w:val="30"/>
        </w:rPr>
        <w:t>7天通知存款利率(1.35%)</w:t>
      </w:r>
      <w:r w:rsidR="00682D6D" w:rsidRPr="00E55036">
        <w:rPr>
          <w:rFonts w:asciiTheme="minorEastAsia" w:hAnsiTheme="minorEastAsia" w:hint="eastAsia"/>
          <w:sz w:val="30"/>
          <w:szCs w:val="30"/>
        </w:rPr>
        <w:t>。</w:t>
      </w:r>
      <w:r w:rsidR="00F12467" w:rsidRPr="00E55036">
        <w:rPr>
          <w:rFonts w:asciiTheme="minorEastAsia" w:hAnsiTheme="minorEastAsia" w:hint="eastAsia"/>
          <w:sz w:val="30"/>
          <w:szCs w:val="30"/>
        </w:rPr>
        <w:t>报告期末，产品收益情况如下：</w:t>
      </w:r>
    </w:p>
    <w:tbl>
      <w:tblPr>
        <w:tblStyle w:val="a7"/>
        <w:tblW w:w="0" w:type="auto"/>
        <w:jc w:val="center"/>
        <w:tblLook w:val="04A0"/>
      </w:tblPr>
      <w:tblGrid>
        <w:gridCol w:w="1296"/>
        <w:gridCol w:w="1180"/>
        <w:gridCol w:w="1903"/>
        <w:gridCol w:w="3636"/>
      </w:tblGrid>
      <w:tr w:rsidR="00F12467" w:rsidRPr="00E55036" w:rsidTr="00F12467">
        <w:trPr>
          <w:jc w:val="center"/>
        </w:trPr>
        <w:tc>
          <w:tcPr>
            <w:tcW w:w="0" w:type="auto"/>
            <w:hideMark/>
          </w:tcPr>
          <w:p w:rsidR="00F12467" w:rsidRPr="00E55036" w:rsidRDefault="00F12467" w:rsidP="00F1246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18"/>
              </w:rPr>
            </w:pPr>
            <w:r w:rsidRPr="00E55036">
              <w:rPr>
                <w:rFonts w:asciiTheme="minorEastAsia" w:hAnsiTheme="minorEastAsia" w:cs="宋体" w:hint="eastAsia"/>
                <w:b/>
                <w:kern w:val="0"/>
                <w:sz w:val="24"/>
                <w:szCs w:val="18"/>
              </w:rPr>
              <w:t>估值日</w:t>
            </w:r>
          </w:p>
        </w:tc>
        <w:tc>
          <w:tcPr>
            <w:tcW w:w="0" w:type="auto"/>
            <w:hideMark/>
          </w:tcPr>
          <w:p w:rsidR="00F12467" w:rsidRPr="00E55036" w:rsidRDefault="00F12467" w:rsidP="00F1246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18"/>
              </w:rPr>
            </w:pPr>
            <w:r w:rsidRPr="00E55036">
              <w:rPr>
                <w:rFonts w:asciiTheme="minorEastAsia" w:hAnsiTheme="minorEastAsia" w:cs="宋体" w:hint="eastAsia"/>
                <w:b/>
                <w:kern w:val="0"/>
                <w:sz w:val="24"/>
                <w:szCs w:val="18"/>
              </w:rPr>
              <w:t>万份收益</w:t>
            </w:r>
          </w:p>
        </w:tc>
        <w:tc>
          <w:tcPr>
            <w:tcW w:w="0" w:type="auto"/>
            <w:hideMark/>
          </w:tcPr>
          <w:p w:rsidR="00F12467" w:rsidRPr="00E55036" w:rsidRDefault="00F12467" w:rsidP="00F1246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18"/>
              </w:rPr>
            </w:pPr>
            <w:proofErr w:type="gramStart"/>
            <w:r w:rsidRPr="00E55036">
              <w:rPr>
                <w:rFonts w:asciiTheme="minorEastAsia" w:hAnsiTheme="minorEastAsia" w:cs="宋体" w:hint="eastAsia"/>
                <w:b/>
                <w:kern w:val="0"/>
                <w:sz w:val="24"/>
                <w:szCs w:val="18"/>
              </w:rPr>
              <w:t>七日年化收益率</w:t>
            </w:r>
            <w:proofErr w:type="gramEnd"/>
          </w:p>
        </w:tc>
        <w:tc>
          <w:tcPr>
            <w:tcW w:w="0" w:type="auto"/>
            <w:hideMark/>
          </w:tcPr>
          <w:p w:rsidR="00F12467" w:rsidRPr="00E55036" w:rsidRDefault="00F12467" w:rsidP="00F12467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4"/>
                <w:szCs w:val="18"/>
              </w:rPr>
            </w:pPr>
            <w:r w:rsidRPr="00E55036">
              <w:rPr>
                <w:rFonts w:asciiTheme="minorEastAsia" w:hAnsiTheme="minorEastAsia" w:cs="宋体" w:hint="eastAsia"/>
                <w:b/>
                <w:kern w:val="0"/>
                <w:sz w:val="24"/>
                <w:szCs w:val="18"/>
              </w:rPr>
              <w:t>当期业绩比较基准(%)</w:t>
            </w:r>
          </w:p>
        </w:tc>
      </w:tr>
      <w:tr w:rsidR="00F12467" w:rsidRPr="00E55036" w:rsidTr="00F12467">
        <w:trPr>
          <w:jc w:val="center"/>
        </w:trPr>
        <w:tc>
          <w:tcPr>
            <w:tcW w:w="0" w:type="auto"/>
            <w:hideMark/>
          </w:tcPr>
          <w:p w:rsidR="00F12467" w:rsidRPr="00E55036" w:rsidRDefault="00BF266A" w:rsidP="00BF266A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18"/>
              </w:rPr>
            </w:pPr>
            <w:r w:rsidRPr="00E55036">
              <w:rPr>
                <w:rFonts w:asciiTheme="minorEastAsia" w:hAnsiTheme="minorEastAsia" w:cs="宋体" w:hint="eastAsia"/>
                <w:kern w:val="0"/>
                <w:sz w:val="24"/>
                <w:szCs w:val="18"/>
              </w:rPr>
              <w:t>2019-3</w:t>
            </w:r>
            <w:r w:rsidR="00F12467" w:rsidRPr="00E55036">
              <w:rPr>
                <w:rFonts w:asciiTheme="minorEastAsia" w:hAnsiTheme="minorEastAsia" w:cs="宋体" w:hint="eastAsia"/>
                <w:kern w:val="0"/>
                <w:sz w:val="24"/>
                <w:szCs w:val="18"/>
              </w:rPr>
              <w:t>-31</w:t>
            </w:r>
          </w:p>
        </w:tc>
        <w:tc>
          <w:tcPr>
            <w:tcW w:w="0" w:type="auto"/>
            <w:hideMark/>
          </w:tcPr>
          <w:p w:rsidR="00F12467" w:rsidRPr="00E55036" w:rsidRDefault="00BF266A" w:rsidP="00F1246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18"/>
              </w:rPr>
            </w:pPr>
            <w:r w:rsidRPr="00E55036">
              <w:rPr>
                <w:rFonts w:asciiTheme="minorEastAsia" w:hAnsiTheme="minorEastAsia" w:cs="宋体" w:hint="eastAsia"/>
                <w:kern w:val="0"/>
                <w:sz w:val="24"/>
                <w:szCs w:val="18"/>
              </w:rPr>
              <w:t>1.1080</w:t>
            </w:r>
          </w:p>
        </w:tc>
        <w:tc>
          <w:tcPr>
            <w:tcW w:w="0" w:type="auto"/>
            <w:hideMark/>
          </w:tcPr>
          <w:p w:rsidR="00F12467" w:rsidRPr="00E55036" w:rsidRDefault="00BF266A" w:rsidP="00F1246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18"/>
              </w:rPr>
            </w:pPr>
            <w:r w:rsidRPr="00E55036">
              <w:rPr>
                <w:rFonts w:asciiTheme="minorEastAsia" w:hAnsiTheme="minorEastAsia" w:cs="宋体" w:hint="eastAsia"/>
                <w:kern w:val="0"/>
                <w:sz w:val="24"/>
                <w:szCs w:val="18"/>
              </w:rPr>
              <w:t>3.8980</w:t>
            </w:r>
            <w:r w:rsidR="00F12467" w:rsidRPr="00E55036">
              <w:rPr>
                <w:rFonts w:asciiTheme="minorEastAsia" w:hAnsiTheme="minorEastAsia" w:cs="宋体" w:hint="eastAsia"/>
                <w:kern w:val="0"/>
                <w:sz w:val="24"/>
                <w:szCs w:val="18"/>
              </w:rPr>
              <w:t>%</w:t>
            </w:r>
          </w:p>
        </w:tc>
        <w:tc>
          <w:tcPr>
            <w:tcW w:w="0" w:type="auto"/>
            <w:hideMark/>
          </w:tcPr>
          <w:p w:rsidR="00F12467" w:rsidRPr="00E55036" w:rsidRDefault="00F12467" w:rsidP="00F1246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18"/>
              </w:rPr>
            </w:pPr>
            <w:r w:rsidRPr="00E55036">
              <w:rPr>
                <w:rFonts w:asciiTheme="minorEastAsia" w:hAnsiTheme="minorEastAsia" w:cs="宋体" w:hint="eastAsia"/>
                <w:kern w:val="0"/>
                <w:sz w:val="24"/>
                <w:szCs w:val="18"/>
              </w:rPr>
              <w:t>通知存款七天 + 浮动基数0.00%</w:t>
            </w:r>
          </w:p>
        </w:tc>
      </w:tr>
    </w:tbl>
    <w:p w:rsidR="00F12467" w:rsidRPr="00E55036" w:rsidRDefault="00C017F2" w:rsidP="00F12467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55036">
        <w:rPr>
          <w:rFonts w:asciiTheme="minorEastAsia" w:hAnsiTheme="minorEastAsia" w:hint="eastAsia"/>
          <w:sz w:val="30"/>
          <w:szCs w:val="30"/>
        </w:rPr>
        <w:t>报告期内产品收益表现如下：</w:t>
      </w:r>
    </w:p>
    <w:p w:rsidR="00ED0764" w:rsidRPr="00E55036" w:rsidRDefault="00ED0764" w:rsidP="00ED0764">
      <w:pPr>
        <w:jc w:val="center"/>
        <w:rPr>
          <w:rFonts w:asciiTheme="minorEastAsia" w:hAnsiTheme="minorEastAsia" w:cs="Times New Roman"/>
          <w:b/>
          <w:sz w:val="24"/>
          <w:szCs w:val="24"/>
        </w:rPr>
      </w:pPr>
      <w:r w:rsidRPr="00E55036">
        <w:rPr>
          <w:rFonts w:asciiTheme="minorEastAsia" w:hAnsiTheme="minorEastAsia" w:cs="Times New Roman"/>
          <w:b/>
          <w:sz w:val="24"/>
          <w:szCs w:val="24"/>
        </w:rPr>
        <w:t>添利</w:t>
      </w:r>
      <w:r w:rsidR="0064387F" w:rsidRPr="00E55036">
        <w:rPr>
          <w:rFonts w:asciiTheme="minorEastAsia" w:hAnsiTheme="minorEastAsia" w:cs="Times New Roman" w:hint="eastAsia"/>
          <w:b/>
          <w:sz w:val="24"/>
          <w:szCs w:val="24"/>
        </w:rPr>
        <w:t>快线</w:t>
      </w:r>
      <w:r w:rsidRPr="00E55036">
        <w:rPr>
          <w:rFonts w:asciiTheme="minorEastAsia" w:hAnsiTheme="minorEastAsia" w:cs="Times New Roman"/>
          <w:b/>
          <w:sz w:val="24"/>
          <w:szCs w:val="24"/>
        </w:rPr>
        <w:t>净值型理财产品</w:t>
      </w:r>
      <w:proofErr w:type="gramStart"/>
      <w:r w:rsidRPr="00E55036">
        <w:rPr>
          <w:rFonts w:asciiTheme="minorEastAsia" w:hAnsiTheme="minorEastAsia" w:cs="Times New Roman" w:hint="eastAsia"/>
          <w:b/>
          <w:sz w:val="24"/>
          <w:szCs w:val="24"/>
        </w:rPr>
        <w:t>七日年化收益率</w:t>
      </w:r>
      <w:proofErr w:type="gramEnd"/>
      <w:r w:rsidRPr="00E55036">
        <w:rPr>
          <w:rFonts w:asciiTheme="minorEastAsia" w:hAnsiTheme="minorEastAsia" w:cs="Times New Roman" w:hint="eastAsia"/>
          <w:b/>
          <w:sz w:val="24"/>
          <w:szCs w:val="24"/>
        </w:rPr>
        <w:t>与业绩比较基准对比图</w:t>
      </w:r>
    </w:p>
    <w:p w:rsidR="00ED0764" w:rsidRPr="00E55036" w:rsidRDefault="00ED0764" w:rsidP="00ED0764">
      <w:pPr>
        <w:jc w:val="center"/>
        <w:rPr>
          <w:rFonts w:asciiTheme="minorEastAsia" w:hAnsiTheme="minorEastAsia"/>
          <w:sz w:val="24"/>
          <w:szCs w:val="30"/>
        </w:rPr>
      </w:pPr>
      <w:r w:rsidRPr="00E55036">
        <w:rPr>
          <w:rFonts w:asciiTheme="minorEastAsia" w:hAnsiTheme="minorEastAsia" w:cs="Times New Roman" w:hint="eastAsia"/>
          <w:sz w:val="24"/>
          <w:szCs w:val="30"/>
        </w:rPr>
        <w:t>（201</w:t>
      </w:r>
      <w:r w:rsidR="008F69BF" w:rsidRPr="00E55036">
        <w:rPr>
          <w:rFonts w:asciiTheme="minorEastAsia" w:hAnsiTheme="minorEastAsia" w:cs="Times New Roman" w:hint="eastAsia"/>
          <w:sz w:val="24"/>
          <w:szCs w:val="30"/>
        </w:rPr>
        <w:t>9</w:t>
      </w:r>
      <w:r w:rsidRPr="00E55036">
        <w:rPr>
          <w:rFonts w:asciiTheme="minorEastAsia" w:hAnsiTheme="minorEastAsia" w:cs="Times New Roman" w:hint="eastAsia"/>
          <w:sz w:val="24"/>
          <w:szCs w:val="30"/>
        </w:rPr>
        <w:t>年</w:t>
      </w:r>
      <w:r w:rsidR="008F69BF" w:rsidRPr="00E55036">
        <w:rPr>
          <w:rFonts w:asciiTheme="minorEastAsia" w:hAnsiTheme="minorEastAsia" w:cs="Times New Roman" w:hint="eastAsia"/>
          <w:sz w:val="24"/>
          <w:szCs w:val="30"/>
        </w:rPr>
        <w:t>1</w:t>
      </w:r>
      <w:r w:rsidRPr="00E55036">
        <w:rPr>
          <w:rFonts w:asciiTheme="minorEastAsia" w:hAnsiTheme="minorEastAsia" w:cs="Times New Roman" w:hint="eastAsia"/>
          <w:sz w:val="24"/>
          <w:szCs w:val="30"/>
        </w:rPr>
        <w:t>月</w:t>
      </w:r>
      <w:r w:rsidR="0064387F" w:rsidRPr="00E55036">
        <w:rPr>
          <w:rFonts w:asciiTheme="minorEastAsia" w:hAnsiTheme="minorEastAsia" w:cs="Times New Roman" w:hint="eastAsia"/>
          <w:sz w:val="24"/>
          <w:szCs w:val="30"/>
        </w:rPr>
        <w:t>1</w:t>
      </w:r>
      <w:r w:rsidRPr="00E55036">
        <w:rPr>
          <w:rFonts w:asciiTheme="minorEastAsia" w:hAnsiTheme="minorEastAsia" w:cs="Times New Roman" w:hint="eastAsia"/>
          <w:sz w:val="24"/>
          <w:szCs w:val="30"/>
        </w:rPr>
        <w:t>日-201</w:t>
      </w:r>
      <w:r w:rsidR="00CA6663" w:rsidRPr="00E55036">
        <w:rPr>
          <w:rFonts w:asciiTheme="minorEastAsia" w:hAnsiTheme="minorEastAsia" w:cs="Times New Roman" w:hint="eastAsia"/>
          <w:sz w:val="24"/>
          <w:szCs w:val="30"/>
        </w:rPr>
        <w:t>9</w:t>
      </w:r>
      <w:r w:rsidRPr="00E55036">
        <w:rPr>
          <w:rFonts w:asciiTheme="minorEastAsia" w:hAnsiTheme="minorEastAsia" w:cs="Times New Roman" w:hint="eastAsia"/>
          <w:sz w:val="24"/>
          <w:szCs w:val="30"/>
        </w:rPr>
        <w:t>年</w:t>
      </w:r>
      <w:r w:rsidR="00CA6663" w:rsidRPr="00E55036">
        <w:rPr>
          <w:rFonts w:asciiTheme="minorEastAsia" w:hAnsiTheme="minorEastAsia" w:cs="Times New Roman" w:hint="eastAsia"/>
          <w:sz w:val="24"/>
          <w:szCs w:val="30"/>
        </w:rPr>
        <w:t>3</w:t>
      </w:r>
      <w:r w:rsidRPr="00E55036">
        <w:rPr>
          <w:rFonts w:asciiTheme="minorEastAsia" w:hAnsiTheme="minorEastAsia" w:cs="Times New Roman" w:hint="eastAsia"/>
          <w:sz w:val="24"/>
          <w:szCs w:val="30"/>
        </w:rPr>
        <w:t>月3</w:t>
      </w:r>
      <w:r w:rsidR="0064387F" w:rsidRPr="00E55036">
        <w:rPr>
          <w:rFonts w:asciiTheme="minorEastAsia" w:hAnsiTheme="minorEastAsia" w:cs="Times New Roman" w:hint="eastAsia"/>
          <w:sz w:val="24"/>
          <w:szCs w:val="30"/>
        </w:rPr>
        <w:t>1</w:t>
      </w:r>
      <w:r w:rsidRPr="00E55036">
        <w:rPr>
          <w:rFonts w:asciiTheme="minorEastAsia" w:hAnsiTheme="minorEastAsia" w:cs="Times New Roman" w:hint="eastAsia"/>
          <w:sz w:val="24"/>
          <w:szCs w:val="30"/>
        </w:rPr>
        <w:t>日）</w:t>
      </w:r>
    </w:p>
    <w:p w:rsidR="001F2ACD" w:rsidRPr="00E55036" w:rsidRDefault="008F69BF" w:rsidP="00D957E4">
      <w:pPr>
        <w:rPr>
          <w:rFonts w:asciiTheme="minorEastAsia" w:hAnsiTheme="minorEastAsia"/>
          <w:sz w:val="30"/>
          <w:szCs w:val="30"/>
        </w:rPr>
      </w:pPr>
      <w:r w:rsidRPr="00E55036">
        <w:rPr>
          <w:rFonts w:asciiTheme="minorEastAsia" w:hAnsiTheme="minorEastAsia"/>
          <w:noProof/>
          <w:sz w:val="30"/>
          <w:szCs w:val="30"/>
        </w:rPr>
        <w:drawing>
          <wp:inline distT="0" distB="0" distL="0" distR="0">
            <wp:extent cx="5274310" cy="2896597"/>
            <wp:effectExtent l="19050" t="0" r="21590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12467" w:rsidRPr="00E55036" w:rsidRDefault="00F12467" w:rsidP="00D957E4">
      <w:pPr>
        <w:rPr>
          <w:rFonts w:asciiTheme="minorEastAsia" w:hAnsiTheme="minorEastAsia"/>
          <w:sz w:val="30"/>
          <w:szCs w:val="30"/>
        </w:rPr>
      </w:pPr>
    </w:p>
    <w:p w:rsidR="005978D1" w:rsidRPr="00E55036" w:rsidRDefault="001F2ACD" w:rsidP="001449A0">
      <w:pPr>
        <w:pStyle w:val="a8"/>
        <w:numPr>
          <w:ilvl w:val="0"/>
          <w:numId w:val="1"/>
        </w:numPr>
        <w:ind w:firstLineChars="0"/>
        <w:outlineLvl w:val="0"/>
        <w:rPr>
          <w:rFonts w:asciiTheme="minorEastAsia" w:hAnsiTheme="minorEastAsia"/>
          <w:b/>
          <w:sz w:val="30"/>
          <w:szCs w:val="30"/>
        </w:rPr>
      </w:pPr>
      <w:bookmarkStart w:id="4" w:name="_Toc6410275"/>
      <w:r w:rsidRPr="00E55036">
        <w:rPr>
          <w:rFonts w:asciiTheme="minorEastAsia" w:hAnsiTheme="minorEastAsia" w:hint="eastAsia"/>
          <w:b/>
          <w:sz w:val="30"/>
          <w:szCs w:val="30"/>
        </w:rPr>
        <w:t>报告期内产品的投资策略和运作分析</w:t>
      </w:r>
      <w:bookmarkEnd w:id="4"/>
    </w:p>
    <w:p w:rsidR="001C2ABA" w:rsidRPr="00E55036" w:rsidRDefault="00D160E5" w:rsidP="00AF165E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proofErr w:type="gramStart"/>
      <w:r w:rsidRPr="00E55036">
        <w:rPr>
          <w:rFonts w:asciiTheme="minorEastAsia" w:hAnsiTheme="minorEastAsia" w:hint="eastAsia"/>
          <w:sz w:val="30"/>
          <w:szCs w:val="30"/>
        </w:rPr>
        <w:t>201</w:t>
      </w:r>
      <w:r w:rsidR="00995CFB" w:rsidRPr="00E55036">
        <w:rPr>
          <w:rFonts w:asciiTheme="minorEastAsia" w:hAnsiTheme="minorEastAsia" w:hint="eastAsia"/>
          <w:sz w:val="30"/>
          <w:szCs w:val="30"/>
        </w:rPr>
        <w:t>9</w:t>
      </w:r>
      <w:r w:rsidRPr="00E55036">
        <w:rPr>
          <w:rFonts w:asciiTheme="minorEastAsia" w:hAnsiTheme="minorEastAsia" w:hint="eastAsia"/>
          <w:sz w:val="30"/>
          <w:szCs w:val="30"/>
        </w:rPr>
        <w:t>年</w:t>
      </w:r>
      <w:r w:rsidR="00995CFB" w:rsidRPr="00E55036">
        <w:rPr>
          <w:rFonts w:asciiTheme="minorEastAsia" w:hAnsiTheme="minorEastAsia" w:hint="eastAsia"/>
          <w:sz w:val="30"/>
          <w:szCs w:val="30"/>
        </w:rPr>
        <w:t>一季度社融增速</w:t>
      </w:r>
      <w:proofErr w:type="gramEnd"/>
      <w:r w:rsidR="00995CFB" w:rsidRPr="00E55036">
        <w:rPr>
          <w:rFonts w:asciiTheme="minorEastAsia" w:hAnsiTheme="minorEastAsia" w:hint="eastAsia"/>
          <w:sz w:val="30"/>
          <w:szCs w:val="30"/>
        </w:rPr>
        <w:t>企稳，</w:t>
      </w:r>
      <w:r w:rsidR="00BF43E0" w:rsidRPr="00E55036">
        <w:rPr>
          <w:rFonts w:asciiTheme="minorEastAsia" w:hAnsiTheme="minorEastAsia" w:hint="eastAsia"/>
          <w:sz w:val="30"/>
          <w:szCs w:val="30"/>
        </w:rPr>
        <w:t>3月PMI</w:t>
      </w:r>
      <w:r w:rsidR="001C2ABA" w:rsidRPr="00E55036">
        <w:rPr>
          <w:rFonts w:asciiTheme="minorEastAsia" w:hAnsiTheme="minorEastAsia" w:hint="eastAsia"/>
          <w:sz w:val="30"/>
          <w:szCs w:val="30"/>
        </w:rPr>
        <w:t>数据</w:t>
      </w:r>
      <w:r w:rsidR="00BF43E0" w:rsidRPr="00E55036">
        <w:rPr>
          <w:rFonts w:asciiTheme="minorEastAsia" w:hAnsiTheme="minorEastAsia" w:hint="eastAsia"/>
          <w:sz w:val="30"/>
          <w:szCs w:val="30"/>
        </w:rPr>
        <w:t>50.5%回到荣枯线以上</w:t>
      </w:r>
      <w:r w:rsidR="00AF165E" w:rsidRPr="00E55036">
        <w:rPr>
          <w:rFonts w:asciiTheme="minorEastAsia" w:hAnsiTheme="minorEastAsia" w:hint="eastAsia"/>
          <w:sz w:val="30"/>
          <w:szCs w:val="30"/>
        </w:rPr>
        <w:t>，通</w:t>
      </w:r>
      <w:proofErr w:type="gramStart"/>
      <w:r w:rsidR="00AF165E" w:rsidRPr="00E55036">
        <w:rPr>
          <w:rFonts w:asciiTheme="minorEastAsia" w:hAnsiTheme="minorEastAsia" w:hint="eastAsia"/>
          <w:sz w:val="30"/>
          <w:szCs w:val="30"/>
        </w:rPr>
        <w:t>缩风险</w:t>
      </w:r>
      <w:proofErr w:type="gramEnd"/>
      <w:r w:rsidR="00AF165E" w:rsidRPr="00E55036">
        <w:rPr>
          <w:rFonts w:asciiTheme="minorEastAsia" w:hAnsiTheme="minorEastAsia" w:hint="eastAsia"/>
          <w:sz w:val="30"/>
          <w:szCs w:val="30"/>
        </w:rPr>
        <w:t>大体消退。</w:t>
      </w:r>
      <w:r w:rsidR="00BF43E0" w:rsidRPr="00E55036">
        <w:rPr>
          <w:rFonts w:asciiTheme="minorEastAsia" w:hAnsiTheme="minorEastAsia" w:hint="eastAsia"/>
          <w:sz w:val="30"/>
          <w:szCs w:val="30"/>
        </w:rPr>
        <w:t>但外需指标偏弱，出口同比增速仍然为负。财政宽松大幅加码，1-2月财政赤字同比扩张，积极的财政政策有望提升总需求增长，尤其是消费与制造业的投资需求。</w:t>
      </w:r>
    </w:p>
    <w:p w:rsidR="00D160E5" w:rsidRPr="00E55036" w:rsidRDefault="001C2ABA" w:rsidP="001C2ABA">
      <w:pPr>
        <w:spacing w:line="360" w:lineRule="auto"/>
        <w:ind w:firstLineChars="200" w:firstLine="600"/>
        <w:rPr>
          <w:rFonts w:asciiTheme="minorEastAsia" w:hAnsiTheme="minorEastAsia"/>
          <w:sz w:val="30"/>
          <w:szCs w:val="30"/>
        </w:rPr>
      </w:pPr>
      <w:r w:rsidRPr="00E55036">
        <w:rPr>
          <w:rFonts w:asciiTheme="minorEastAsia" w:hAnsiTheme="minorEastAsia" w:hint="eastAsia"/>
          <w:sz w:val="30"/>
          <w:szCs w:val="30"/>
        </w:rPr>
        <w:t>政策方面，两会政府工作报告将2019年经济增长目标定位在6.0-6.5%，符合市场预期。强化宏观政策的逆周期调节作用，增强调控的前瞻性、针对性和有效性，确保经济运行在合理区间。财政政策将提高预算赤字率，大幅增加地方政府专项债券的发行量，实施更大规模的减税降费措施。货币政策维持稳健和松紧适度，既要把好货币供给总闸门，又要灵活运用多种货币政策工具，疏通货币政策传导渠道，保证流动性的合理充裕。</w:t>
      </w:r>
    </w:p>
    <w:p w:rsidR="00D160E5" w:rsidRPr="00E55036" w:rsidRDefault="008179D3" w:rsidP="00D160E5">
      <w:pPr>
        <w:ind w:firstLineChars="200" w:firstLine="600"/>
        <w:rPr>
          <w:rFonts w:asciiTheme="minorEastAsia" w:hAnsiTheme="minorEastAsia"/>
          <w:sz w:val="28"/>
          <w:szCs w:val="28"/>
          <w:highlight w:val="yellow"/>
        </w:rPr>
      </w:pPr>
      <w:r w:rsidRPr="00E55036">
        <w:rPr>
          <w:rFonts w:asciiTheme="minorEastAsia" w:hAnsiTheme="minorEastAsia" w:hint="eastAsia"/>
          <w:sz w:val="30"/>
          <w:szCs w:val="30"/>
        </w:rPr>
        <w:t>利率走势</w:t>
      </w:r>
      <w:r w:rsidR="0079015F" w:rsidRPr="00E55036">
        <w:rPr>
          <w:rFonts w:asciiTheme="minorEastAsia" w:hAnsiTheme="minorEastAsia" w:hint="eastAsia"/>
          <w:sz w:val="30"/>
          <w:szCs w:val="30"/>
        </w:rPr>
        <w:t>方面，</w:t>
      </w:r>
      <w:r w:rsidR="001B78B7" w:rsidRPr="00E55036">
        <w:rPr>
          <w:rFonts w:asciiTheme="minorEastAsia" w:hAnsiTheme="minorEastAsia" w:hint="eastAsia"/>
          <w:sz w:val="30"/>
          <w:szCs w:val="30"/>
        </w:rPr>
        <w:t>2019年开年央行即宣布</w:t>
      </w:r>
      <w:proofErr w:type="gramStart"/>
      <w:r w:rsidR="001B78B7" w:rsidRPr="00E55036">
        <w:rPr>
          <w:rFonts w:asciiTheme="minorEastAsia" w:hAnsiTheme="minorEastAsia" w:hint="eastAsia"/>
          <w:sz w:val="30"/>
          <w:szCs w:val="30"/>
        </w:rPr>
        <w:t>全面降准1个</w:t>
      </w:r>
      <w:proofErr w:type="gramEnd"/>
      <w:r w:rsidR="001B78B7" w:rsidRPr="00E55036">
        <w:rPr>
          <w:rFonts w:asciiTheme="minorEastAsia" w:hAnsiTheme="minorEastAsia" w:hint="eastAsia"/>
          <w:sz w:val="30"/>
          <w:szCs w:val="30"/>
        </w:rPr>
        <w:t>百分点，释放约1.5</w:t>
      </w:r>
      <w:proofErr w:type="gramStart"/>
      <w:r w:rsidR="001B78B7" w:rsidRPr="00E55036">
        <w:rPr>
          <w:rFonts w:asciiTheme="minorEastAsia" w:hAnsiTheme="minorEastAsia" w:hint="eastAsia"/>
          <w:sz w:val="30"/>
          <w:szCs w:val="30"/>
        </w:rPr>
        <w:t>万亿</w:t>
      </w:r>
      <w:proofErr w:type="gramEnd"/>
      <w:r w:rsidR="001B78B7" w:rsidRPr="00E55036">
        <w:rPr>
          <w:rFonts w:asciiTheme="minorEastAsia" w:hAnsiTheme="minorEastAsia" w:hint="eastAsia"/>
          <w:sz w:val="30"/>
          <w:szCs w:val="30"/>
        </w:rPr>
        <w:t>的资金，1月23日再度通过TMLF定向投放2575亿的一年期资金，一方面</w:t>
      </w:r>
      <w:proofErr w:type="gramStart"/>
      <w:r w:rsidR="001B78B7" w:rsidRPr="00E55036">
        <w:rPr>
          <w:rFonts w:asciiTheme="minorEastAsia" w:hAnsiTheme="minorEastAsia" w:hint="eastAsia"/>
          <w:sz w:val="30"/>
          <w:szCs w:val="30"/>
        </w:rPr>
        <w:t>熨</w:t>
      </w:r>
      <w:proofErr w:type="gramEnd"/>
      <w:r w:rsidR="001B78B7" w:rsidRPr="00E55036">
        <w:rPr>
          <w:rFonts w:asciiTheme="minorEastAsia" w:hAnsiTheme="minorEastAsia" w:hint="eastAsia"/>
          <w:sz w:val="30"/>
          <w:szCs w:val="30"/>
        </w:rPr>
        <w:t>平了春节期间取现因素带来的资金波动，另一方面在释放大量流动性的同时降低银行资金成本，有效地引导了</w:t>
      </w:r>
      <w:r w:rsidR="00784C3E" w:rsidRPr="00E55036">
        <w:rPr>
          <w:rFonts w:asciiTheme="minorEastAsia" w:hAnsiTheme="minorEastAsia" w:hint="eastAsia"/>
          <w:sz w:val="30"/>
          <w:szCs w:val="30"/>
        </w:rPr>
        <w:t>长</w:t>
      </w:r>
      <w:proofErr w:type="gramStart"/>
      <w:r w:rsidR="00784C3E" w:rsidRPr="00E55036">
        <w:rPr>
          <w:rFonts w:asciiTheme="minorEastAsia" w:hAnsiTheme="minorEastAsia" w:hint="eastAsia"/>
          <w:sz w:val="30"/>
          <w:szCs w:val="30"/>
        </w:rPr>
        <w:t>端</w:t>
      </w:r>
      <w:r w:rsidR="001B78B7" w:rsidRPr="00E55036">
        <w:rPr>
          <w:rFonts w:asciiTheme="minorEastAsia" w:hAnsiTheme="minorEastAsia" w:hint="eastAsia"/>
          <w:sz w:val="30"/>
          <w:szCs w:val="30"/>
        </w:rPr>
        <w:t>利率</w:t>
      </w:r>
      <w:proofErr w:type="gramEnd"/>
      <w:r w:rsidR="001B78B7" w:rsidRPr="00E55036">
        <w:rPr>
          <w:rFonts w:asciiTheme="minorEastAsia" w:hAnsiTheme="minorEastAsia" w:hint="eastAsia"/>
          <w:sz w:val="30"/>
          <w:szCs w:val="30"/>
        </w:rPr>
        <w:t>水平的平稳下行。</w:t>
      </w:r>
      <w:r w:rsidR="00784C3E" w:rsidRPr="00E55036">
        <w:rPr>
          <w:rFonts w:asciiTheme="minorEastAsia" w:hAnsiTheme="minorEastAsia" w:hint="eastAsia"/>
          <w:sz w:val="30"/>
          <w:szCs w:val="30"/>
        </w:rPr>
        <w:t>10年国债由</w:t>
      </w:r>
      <w:r w:rsidRPr="00E55036">
        <w:rPr>
          <w:rFonts w:asciiTheme="minorEastAsia" w:hAnsiTheme="minorEastAsia" w:hint="eastAsia"/>
          <w:sz w:val="30"/>
          <w:szCs w:val="30"/>
        </w:rPr>
        <w:t>去年底</w:t>
      </w:r>
      <w:r w:rsidR="00784C3E" w:rsidRPr="00E55036">
        <w:rPr>
          <w:rFonts w:asciiTheme="minorEastAsia" w:hAnsiTheme="minorEastAsia" w:hint="eastAsia"/>
          <w:sz w:val="30"/>
          <w:szCs w:val="30"/>
        </w:rPr>
        <w:t>3.23%下行16BP至3月末3.07%，1年</w:t>
      </w:r>
      <w:proofErr w:type="gramStart"/>
      <w:r w:rsidR="00784C3E" w:rsidRPr="00E55036">
        <w:rPr>
          <w:rFonts w:asciiTheme="minorEastAsia" w:hAnsiTheme="minorEastAsia" w:hint="eastAsia"/>
          <w:sz w:val="30"/>
          <w:szCs w:val="30"/>
        </w:rPr>
        <w:t>国股存单</w:t>
      </w:r>
      <w:proofErr w:type="gramEnd"/>
      <w:r w:rsidR="00784C3E" w:rsidRPr="00E55036">
        <w:rPr>
          <w:rFonts w:asciiTheme="minorEastAsia" w:hAnsiTheme="minorEastAsia" w:hint="eastAsia"/>
          <w:sz w:val="30"/>
          <w:szCs w:val="30"/>
        </w:rPr>
        <w:t>发行价格由</w:t>
      </w:r>
      <w:r w:rsidRPr="00E55036">
        <w:rPr>
          <w:rFonts w:asciiTheme="minorEastAsia" w:hAnsiTheme="minorEastAsia" w:hint="eastAsia"/>
          <w:sz w:val="30"/>
          <w:szCs w:val="30"/>
        </w:rPr>
        <w:t>去年底3.45%下行40BP至3月末3.05%。</w:t>
      </w:r>
      <w:r w:rsidR="001B78B7" w:rsidRPr="00E55036">
        <w:rPr>
          <w:rFonts w:asciiTheme="minorEastAsia" w:hAnsiTheme="minorEastAsia" w:hint="eastAsia"/>
          <w:sz w:val="30"/>
          <w:szCs w:val="30"/>
        </w:rPr>
        <w:t>然而短</w:t>
      </w:r>
      <w:proofErr w:type="gramStart"/>
      <w:r w:rsidR="001B78B7" w:rsidRPr="00E55036">
        <w:rPr>
          <w:rFonts w:asciiTheme="minorEastAsia" w:hAnsiTheme="minorEastAsia" w:hint="eastAsia"/>
          <w:sz w:val="30"/>
          <w:szCs w:val="30"/>
        </w:rPr>
        <w:t>端价格</w:t>
      </w:r>
      <w:proofErr w:type="gramEnd"/>
      <w:r w:rsidR="001B78B7" w:rsidRPr="00E55036">
        <w:rPr>
          <w:rFonts w:asciiTheme="minorEastAsia" w:hAnsiTheme="minorEastAsia" w:hint="eastAsia"/>
          <w:sz w:val="30"/>
          <w:szCs w:val="30"/>
        </w:rPr>
        <w:t>还是会受到缴税、MLF到期、地方债</w:t>
      </w:r>
      <w:proofErr w:type="gramStart"/>
      <w:r w:rsidR="001B78B7" w:rsidRPr="00E55036">
        <w:rPr>
          <w:rFonts w:asciiTheme="minorEastAsia" w:hAnsiTheme="minorEastAsia" w:hint="eastAsia"/>
          <w:sz w:val="30"/>
          <w:szCs w:val="30"/>
        </w:rPr>
        <w:t>密集发行</w:t>
      </w:r>
      <w:proofErr w:type="gramEnd"/>
      <w:r w:rsidR="001B78B7" w:rsidRPr="00E55036">
        <w:rPr>
          <w:rFonts w:asciiTheme="minorEastAsia" w:hAnsiTheme="minorEastAsia" w:hint="eastAsia"/>
          <w:sz w:val="30"/>
          <w:szCs w:val="30"/>
        </w:rPr>
        <w:t>以及时点末的扰动</w:t>
      </w:r>
      <w:r w:rsidR="00784C3E" w:rsidRPr="00E55036">
        <w:rPr>
          <w:rFonts w:asciiTheme="minorEastAsia" w:hAnsiTheme="minorEastAsia" w:hint="eastAsia"/>
          <w:sz w:val="28"/>
          <w:szCs w:val="28"/>
        </w:rPr>
        <w:t>，</w:t>
      </w:r>
      <w:r w:rsidRPr="00E55036">
        <w:rPr>
          <w:rFonts w:asciiTheme="minorEastAsia" w:hAnsiTheme="minorEastAsia" w:hint="eastAsia"/>
          <w:sz w:val="28"/>
          <w:szCs w:val="28"/>
        </w:rPr>
        <w:t>DR007</w:t>
      </w:r>
      <w:proofErr w:type="gramStart"/>
      <w:r w:rsidRPr="00E55036">
        <w:rPr>
          <w:rFonts w:asciiTheme="minorEastAsia" w:hAnsiTheme="minorEastAsia" w:hint="eastAsia"/>
          <w:sz w:val="28"/>
          <w:szCs w:val="28"/>
        </w:rPr>
        <w:t>一</w:t>
      </w:r>
      <w:proofErr w:type="gramEnd"/>
      <w:r w:rsidRPr="00E55036">
        <w:rPr>
          <w:rFonts w:asciiTheme="minorEastAsia" w:hAnsiTheme="minorEastAsia" w:hint="eastAsia"/>
          <w:sz w:val="28"/>
          <w:szCs w:val="28"/>
        </w:rPr>
        <w:t>季度均值2.52%，仅比上季度均值略低10BP，</w:t>
      </w:r>
      <w:r w:rsidR="00784C3E" w:rsidRPr="00E55036">
        <w:rPr>
          <w:rFonts w:asciiTheme="minorEastAsia" w:hAnsiTheme="minorEastAsia" w:hint="eastAsia"/>
          <w:sz w:val="28"/>
          <w:szCs w:val="28"/>
        </w:rPr>
        <w:t>利率曲线趋于平坦化。</w:t>
      </w:r>
    </w:p>
    <w:p w:rsidR="00D160E5" w:rsidRPr="00E55036" w:rsidRDefault="00D160E5" w:rsidP="00D160E5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55036">
        <w:rPr>
          <w:rFonts w:asciiTheme="minorEastAsia" w:hAnsiTheme="minorEastAsia" w:hint="eastAsia"/>
          <w:sz w:val="30"/>
          <w:szCs w:val="30"/>
        </w:rPr>
        <w:lastRenderedPageBreak/>
        <w:t>信用方面，</w:t>
      </w:r>
      <w:r w:rsidR="00995CFB" w:rsidRPr="00E55036">
        <w:rPr>
          <w:rFonts w:asciiTheme="minorEastAsia" w:hAnsiTheme="minorEastAsia" w:hint="eastAsia"/>
          <w:sz w:val="30"/>
          <w:szCs w:val="30"/>
        </w:rPr>
        <w:t>一季度市场风险偏好的有所回升，</w:t>
      </w:r>
      <w:r w:rsidR="008179D3" w:rsidRPr="00E55036">
        <w:rPr>
          <w:rFonts w:asciiTheme="minorEastAsia" w:hAnsiTheme="minorEastAsia" w:hint="eastAsia"/>
          <w:sz w:val="30"/>
          <w:szCs w:val="30"/>
        </w:rPr>
        <w:t>低评级</w:t>
      </w:r>
      <w:r w:rsidR="00995CFB" w:rsidRPr="00E55036">
        <w:rPr>
          <w:rFonts w:asciiTheme="minorEastAsia" w:hAnsiTheme="minorEastAsia" w:hint="eastAsia"/>
          <w:sz w:val="30"/>
          <w:szCs w:val="30"/>
        </w:rPr>
        <w:t>信用债收益率</w:t>
      </w:r>
      <w:r w:rsidR="008179D3" w:rsidRPr="00E55036">
        <w:rPr>
          <w:rFonts w:asciiTheme="minorEastAsia" w:hAnsiTheme="minorEastAsia" w:hint="eastAsia"/>
          <w:sz w:val="30"/>
          <w:szCs w:val="30"/>
        </w:rPr>
        <w:t>下行幅度大于高评级，尤其是中短端信用利差</w:t>
      </w:r>
      <w:r w:rsidR="00995CFB" w:rsidRPr="00E55036">
        <w:rPr>
          <w:rFonts w:asciiTheme="minorEastAsia" w:hAnsiTheme="minorEastAsia" w:hint="eastAsia"/>
          <w:sz w:val="30"/>
          <w:szCs w:val="30"/>
        </w:rPr>
        <w:t>进一步</w:t>
      </w:r>
      <w:r w:rsidR="008179D3" w:rsidRPr="00E55036">
        <w:rPr>
          <w:rFonts w:asciiTheme="minorEastAsia" w:hAnsiTheme="minorEastAsia" w:hint="eastAsia"/>
          <w:sz w:val="30"/>
          <w:szCs w:val="30"/>
        </w:rPr>
        <w:t>压缩。</w:t>
      </w:r>
      <w:r w:rsidR="00995CFB" w:rsidRPr="00E55036">
        <w:rPr>
          <w:rFonts w:asciiTheme="minorEastAsia" w:hAnsiTheme="minorEastAsia" w:hint="eastAsia"/>
          <w:sz w:val="30"/>
          <w:szCs w:val="30"/>
        </w:rPr>
        <w:t>19年前两个月</w:t>
      </w:r>
      <w:proofErr w:type="gramStart"/>
      <w:r w:rsidR="00995CFB" w:rsidRPr="00E55036">
        <w:rPr>
          <w:rFonts w:asciiTheme="minorEastAsia" w:hAnsiTheme="minorEastAsia" w:hint="eastAsia"/>
          <w:sz w:val="30"/>
          <w:szCs w:val="30"/>
        </w:rPr>
        <w:t>信用债净融资</w:t>
      </w:r>
      <w:proofErr w:type="gramEnd"/>
      <w:r w:rsidR="00995CFB" w:rsidRPr="00E55036">
        <w:rPr>
          <w:rFonts w:asciiTheme="minorEastAsia" w:hAnsiTheme="minorEastAsia" w:hint="eastAsia"/>
          <w:sz w:val="30"/>
          <w:szCs w:val="30"/>
        </w:rPr>
        <w:t>量明显超过18年同期，</w:t>
      </w:r>
      <w:r w:rsidR="008179D3" w:rsidRPr="00E55036">
        <w:rPr>
          <w:rFonts w:asciiTheme="minorEastAsia" w:hAnsiTheme="minorEastAsia" w:hint="eastAsia"/>
          <w:sz w:val="30"/>
          <w:szCs w:val="30"/>
        </w:rPr>
        <w:t>这与民企等</w:t>
      </w:r>
      <w:proofErr w:type="gramStart"/>
      <w:r w:rsidR="008179D3" w:rsidRPr="00E55036">
        <w:rPr>
          <w:rFonts w:asciiTheme="minorEastAsia" w:hAnsiTheme="minorEastAsia" w:hint="eastAsia"/>
          <w:sz w:val="30"/>
          <w:szCs w:val="30"/>
        </w:rPr>
        <w:t>纾困支持</w:t>
      </w:r>
      <w:proofErr w:type="gramEnd"/>
      <w:r w:rsidR="008179D3" w:rsidRPr="00E55036">
        <w:rPr>
          <w:rFonts w:asciiTheme="minorEastAsia" w:hAnsiTheme="minorEastAsia" w:hint="eastAsia"/>
          <w:sz w:val="30"/>
          <w:szCs w:val="30"/>
        </w:rPr>
        <w:t>政策陆续出台显效、收益率快速下行后投资者为提高收益尝试适当信用下沉有关</w:t>
      </w:r>
      <w:r w:rsidR="0079015F" w:rsidRPr="00E55036">
        <w:rPr>
          <w:rFonts w:asciiTheme="minorEastAsia" w:hAnsiTheme="minorEastAsia" w:hint="eastAsia"/>
          <w:sz w:val="30"/>
          <w:szCs w:val="30"/>
        </w:rPr>
        <w:t>。</w:t>
      </w:r>
    </w:p>
    <w:p w:rsidR="00165214" w:rsidRPr="00E55036" w:rsidRDefault="00995CFB" w:rsidP="00F12467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55036">
        <w:rPr>
          <w:rFonts w:asciiTheme="minorEastAsia" w:hAnsiTheme="minorEastAsia" w:hint="eastAsia"/>
          <w:sz w:val="30"/>
          <w:szCs w:val="30"/>
        </w:rPr>
        <w:t>展望二季度，</w:t>
      </w:r>
      <w:r w:rsidR="001C2ABA" w:rsidRPr="00E55036">
        <w:rPr>
          <w:rFonts w:asciiTheme="minorEastAsia" w:hAnsiTheme="minorEastAsia" w:hint="eastAsia"/>
          <w:sz w:val="30"/>
          <w:szCs w:val="30"/>
        </w:rPr>
        <w:t>市场对</w:t>
      </w:r>
      <w:proofErr w:type="gramStart"/>
      <w:r w:rsidR="001C2ABA" w:rsidRPr="00E55036">
        <w:rPr>
          <w:rFonts w:asciiTheme="minorEastAsia" w:hAnsiTheme="minorEastAsia" w:hint="eastAsia"/>
          <w:sz w:val="30"/>
          <w:szCs w:val="30"/>
        </w:rPr>
        <w:t>降息降准的</w:t>
      </w:r>
      <w:proofErr w:type="gramEnd"/>
      <w:r w:rsidR="001C2ABA" w:rsidRPr="00E55036">
        <w:rPr>
          <w:rFonts w:asciiTheme="minorEastAsia" w:hAnsiTheme="minorEastAsia" w:hint="eastAsia"/>
          <w:sz w:val="30"/>
          <w:szCs w:val="30"/>
        </w:rPr>
        <w:t>预期强烈，利率有望进一步下行。信用方面</w:t>
      </w:r>
      <w:r w:rsidR="00B641E0" w:rsidRPr="00E55036">
        <w:rPr>
          <w:rFonts w:asciiTheme="minorEastAsia" w:hAnsiTheme="minorEastAsia" w:hint="eastAsia"/>
          <w:sz w:val="30"/>
          <w:szCs w:val="30"/>
        </w:rPr>
        <w:t>，</w:t>
      </w:r>
      <w:r w:rsidR="001C2ABA" w:rsidRPr="00E55036">
        <w:rPr>
          <w:rFonts w:asciiTheme="minorEastAsia" w:hAnsiTheme="minorEastAsia" w:hint="eastAsia"/>
          <w:sz w:val="30"/>
          <w:szCs w:val="30"/>
        </w:rPr>
        <w:t>二季度是年报披露季，信用利差</w:t>
      </w:r>
      <w:proofErr w:type="gramStart"/>
      <w:r w:rsidR="001C2ABA" w:rsidRPr="00E55036">
        <w:rPr>
          <w:rFonts w:asciiTheme="minorEastAsia" w:hAnsiTheme="minorEastAsia" w:hint="eastAsia"/>
          <w:sz w:val="30"/>
          <w:szCs w:val="30"/>
        </w:rPr>
        <w:t>易扩难缩</w:t>
      </w:r>
      <w:proofErr w:type="gramEnd"/>
      <w:r w:rsidR="001C2ABA" w:rsidRPr="00E55036">
        <w:rPr>
          <w:rFonts w:asciiTheme="minorEastAsia" w:hAnsiTheme="minorEastAsia" w:hint="eastAsia"/>
          <w:sz w:val="30"/>
          <w:szCs w:val="30"/>
        </w:rPr>
        <w:t>，内部板块可能进一步分化。</w:t>
      </w:r>
      <w:r w:rsidR="0079015F" w:rsidRPr="00E55036">
        <w:rPr>
          <w:rFonts w:asciiTheme="minorEastAsia" w:hAnsiTheme="minorEastAsia" w:hint="eastAsia"/>
          <w:sz w:val="30"/>
          <w:szCs w:val="30"/>
        </w:rPr>
        <w:t>在此背景下，我们</w:t>
      </w:r>
      <w:r w:rsidR="001C2ABA" w:rsidRPr="00E55036">
        <w:rPr>
          <w:rFonts w:asciiTheme="minorEastAsia" w:hAnsiTheme="minorEastAsia" w:hint="eastAsia"/>
          <w:sz w:val="30"/>
          <w:szCs w:val="30"/>
        </w:rPr>
        <w:t>会</w:t>
      </w:r>
      <w:r w:rsidR="0079015F" w:rsidRPr="00E55036">
        <w:rPr>
          <w:rFonts w:asciiTheme="minorEastAsia" w:hAnsiTheme="minorEastAsia" w:hint="eastAsia"/>
          <w:sz w:val="30"/>
          <w:szCs w:val="30"/>
        </w:rPr>
        <w:t>深入</w:t>
      </w:r>
      <w:r w:rsidR="001C2ABA" w:rsidRPr="00E55036">
        <w:rPr>
          <w:rFonts w:asciiTheme="minorEastAsia" w:hAnsiTheme="minorEastAsia" w:hint="eastAsia"/>
          <w:sz w:val="30"/>
          <w:szCs w:val="30"/>
        </w:rPr>
        <w:t>研究分析</w:t>
      </w:r>
      <w:r w:rsidR="003D0418" w:rsidRPr="00E55036">
        <w:rPr>
          <w:rFonts w:asciiTheme="minorEastAsia" w:hAnsiTheme="minorEastAsia" w:hint="eastAsia"/>
          <w:sz w:val="30"/>
          <w:szCs w:val="30"/>
        </w:rPr>
        <w:t>宏观经济运行规律，</w:t>
      </w:r>
      <w:r w:rsidR="0079015F" w:rsidRPr="00E55036">
        <w:rPr>
          <w:rFonts w:asciiTheme="minorEastAsia" w:hAnsiTheme="minorEastAsia" w:hint="eastAsia"/>
          <w:sz w:val="30"/>
          <w:szCs w:val="30"/>
        </w:rPr>
        <w:t>综合</w:t>
      </w:r>
      <w:proofErr w:type="gramStart"/>
      <w:r w:rsidR="0079015F" w:rsidRPr="00E55036">
        <w:rPr>
          <w:rFonts w:asciiTheme="minorEastAsia" w:hAnsiTheme="minorEastAsia" w:hint="eastAsia"/>
          <w:sz w:val="30"/>
          <w:szCs w:val="30"/>
        </w:rPr>
        <w:t>考量</w:t>
      </w:r>
      <w:proofErr w:type="gramEnd"/>
      <w:r w:rsidR="001C2ABA" w:rsidRPr="00E55036">
        <w:rPr>
          <w:rFonts w:asciiTheme="minorEastAsia" w:hAnsiTheme="minorEastAsia" w:hint="eastAsia"/>
          <w:sz w:val="30"/>
          <w:szCs w:val="30"/>
        </w:rPr>
        <w:t>各投资品种</w:t>
      </w:r>
      <w:r w:rsidR="0079015F" w:rsidRPr="00E55036">
        <w:rPr>
          <w:rFonts w:asciiTheme="minorEastAsia" w:hAnsiTheme="minorEastAsia" w:hint="eastAsia"/>
          <w:sz w:val="30"/>
          <w:szCs w:val="30"/>
        </w:rPr>
        <w:t>的</w:t>
      </w:r>
      <w:r w:rsidR="001C2ABA" w:rsidRPr="00E55036">
        <w:rPr>
          <w:rFonts w:asciiTheme="minorEastAsia" w:hAnsiTheme="minorEastAsia" w:hint="eastAsia"/>
          <w:sz w:val="30"/>
          <w:szCs w:val="30"/>
        </w:rPr>
        <w:t>风险收益</w:t>
      </w:r>
      <w:r w:rsidR="0079015F" w:rsidRPr="00E55036">
        <w:rPr>
          <w:rFonts w:asciiTheme="minorEastAsia" w:hAnsiTheme="minorEastAsia" w:hint="eastAsia"/>
          <w:sz w:val="30"/>
          <w:szCs w:val="30"/>
        </w:rPr>
        <w:t>特征等，</w:t>
      </w:r>
      <w:r w:rsidR="001C2ABA" w:rsidRPr="00E55036">
        <w:rPr>
          <w:rFonts w:asciiTheme="minorEastAsia" w:hAnsiTheme="minorEastAsia" w:hint="eastAsia"/>
          <w:sz w:val="30"/>
          <w:szCs w:val="30"/>
        </w:rPr>
        <w:t>制定科学有效的投资策略</w:t>
      </w:r>
      <w:r w:rsidR="0079015F" w:rsidRPr="00E55036">
        <w:rPr>
          <w:rFonts w:asciiTheme="minorEastAsia" w:hAnsiTheme="minorEastAsia" w:hint="eastAsia"/>
          <w:sz w:val="30"/>
          <w:szCs w:val="30"/>
        </w:rPr>
        <w:t>。</w:t>
      </w:r>
      <w:r w:rsidR="0079015F" w:rsidRPr="00E55036">
        <w:rPr>
          <w:rFonts w:asciiTheme="minorEastAsia" w:hAnsiTheme="minorEastAsia"/>
          <w:sz w:val="30"/>
          <w:szCs w:val="30"/>
        </w:rPr>
        <w:t>本</w:t>
      </w:r>
      <w:r w:rsidR="0079015F" w:rsidRPr="00E55036">
        <w:rPr>
          <w:rFonts w:asciiTheme="minorEastAsia" w:hAnsiTheme="minorEastAsia" w:hint="eastAsia"/>
          <w:sz w:val="30"/>
          <w:szCs w:val="30"/>
        </w:rPr>
        <w:t>产品始终</w:t>
      </w:r>
      <w:r w:rsidR="0079015F" w:rsidRPr="00E55036">
        <w:rPr>
          <w:rFonts w:asciiTheme="minorEastAsia" w:hAnsiTheme="minorEastAsia"/>
          <w:sz w:val="30"/>
          <w:szCs w:val="30"/>
        </w:rPr>
        <w:t>将保持流动性安全和防范信用风险作为第一要务，投放的资产以</w:t>
      </w:r>
      <w:r w:rsidR="0079015F" w:rsidRPr="00E55036">
        <w:rPr>
          <w:rFonts w:asciiTheme="minorEastAsia" w:hAnsiTheme="minorEastAsia" w:hint="eastAsia"/>
          <w:sz w:val="30"/>
          <w:szCs w:val="30"/>
        </w:rPr>
        <w:t>中</w:t>
      </w:r>
      <w:r w:rsidR="0079015F" w:rsidRPr="00E55036">
        <w:rPr>
          <w:rFonts w:asciiTheme="minorEastAsia" w:hAnsiTheme="minorEastAsia"/>
          <w:sz w:val="30"/>
          <w:szCs w:val="30"/>
        </w:rPr>
        <w:t>短期限的</w:t>
      </w:r>
      <w:r w:rsidR="0079015F" w:rsidRPr="00E55036">
        <w:rPr>
          <w:rFonts w:asciiTheme="minorEastAsia" w:hAnsiTheme="minorEastAsia" w:hint="eastAsia"/>
          <w:sz w:val="30"/>
          <w:szCs w:val="30"/>
        </w:rPr>
        <w:t>货币工具、政策性金融债、金融债和高评级信用债</w:t>
      </w:r>
      <w:r w:rsidR="0079015F" w:rsidRPr="00E55036">
        <w:rPr>
          <w:rFonts w:asciiTheme="minorEastAsia" w:hAnsiTheme="minorEastAsia"/>
          <w:sz w:val="30"/>
          <w:szCs w:val="30"/>
        </w:rPr>
        <w:t>为主</w:t>
      </w:r>
      <w:r w:rsidR="0079015F" w:rsidRPr="00E55036">
        <w:rPr>
          <w:rFonts w:asciiTheme="minorEastAsia" w:hAnsiTheme="minorEastAsia" w:hint="eastAsia"/>
          <w:sz w:val="30"/>
          <w:szCs w:val="30"/>
        </w:rPr>
        <w:t>，其中货币工具</w:t>
      </w:r>
      <w:r w:rsidR="0079015F" w:rsidRPr="00E55036">
        <w:rPr>
          <w:rFonts w:asciiTheme="minorEastAsia" w:hAnsiTheme="minorEastAsia"/>
          <w:sz w:val="30"/>
          <w:szCs w:val="30"/>
        </w:rPr>
        <w:t>期限以</w:t>
      </w:r>
      <w:r w:rsidR="0079015F" w:rsidRPr="00E55036">
        <w:rPr>
          <w:rFonts w:asciiTheme="minorEastAsia" w:hAnsiTheme="minorEastAsia" w:hint="eastAsia"/>
          <w:sz w:val="30"/>
          <w:szCs w:val="30"/>
        </w:rPr>
        <w:t>1年</w:t>
      </w:r>
      <w:r w:rsidR="0079015F" w:rsidRPr="00E55036">
        <w:rPr>
          <w:rFonts w:asciiTheme="minorEastAsia" w:hAnsiTheme="minorEastAsia"/>
          <w:sz w:val="30"/>
          <w:szCs w:val="30"/>
        </w:rPr>
        <w:t>内为主</w:t>
      </w:r>
      <w:r w:rsidR="0079015F" w:rsidRPr="00E55036">
        <w:rPr>
          <w:rFonts w:asciiTheme="minorEastAsia" w:hAnsiTheme="minorEastAsia" w:hint="eastAsia"/>
          <w:sz w:val="30"/>
          <w:szCs w:val="30"/>
        </w:rPr>
        <w:t>，债券</w:t>
      </w:r>
      <w:proofErr w:type="gramStart"/>
      <w:r w:rsidR="0079015F" w:rsidRPr="00E55036">
        <w:rPr>
          <w:rFonts w:asciiTheme="minorEastAsia" w:hAnsiTheme="minorEastAsia" w:hint="eastAsia"/>
          <w:sz w:val="30"/>
          <w:szCs w:val="30"/>
        </w:rPr>
        <w:t>的久期不</w:t>
      </w:r>
      <w:proofErr w:type="gramEnd"/>
      <w:r w:rsidR="0079015F" w:rsidRPr="00E55036">
        <w:rPr>
          <w:rFonts w:asciiTheme="minorEastAsia" w:hAnsiTheme="minorEastAsia" w:hint="eastAsia"/>
          <w:sz w:val="30"/>
          <w:szCs w:val="30"/>
        </w:rPr>
        <w:t>超过3年，信用债主体评级均在AA+以上</w:t>
      </w:r>
      <w:r w:rsidR="003D0418" w:rsidRPr="00E55036">
        <w:rPr>
          <w:rFonts w:asciiTheme="minorEastAsia" w:hAnsiTheme="minorEastAsia" w:hint="eastAsia"/>
          <w:sz w:val="30"/>
          <w:szCs w:val="30"/>
        </w:rPr>
        <w:t>。流动性管理方面，我们密切关注</w:t>
      </w:r>
      <w:r w:rsidR="0079015F" w:rsidRPr="00E55036">
        <w:rPr>
          <w:rFonts w:asciiTheme="minorEastAsia" w:hAnsiTheme="minorEastAsia" w:hint="eastAsia"/>
          <w:sz w:val="30"/>
          <w:szCs w:val="30"/>
        </w:rPr>
        <w:t>市场资金面</w:t>
      </w:r>
      <w:r w:rsidR="003D0418" w:rsidRPr="00E55036">
        <w:rPr>
          <w:rFonts w:asciiTheme="minorEastAsia" w:hAnsiTheme="minorEastAsia" w:hint="eastAsia"/>
          <w:sz w:val="30"/>
          <w:szCs w:val="30"/>
        </w:rPr>
        <w:t>的</w:t>
      </w:r>
      <w:r w:rsidR="0079015F" w:rsidRPr="00E55036">
        <w:rPr>
          <w:rFonts w:asciiTheme="minorEastAsia" w:hAnsiTheme="minorEastAsia" w:hint="eastAsia"/>
          <w:sz w:val="30"/>
          <w:szCs w:val="30"/>
        </w:rPr>
        <w:t>影响因素</w:t>
      </w:r>
      <w:r w:rsidR="003D0418" w:rsidRPr="00E55036">
        <w:rPr>
          <w:rFonts w:asciiTheme="minorEastAsia" w:hAnsiTheme="minorEastAsia" w:hint="eastAsia"/>
          <w:sz w:val="30"/>
          <w:szCs w:val="30"/>
        </w:rPr>
        <w:t>，动态监测</w:t>
      </w:r>
      <w:r w:rsidR="0079015F" w:rsidRPr="00E55036">
        <w:rPr>
          <w:rFonts w:asciiTheme="minorEastAsia" w:hAnsiTheme="minorEastAsia" w:hint="eastAsia"/>
          <w:sz w:val="30"/>
          <w:szCs w:val="30"/>
        </w:rPr>
        <w:t>申购赎</w:t>
      </w:r>
      <w:r w:rsidR="003D0418" w:rsidRPr="00E55036">
        <w:rPr>
          <w:rFonts w:asciiTheme="minorEastAsia" w:hAnsiTheme="minorEastAsia" w:hint="eastAsia"/>
          <w:sz w:val="30"/>
          <w:szCs w:val="30"/>
        </w:rPr>
        <w:t>回数据</w:t>
      </w:r>
      <w:r w:rsidR="0079015F" w:rsidRPr="00E55036">
        <w:rPr>
          <w:rFonts w:asciiTheme="minorEastAsia" w:hAnsiTheme="minorEastAsia" w:hint="eastAsia"/>
          <w:sz w:val="30"/>
          <w:szCs w:val="30"/>
        </w:rPr>
        <w:t>，</w:t>
      </w:r>
      <w:r w:rsidR="003D0418" w:rsidRPr="00E55036">
        <w:rPr>
          <w:rFonts w:asciiTheme="minorEastAsia" w:hAnsiTheme="minorEastAsia" w:hint="eastAsia"/>
          <w:sz w:val="30"/>
          <w:szCs w:val="30"/>
        </w:rPr>
        <w:t>合理</w:t>
      </w:r>
      <w:r w:rsidR="0079015F" w:rsidRPr="00E55036">
        <w:rPr>
          <w:rFonts w:asciiTheme="minorEastAsia" w:hAnsiTheme="minorEastAsia" w:hint="eastAsia"/>
          <w:sz w:val="30"/>
          <w:szCs w:val="30"/>
        </w:rPr>
        <w:t>分配现金流，在保证资产流动性的基础上获取稳定收益。</w:t>
      </w:r>
    </w:p>
    <w:p w:rsidR="00F12467" w:rsidRPr="00E55036" w:rsidRDefault="00F12467" w:rsidP="00F12467">
      <w:pPr>
        <w:rPr>
          <w:rFonts w:asciiTheme="minorEastAsia" w:hAnsiTheme="minorEastAsia"/>
          <w:sz w:val="30"/>
          <w:szCs w:val="30"/>
        </w:rPr>
      </w:pPr>
    </w:p>
    <w:p w:rsidR="00ED200B" w:rsidRPr="00E55036" w:rsidRDefault="00ED200B" w:rsidP="001449A0">
      <w:pPr>
        <w:pStyle w:val="a8"/>
        <w:numPr>
          <w:ilvl w:val="0"/>
          <w:numId w:val="1"/>
        </w:numPr>
        <w:ind w:firstLineChars="0"/>
        <w:outlineLvl w:val="0"/>
        <w:rPr>
          <w:rFonts w:asciiTheme="minorEastAsia" w:hAnsiTheme="minorEastAsia"/>
          <w:b/>
          <w:sz w:val="30"/>
          <w:szCs w:val="30"/>
        </w:rPr>
      </w:pPr>
      <w:bookmarkStart w:id="5" w:name="_Toc6410276"/>
      <w:r w:rsidRPr="00E55036">
        <w:rPr>
          <w:rFonts w:asciiTheme="minorEastAsia" w:hAnsiTheme="minorEastAsia" w:hint="eastAsia"/>
          <w:b/>
          <w:sz w:val="30"/>
          <w:szCs w:val="30"/>
        </w:rPr>
        <w:t>2019年第1季度财务会计报告</w:t>
      </w:r>
      <w:bookmarkEnd w:id="5"/>
    </w:p>
    <w:p w:rsidR="00ED200B" w:rsidRPr="00E55036" w:rsidRDefault="00ED200B" w:rsidP="001449A0">
      <w:pPr>
        <w:pStyle w:val="a8"/>
        <w:numPr>
          <w:ilvl w:val="0"/>
          <w:numId w:val="2"/>
        </w:numPr>
        <w:ind w:firstLineChars="0"/>
        <w:outlineLvl w:val="1"/>
        <w:rPr>
          <w:rFonts w:asciiTheme="minorEastAsia" w:hAnsiTheme="minorEastAsia"/>
          <w:b/>
          <w:sz w:val="30"/>
          <w:szCs w:val="30"/>
        </w:rPr>
      </w:pPr>
      <w:bookmarkStart w:id="6" w:name="_Toc6410277"/>
      <w:r w:rsidRPr="00E55036">
        <w:rPr>
          <w:rFonts w:asciiTheme="minorEastAsia" w:hAnsiTheme="minorEastAsia" w:hint="eastAsia"/>
          <w:b/>
          <w:sz w:val="30"/>
          <w:szCs w:val="30"/>
        </w:rPr>
        <w:t>资产负债表</w:t>
      </w:r>
      <w:bookmarkEnd w:id="6"/>
    </w:p>
    <w:p w:rsidR="00ED200B" w:rsidRPr="00E55036" w:rsidRDefault="00ED200B" w:rsidP="00ED200B">
      <w:pPr>
        <w:pStyle w:val="a8"/>
        <w:ind w:left="780" w:firstLineChars="0" w:firstLine="0"/>
        <w:rPr>
          <w:rFonts w:asciiTheme="minorEastAsia" w:hAnsiTheme="minorEastAsia" w:cs="宋体"/>
          <w:color w:val="000000"/>
          <w:kern w:val="0"/>
          <w:sz w:val="22"/>
        </w:rPr>
      </w:pPr>
      <w:r w:rsidRPr="00E55036">
        <w:rPr>
          <w:rFonts w:asciiTheme="minorEastAsia" w:hAnsiTheme="minorEastAsia" w:cs="Times New Roman" w:hint="eastAsia"/>
          <w:sz w:val="22"/>
        </w:rPr>
        <w:t>会计主体：兴业银行金雪球添利快线净值型理财产品</w:t>
      </w:r>
    </w:p>
    <w:p w:rsidR="00ED200B" w:rsidRPr="00E55036" w:rsidRDefault="00ED200B" w:rsidP="00ED200B">
      <w:pPr>
        <w:pStyle w:val="a8"/>
        <w:ind w:left="780" w:firstLineChars="0" w:firstLine="0"/>
        <w:rPr>
          <w:rFonts w:asciiTheme="minorEastAsia" w:hAnsiTheme="minorEastAsia" w:cs="宋体"/>
          <w:color w:val="000000"/>
          <w:kern w:val="0"/>
          <w:sz w:val="22"/>
        </w:rPr>
      </w:pPr>
      <w:r w:rsidRPr="00E55036">
        <w:rPr>
          <w:rFonts w:asciiTheme="minorEastAsia" w:hAnsiTheme="minorEastAsia" w:cs="宋体" w:hint="eastAsia"/>
          <w:color w:val="000000"/>
          <w:kern w:val="0"/>
          <w:sz w:val="22"/>
        </w:rPr>
        <w:t>报告截止日：2019年3月31日</w:t>
      </w:r>
    </w:p>
    <w:tbl>
      <w:tblPr>
        <w:tblW w:w="10740" w:type="dxa"/>
        <w:jc w:val="center"/>
        <w:tblInd w:w="93" w:type="dxa"/>
        <w:tblLook w:val="04A0"/>
      </w:tblPr>
      <w:tblGrid>
        <w:gridCol w:w="1432"/>
        <w:gridCol w:w="1885"/>
        <w:gridCol w:w="1885"/>
        <w:gridCol w:w="1768"/>
        <w:gridCol w:w="1885"/>
        <w:gridCol w:w="1885"/>
      </w:tblGrid>
      <w:tr w:rsidR="000E6B5D" w:rsidRPr="000E6B5D" w:rsidTr="000E6B5D">
        <w:trPr>
          <w:trHeight w:val="28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报表名称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资产负债表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报表类型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日报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报表日期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2019-03-31</w:t>
            </w:r>
          </w:p>
        </w:tc>
      </w:tr>
      <w:tr w:rsidR="000E6B5D" w:rsidRPr="000E6B5D" w:rsidTr="000E6B5D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机构名称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理财产品代码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97318011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理财产品名称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添利快线净值型理财产品</w:t>
            </w:r>
          </w:p>
        </w:tc>
      </w:tr>
      <w:tr w:rsidR="000E6B5D" w:rsidRPr="000E6B5D" w:rsidTr="000E6B5D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币种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人民币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6B5D" w:rsidRPr="000E6B5D" w:rsidTr="000E6B5D">
        <w:trPr>
          <w:trHeight w:val="82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lastRenderedPageBreak/>
              <w:t>资产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期末余额（2019年3月31日）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期初余额（2019年12月31日）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负债和所有者权益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期末余额（2019年3月31日）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期初余额（2019年12月31日）</w:t>
            </w:r>
          </w:p>
        </w:tc>
      </w:tr>
      <w:tr w:rsidR="000E6B5D" w:rsidRPr="000E6B5D" w:rsidTr="000E6B5D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银行存款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6,957,816,092.41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5,533,444,121.54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拆入资金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存出保证金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717,381.00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455,515.38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交易性金融负债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拆出资金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4,500,000,000.00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3,000,000,000.00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衍生金融负债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交易性金融资产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卖出回购金融资产款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7,094,542,237.72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8,397,168,592.22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衍生金融资产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应付管理人报酬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14,197,782.37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1,335,003.54 </w:t>
            </w:r>
          </w:p>
        </w:tc>
      </w:tr>
      <w:tr w:rsidR="000E6B5D" w:rsidRPr="000E6B5D" w:rsidTr="000E6B5D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买入返售金融资产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4,890,903,665.45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应付托管费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96,236.48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182,291.55 </w:t>
            </w:r>
          </w:p>
        </w:tc>
      </w:tr>
      <w:tr w:rsidR="000E6B5D" w:rsidRPr="000E6B5D" w:rsidTr="000E6B5D">
        <w:trPr>
          <w:trHeight w:val="51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可供出售金融资产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15,696,242,401.84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14,458,698,992.75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应付销售服务费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14,197,782.37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1,335,003.54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应收款项类投资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应交税费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1,000,854.83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615,964.99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持有到期投资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应付利息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6,345,663.82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6,788,426.83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应收利息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338,554,159.16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239,141,064.54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应付利润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2,255,960.86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1,860,346.90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应收股利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63,726.90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其他负债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95,019.47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129,517.15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其他资产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应付</w:t>
            </w:r>
            <w:proofErr w:type="gramStart"/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赎回款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0E6B5D" w:rsidRPr="000E6B5D" w:rsidTr="000E6B5D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7,132,731,537.92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8,409,415,146.72 </w:t>
            </w:r>
          </w:p>
        </w:tc>
      </w:tr>
      <w:tr w:rsidR="000E6B5D" w:rsidRPr="000E6B5D" w:rsidTr="000E6B5D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所有者权益：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实收资金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20,360,598,496.49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19,713,291,939.84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资本公积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0E6B5D" w:rsidRPr="000E6B5D" w:rsidTr="000E6B5D">
        <w:trPr>
          <w:trHeight w:val="2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>损益平准金</w:t>
            </w:r>
            <w:proofErr w:type="gram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0.00 </w:t>
            </w:r>
          </w:p>
        </w:tc>
      </w:tr>
      <w:tr w:rsidR="000E6B5D" w:rsidRPr="000E6B5D" w:rsidTr="000E6B5D">
        <w:trPr>
          <w:trHeight w:val="28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所有者权益合计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20,360,598,496.49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19,713,291,939.84 </w:t>
            </w:r>
          </w:p>
        </w:tc>
      </w:tr>
      <w:tr w:rsidR="000E6B5D" w:rsidRPr="000E6B5D" w:rsidTr="000E6B5D">
        <w:trPr>
          <w:trHeight w:val="555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资产总计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27,493,330,034.41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28,122,707,086.56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left"/>
              <w:rPr>
                <w:rFonts w:ascii="宋体" w:eastAsia="宋体" w:hAnsi="宋体" w:cs="Arial"/>
                <w:b/>
                <w:bCs/>
                <w:kern w:val="0"/>
                <w:sz w:val="22"/>
              </w:rPr>
            </w:pPr>
            <w:r w:rsidRPr="000E6B5D">
              <w:rPr>
                <w:rFonts w:ascii="宋体" w:eastAsia="宋体" w:hAnsi="宋体" w:cs="Arial" w:hint="eastAsia"/>
                <w:b/>
                <w:bCs/>
                <w:kern w:val="0"/>
                <w:sz w:val="22"/>
              </w:rPr>
              <w:t>负债和所有者权益总计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27,493,330,034.41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6B5D" w:rsidRPr="000E6B5D" w:rsidRDefault="000E6B5D" w:rsidP="000E6B5D">
            <w:pPr>
              <w:widowControl/>
              <w:jc w:val="righ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0E6B5D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28,122,707,086.56 </w:t>
            </w:r>
          </w:p>
        </w:tc>
      </w:tr>
    </w:tbl>
    <w:p w:rsidR="00ED200B" w:rsidRPr="00E55036" w:rsidRDefault="00ED200B" w:rsidP="00ED200B">
      <w:pPr>
        <w:pStyle w:val="a8"/>
        <w:ind w:left="780" w:firstLineChars="0" w:firstLine="0"/>
        <w:rPr>
          <w:rFonts w:asciiTheme="minorEastAsia" w:hAnsiTheme="minorEastAsia"/>
          <w:sz w:val="30"/>
          <w:szCs w:val="30"/>
        </w:rPr>
      </w:pPr>
    </w:p>
    <w:p w:rsidR="00ED200B" w:rsidRPr="00933E0D" w:rsidRDefault="00ED200B" w:rsidP="001449A0">
      <w:pPr>
        <w:pStyle w:val="a8"/>
        <w:numPr>
          <w:ilvl w:val="0"/>
          <w:numId w:val="2"/>
        </w:numPr>
        <w:ind w:firstLineChars="0"/>
        <w:outlineLvl w:val="1"/>
        <w:rPr>
          <w:rFonts w:asciiTheme="minorEastAsia" w:hAnsiTheme="minorEastAsia"/>
          <w:b/>
          <w:sz w:val="30"/>
          <w:szCs w:val="30"/>
        </w:rPr>
      </w:pPr>
      <w:bookmarkStart w:id="7" w:name="_Toc6410278"/>
      <w:r w:rsidRPr="00933E0D">
        <w:rPr>
          <w:rFonts w:asciiTheme="minorEastAsia" w:hAnsiTheme="minorEastAsia" w:hint="eastAsia"/>
          <w:b/>
          <w:sz w:val="30"/>
          <w:szCs w:val="30"/>
        </w:rPr>
        <w:t>利润表</w:t>
      </w:r>
      <w:bookmarkEnd w:id="7"/>
    </w:p>
    <w:p w:rsidR="00ED200B" w:rsidRPr="00E55036" w:rsidRDefault="00ED200B" w:rsidP="00ED200B">
      <w:pPr>
        <w:pStyle w:val="a8"/>
        <w:ind w:left="780" w:firstLineChars="0" w:firstLine="0"/>
        <w:rPr>
          <w:rFonts w:asciiTheme="minorEastAsia" w:hAnsiTheme="minorEastAsia" w:cs="宋体"/>
          <w:color w:val="000000"/>
          <w:kern w:val="0"/>
          <w:sz w:val="22"/>
        </w:rPr>
      </w:pPr>
      <w:r w:rsidRPr="00E55036">
        <w:rPr>
          <w:rFonts w:asciiTheme="minorEastAsia" w:hAnsiTheme="minorEastAsia" w:cs="Times New Roman" w:hint="eastAsia"/>
          <w:sz w:val="22"/>
        </w:rPr>
        <w:t>会计主体：兴业银行金雪球添利快线净值型理财产品</w:t>
      </w:r>
    </w:p>
    <w:p w:rsidR="00ED200B" w:rsidRPr="00E55036" w:rsidRDefault="00ED200B" w:rsidP="00ED200B">
      <w:pPr>
        <w:pStyle w:val="a8"/>
        <w:ind w:left="780" w:firstLineChars="0" w:firstLine="0"/>
        <w:rPr>
          <w:rFonts w:asciiTheme="minorEastAsia" w:hAnsiTheme="minorEastAsia" w:cs="宋体"/>
          <w:color w:val="000000"/>
          <w:kern w:val="0"/>
          <w:sz w:val="22"/>
        </w:rPr>
      </w:pPr>
      <w:r w:rsidRPr="00E55036">
        <w:rPr>
          <w:rFonts w:asciiTheme="minorEastAsia" w:hAnsiTheme="minorEastAsia" w:cs="宋体" w:hint="eastAsia"/>
          <w:color w:val="000000"/>
          <w:kern w:val="0"/>
          <w:sz w:val="22"/>
        </w:rPr>
        <w:t>本报告期：201</w:t>
      </w:r>
      <w:r w:rsidR="00162D0A" w:rsidRPr="00E55036">
        <w:rPr>
          <w:rFonts w:asciiTheme="minorEastAsia" w:hAnsiTheme="minorEastAsia" w:cs="宋体" w:hint="eastAsia"/>
          <w:color w:val="000000"/>
          <w:kern w:val="0"/>
          <w:sz w:val="22"/>
        </w:rPr>
        <w:t>9</w:t>
      </w:r>
      <w:r w:rsidRPr="00E55036">
        <w:rPr>
          <w:rFonts w:asciiTheme="minorEastAsia" w:hAnsiTheme="minorEastAsia" w:cs="宋体" w:hint="eastAsia"/>
          <w:color w:val="000000"/>
          <w:kern w:val="0"/>
          <w:sz w:val="22"/>
        </w:rPr>
        <w:t>年</w:t>
      </w:r>
      <w:r w:rsidR="00162D0A" w:rsidRPr="00E55036">
        <w:rPr>
          <w:rFonts w:asciiTheme="minorEastAsia" w:hAnsiTheme="minorEastAsia" w:cs="宋体" w:hint="eastAsia"/>
          <w:color w:val="000000"/>
          <w:kern w:val="0"/>
          <w:sz w:val="22"/>
        </w:rPr>
        <w:t>1</w:t>
      </w:r>
      <w:r w:rsidRPr="00E55036">
        <w:rPr>
          <w:rFonts w:asciiTheme="minorEastAsia" w:hAnsiTheme="minorEastAsia" w:cs="宋体" w:hint="eastAsia"/>
          <w:color w:val="000000"/>
          <w:kern w:val="0"/>
          <w:sz w:val="22"/>
        </w:rPr>
        <w:t>月1日至201</w:t>
      </w:r>
      <w:r w:rsidR="00162D0A" w:rsidRPr="00E55036">
        <w:rPr>
          <w:rFonts w:asciiTheme="minorEastAsia" w:hAnsiTheme="minorEastAsia" w:cs="宋体" w:hint="eastAsia"/>
          <w:color w:val="000000"/>
          <w:kern w:val="0"/>
          <w:sz w:val="22"/>
        </w:rPr>
        <w:t>9</w:t>
      </w:r>
      <w:r w:rsidRPr="00E55036">
        <w:rPr>
          <w:rFonts w:asciiTheme="minorEastAsia" w:hAnsiTheme="minorEastAsia" w:cs="宋体" w:hint="eastAsia"/>
          <w:color w:val="000000"/>
          <w:kern w:val="0"/>
          <w:sz w:val="22"/>
        </w:rPr>
        <w:t>年</w:t>
      </w:r>
      <w:r w:rsidR="00162D0A" w:rsidRPr="00E55036">
        <w:rPr>
          <w:rFonts w:asciiTheme="minorEastAsia" w:hAnsiTheme="minorEastAsia" w:cs="宋体" w:hint="eastAsia"/>
          <w:color w:val="000000"/>
          <w:kern w:val="0"/>
          <w:sz w:val="22"/>
        </w:rPr>
        <w:t>3</w:t>
      </w:r>
      <w:r w:rsidRPr="00E55036">
        <w:rPr>
          <w:rFonts w:asciiTheme="minorEastAsia" w:hAnsiTheme="minorEastAsia" w:cs="宋体" w:hint="eastAsia"/>
          <w:color w:val="000000"/>
          <w:kern w:val="0"/>
          <w:sz w:val="22"/>
        </w:rPr>
        <w:t>月31日</w:t>
      </w:r>
    </w:p>
    <w:tbl>
      <w:tblPr>
        <w:tblW w:w="10020" w:type="dxa"/>
        <w:jc w:val="center"/>
        <w:tblInd w:w="93" w:type="dxa"/>
        <w:tblLook w:val="04A0"/>
      </w:tblPr>
      <w:tblGrid>
        <w:gridCol w:w="1090"/>
        <w:gridCol w:w="1090"/>
        <w:gridCol w:w="3100"/>
        <w:gridCol w:w="515"/>
        <w:gridCol w:w="2205"/>
        <w:gridCol w:w="2020"/>
      </w:tblGrid>
      <w:tr w:rsidR="00ED200B" w:rsidRPr="00E55036" w:rsidTr="00ED200B">
        <w:trPr>
          <w:trHeight w:val="300"/>
          <w:jc w:val="center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编制单位：兴业银行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单位：元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项      目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行次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本期金额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2"/>
              </w:rPr>
              <w:t>本年累计金额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一、收入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286,605,894.38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286,605,894.38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1.利息收入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283,226,180.93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283,226,180.93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其中：存款利息收入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179,250.98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179,250.98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存出保证金利息收入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13,376.96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13,376.96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债券利息收入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123,108,044.79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123,108,044.79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资产支持证券利息收入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买入返售金融资产收入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9,860,502.09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9,860,502.09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其他利息收入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150,065,006.11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150,065,006.11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2.投资收益（损失以“-”填列）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3,379,713.45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3,379,713.45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其中：股票投资收益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基金投资收益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债券投资收益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877,721.12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877,721.12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资产支持证券投资收益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衍生工具收益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股利收益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2,501,992.33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2,501,992.33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3.公允价值变动收益（损失以“-”填列）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4.汇兑收益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5.其他收入（损失以“-”填列）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二、费用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51,911,822.78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51,911,822.78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1.管理人报酬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12,862,778.82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12,862,778.82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2.托管费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1,929,416.84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1,929,416.84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3.销售服务费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12,862,778.82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12,862,778.82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4.交易费用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27,666.83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27,666.83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5.利息支出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24,108,248.16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24,108,248.16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其中：卖出回购证券支出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24,108,248.16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24,108,248.16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6.其他费用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120,933.31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120,933.31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7.投资顾问费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8.行政服务费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三、利润总额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234,694,071.60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234,694,071.60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减：所得税费用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D200B" w:rsidRPr="00E55036" w:rsidTr="00ED200B">
        <w:trPr>
          <w:trHeight w:val="300"/>
          <w:jc w:val="center"/>
        </w:trPr>
        <w:tc>
          <w:tcPr>
            <w:tcW w:w="5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四、净利润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234,694,071.60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00B" w:rsidRPr="00E55036" w:rsidRDefault="00ED200B" w:rsidP="00ED200B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234,694,071.60 </w:t>
            </w:r>
          </w:p>
        </w:tc>
      </w:tr>
    </w:tbl>
    <w:p w:rsidR="00ED200B" w:rsidRPr="00E55036" w:rsidRDefault="00ED200B" w:rsidP="001449A0">
      <w:pPr>
        <w:pStyle w:val="a8"/>
        <w:numPr>
          <w:ilvl w:val="0"/>
          <w:numId w:val="2"/>
        </w:numPr>
        <w:ind w:firstLineChars="0"/>
        <w:outlineLvl w:val="1"/>
        <w:rPr>
          <w:rFonts w:asciiTheme="minorEastAsia" w:hAnsiTheme="minorEastAsia"/>
          <w:b/>
          <w:sz w:val="30"/>
          <w:szCs w:val="30"/>
        </w:rPr>
      </w:pPr>
      <w:bookmarkStart w:id="8" w:name="_Toc6410279"/>
      <w:r w:rsidRPr="00E55036">
        <w:rPr>
          <w:rFonts w:asciiTheme="minorEastAsia" w:hAnsiTheme="minorEastAsia" w:hint="eastAsia"/>
          <w:b/>
          <w:sz w:val="30"/>
          <w:szCs w:val="30"/>
        </w:rPr>
        <w:t>所有者权益表</w:t>
      </w:r>
      <w:bookmarkEnd w:id="8"/>
    </w:p>
    <w:p w:rsidR="005C70BA" w:rsidRPr="00E55036" w:rsidRDefault="005C70BA" w:rsidP="005C70BA">
      <w:pPr>
        <w:pStyle w:val="a8"/>
        <w:ind w:left="780" w:firstLineChars="0" w:firstLine="0"/>
        <w:rPr>
          <w:rFonts w:asciiTheme="minorEastAsia" w:hAnsiTheme="minorEastAsia" w:cs="宋体"/>
          <w:color w:val="000000"/>
          <w:kern w:val="0"/>
          <w:sz w:val="22"/>
        </w:rPr>
      </w:pPr>
      <w:r w:rsidRPr="00E55036">
        <w:rPr>
          <w:rFonts w:asciiTheme="minorEastAsia" w:hAnsiTheme="minorEastAsia" w:cs="Times New Roman" w:hint="eastAsia"/>
          <w:sz w:val="22"/>
        </w:rPr>
        <w:t>会计主体：兴业银行金雪球添利快线净值型理财产品</w:t>
      </w:r>
    </w:p>
    <w:p w:rsidR="005C70BA" w:rsidRPr="00E55036" w:rsidRDefault="005C70BA" w:rsidP="005C70BA">
      <w:pPr>
        <w:pStyle w:val="a8"/>
        <w:ind w:left="780" w:firstLineChars="0" w:firstLine="0"/>
        <w:rPr>
          <w:rFonts w:asciiTheme="minorEastAsia" w:hAnsiTheme="minorEastAsia" w:cs="宋体"/>
          <w:color w:val="000000"/>
          <w:kern w:val="0"/>
          <w:sz w:val="22"/>
        </w:rPr>
      </w:pPr>
      <w:r w:rsidRPr="00E55036">
        <w:rPr>
          <w:rFonts w:asciiTheme="minorEastAsia" w:hAnsiTheme="minorEastAsia" w:cs="宋体" w:hint="eastAsia"/>
          <w:color w:val="000000"/>
          <w:kern w:val="0"/>
          <w:sz w:val="22"/>
        </w:rPr>
        <w:t>本报告期：2019年1月1日至2019年3月31日</w:t>
      </w:r>
    </w:p>
    <w:tbl>
      <w:tblPr>
        <w:tblW w:w="9840" w:type="dxa"/>
        <w:jc w:val="center"/>
        <w:tblInd w:w="93" w:type="dxa"/>
        <w:tblLook w:val="04A0"/>
      </w:tblPr>
      <w:tblGrid>
        <w:gridCol w:w="3280"/>
        <w:gridCol w:w="2260"/>
        <w:gridCol w:w="2040"/>
        <w:gridCol w:w="2260"/>
      </w:tblGrid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BA" w:rsidRPr="00E55036" w:rsidRDefault="005C70BA" w:rsidP="005C70B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编制单位：兴业银行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单位：元</w:t>
            </w:r>
          </w:p>
        </w:tc>
      </w:tr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本期金额</w:t>
            </w:r>
          </w:p>
        </w:tc>
      </w:tr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实收基金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所有者权益合计</w:t>
            </w:r>
          </w:p>
        </w:tc>
      </w:tr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一、期初所有者权益（基金净值）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19,713,291,939.84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19,713,291,939.84 </w:t>
            </w:r>
          </w:p>
        </w:tc>
      </w:tr>
      <w:tr w:rsidR="005C70BA" w:rsidRPr="00E55036" w:rsidTr="005C70BA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二、本期经营活动产生的基金净值变动数（本期净利润）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933E0D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234,757,850.52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933E0D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234,757,850.52</w:t>
            </w:r>
          </w:p>
        </w:tc>
      </w:tr>
      <w:tr w:rsidR="005C70BA" w:rsidRPr="00E55036" w:rsidTr="005C70BA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三、本期基金份额交易产生的基金净值变动数（减少以“-”号填列）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647,306,556.65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647,306,556.65 </w:t>
            </w:r>
          </w:p>
        </w:tc>
      </w:tr>
      <w:tr w:rsidR="005C70BA" w:rsidRPr="00E55036" w:rsidTr="005C70BA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其中：</w:t>
            </w: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 xml:space="preserve">    1.基金申购款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112,402,635,560.56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112,402,635,560.56 </w:t>
            </w:r>
          </w:p>
        </w:tc>
      </w:tr>
      <w:tr w:rsidR="005C70BA" w:rsidRPr="00E55036" w:rsidTr="005C70BA">
        <w:trPr>
          <w:trHeight w:val="72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ind w:firstLineChars="300" w:firstLine="6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2.基金</w:t>
            </w:r>
            <w:proofErr w:type="gramStart"/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赎回款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-111,755,329,003.91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-111,755,329,003.91 </w:t>
            </w:r>
          </w:p>
        </w:tc>
      </w:tr>
      <w:tr w:rsidR="005C70BA" w:rsidRPr="00E55036" w:rsidTr="005C70BA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四、本期向基金份额持有人分配利润产生的基金净值变动数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-234,757,850.52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-234,757,850.52 </w:t>
            </w:r>
          </w:p>
        </w:tc>
      </w:tr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lastRenderedPageBreak/>
              <w:t>五、期末所有者权益（基金净值）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20,360,598,496.49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933E0D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933E0D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20,360,598,496.49</w:t>
            </w:r>
            <w:r w:rsidR="005C70BA"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6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上期金额</w:t>
            </w:r>
          </w:p>
        </w:tc>
      </w:tr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实收基金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未分配利润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所有者权益合计</w:t>
            </w:r>
          </w:p>
        </w:tc>
      </w:tr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一、期初所有者权益（基金净值）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10,704,497,108.77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10,704,497,108.77 </w:t>
            </w:r>
          </w:p>
        </w:tc>
      </w:tr>
      <w:tr w:rsidR="005C70BA" w:rsidRPr="00E55036" w:rsidTr="005C70BA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二、本期经营活动产生的基金净值变动数（本期净利润）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3C4B09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163,947,730.85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3C4B09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163,947,730.85</w:t>
            </w:r>
          </w:p>
        </w:tc>
      </w:tr>
      <w:tr w:rsidR="005C70BA" w:rsidRPr="00E55036" w:rsidTr="005C70BA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三、本期基金份额交易产生的基金净值变动数（减少以“-”号填列）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9,008,794,831.07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9,008,794,831.07 </w:t>
            </w:r>
          </w:p>
        </w:tc>
      </w:tr>
      <w:tr w:rsidR="005C70BA" w:rsidRPr="00E55036" w:rsidTr="005C70BA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其中：</w:t>
            </w: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br/>
              <w:t xml:space="preserve">    1.基金申购款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84,289,575,889.86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84,289,575,889.86 </w:t>
            </w:r>
          </w:p>
        </w:tc>
      </w:tr>
      <w:tr w:rsidR="005C70BA" w:rsidRPr="00E55036" w:rsidTr="005C70BA">
        <w:trPr>
          <w:trHeight w:val="72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ind w:firstLineChars="300" w:firstLine="600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    2.基金</w:t>
            </w:r>
            <w:proofErr w:type="gramStart"/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赎回款</w:t>
            </w:r>
            <w:proofErr w:type="gram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-75,280,781,058.79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-75,280,781,058.79 </w:t>
            </w:r>
          </w:p>
        </w:tc>
      </w:tr>
      <w:tr w:rsidR="005C70BA" w:rsidRPr="00E55036" w:rsidTr="005C70BA">
        <w:trPr>
          <w:trHeight w:val="48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四、本期向基金份额持有人分配利润产生的基金净值变动数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-163,947,730.85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-163,947,730.85 </w:t>
            </w:r>
          </w:p>
        </w:tc>
      </w:tr>
      <w:tr w:rsidR="005C70BA" w:rsidRPr="00E55036" w:rsidTr="005C70BA">
        <w:trPr>
          <w:trHeight w:val="240"/>
          <w:jc w:val="center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五、期末所有者权益（基金净值）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5C70BA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 xml:space="preserve">19,713,291,939.84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BA" w:rsidRPr="00E55036" w:rsidRDefault="003C4B09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0.00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0BA" w:rsidRPr="00E55036" w:rsidRDefault="003C4B09" w:rsidP="005C70BA">
            <w:pPr>
              <w:widowControl/>
              <w:jc w:val="righ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19,713,291,939.84</w:t>
            </w:r>
          </w:p>
        </w:tc>
      </w:tr>
    </w:tbl>
    <w:p w:rsidR="00ED200B" w:rsidRPr="00E55036" w:rsidRDefault="00ED200B" w:rsidP="00ED200B">
      <w:pPr>
        <w:pStyle w:val="a8"/>
        <w:ind w:left="780" w:firstLineChars="0" w:firstLine="0"/>
        <w:rPr>
          <w:rFonts w:asciiTheme="minorEastAsia" w:hAnsiTheme="minorEastAsia"/>
          <w:sz w:val="30"/>
          <w:szCs w:val="30"/>
        </w:rPr>
      </w:pPr>
    </w:p>
    <w:p w:rsidR="001F2ACD" w:rsidRPr="00E55036" w:rsidRDefault="001F2ACD" w:rsidP="001449A0">
      <w:pPr>
        <w:pStyle w:val="a8"/>
        <w:numPr>
          <w:ilvl w:val="0"/>
          <w:numId w:val="1"/>
        </w:numPr>
        <w:ind w:firstLineChars="0"/>
        <w:outlineLvl w:val="0"/>
        <w:rPr>
          <w:rFonts w:asciiTheme="minorEastAsia" w:hAnsiTheme="minorEastAsia"/>
          <w:b/>
          <w:sz w:val="30"/>
          <w:szCs w:val="30"/>
        </w:rPr>
      </w:pPr>
      <w:bookmarkStart w:id="9" w:name="_Toc6410280"/>
      <w:r w:rsidRPr="00E55036">
        <w:rPr>
          <w:rFonts w:asciiTheme="minorEastAsia" w:hAnsiTheme="minorEastAsia" w:hint="eastAsia"/>
          <w:b/>
          <w:sz w:val="30"/>
          <w:szCs w:val="30"/>
        </w:rPr>
        <w:t>投资组合情况</w:t>
      </w:r>
      <w:bookmarkEnd w:id="9"/>
    </w:p>
    <w:p w:rsidR="005C70BA" w:rsidRPr="00E55036" w:rsidRDefault="007B501B" w:rsidP="001449A0">
      <w:pPr>
        <w:pStyle w:val="a8"/>
        <w:numPr>
          <w:ilvl w:val="0"/>
          <w:numId w:val="3"/>
        </w:numPr>
        <w:ind w:firstLineChars="0"/>
        <w:outlineLvl w:val="1"/>
        <w:rPr>
          <w:rFonts w:asciiTheme="minorEastAsia" w:hAnsiTheme="minorEastAsia"/>
          <w:b/>
          <w:sz w:val="30"/>
          <w:szCs w:val="30"/>
        </w:rPr>
      </w:pPr>
      <w:bookmarkStart w:id="10" w:name="_Toc6410281"/>
      <w:r w:rsidRPr="00E55036">
        <w:rPr>
          <w:rFonts w:asciiTheme="minorEastAsia" w:hAnsiTheme="minorEastAsia" w:hint="eastAsia"/>
          <w:b/>
          <w:sz w:val="30"/>
          <w:szCs w:val="30"/>
        </w:rPr>
        <w:t>报告期末产品资产组合情况</w:t>
      </w:r>
      <w:bookmarkEnd w:id="10"/>
    </w:p>
    <w:tbl>
      <w:tblPr>
        <w:tblW w:w="7217" w:type="dxa"/>
        <w:jc w:val="center"/>
        <w:tblInd w:w="93" w:type="dxa"/>
        <w:tblLook w:val="04A0"/>
      </w:tblPr>
      <w:tblGrid>
        <w:gridCol w:w="2992"/>
        <w:gridCol w:w="2508"/>
        <w:gridCol w:w="1717"/>
      </w:tblGrid>
      <w:tr w:rsidR="00493F89" w:rsidRPr="00E55036" w:rsidTr="00493F89">
        <w:trPr>
          <w:trHeight w:val="270"/>
          <w:jc w:val="center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资产类型</w:t>
            </w: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资产规模（亿元）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占比</w:t>
            </w:r>
          </w:p>
        </w:tc>
      </w:tr>
      <w:tr w:rsidR="00493F89" w:rsidRPr="00E55036" w:rsidTr="00493F89">
        <w:trPr>
          <w:trHeight w:val="2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政策性金融债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35.36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12.86%</w:t>
            </w:r>
          </w:p>
        </w:tc>
      </w:tr>
      <w:tr w:rsidR="00493F89" w:rsidRPr="00E55036" w:rsidTr="00493F89">
        <w:trPr>
          <w:trHeight w:val="2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企业债等债务融资工具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47.67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17.34%</w:t>
            </w:r>
          </w:p>
        </w:tc>
      </w:tr>
      <w:tr w:rsidR="00493F89" w:rsidRPr="00E55036" w:rsidTr="00493F89">
        <w:trPr>
          <w:trHeight w:val="2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62.35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22.68%</w:t>
            </w:r>
          </w:p>
        </w:tc>
      </w:tr>
      <w:tr w:rsidR="00493F89" w:rsidRPr="00E55036" w:rsidTr="00493F89">
        <w:trPr>
          <w:trHeight w:val="2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银行存款及结算备付金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70.37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25.60%</w:t>
            </w:r>
          </w:p>
        </w:tc>
      </w:tr>
      <w:tr w:rsidR="00493F89" w:rsidRPr="00E55036" w:rsidTr="00493F89">
        <w:trPr>
          <w:trHeight w:val="2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其他债权类资产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59.17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21.52%</w:t>
            </w:r>
          </w:p>
        </w:tc>
      </w:tr>
      <w:tr w:rsidR="00493F89" w:rsidRPr="00E55036" w:rsidTr="00493F89">
        <w:trPr>
          <w:trHeight w:val="270"/>
          <w:jc w:val="center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274.92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F89" w:rsidRPr="00E55036" w:rsidRDefault="00493F89" w:rsidP="00493F89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55036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100.00%</w:t>
            </w:r>
          </w:p>
        </w:tc>
      </w:tr>
    </w:tbl>
    <w:p w:rsidR="00E9356F" w:rsidRPr="00E55036" w:rsidRDefault="00B352EF" w:rsidP="0079015F">
      <w:pPr>
        <w:ind w:firstLineChars="200" w:firstLine="600"/>
        <w:rPr>
          <w:rFonts w:asciiTheme="minorEastAsia" w:hAnsiTheme="minorEastAsia"/>
          <w:bCs/>
          <w:sz w:val="30"/>
          <w:szCs w:val="30"/>
        </w:rPr>
      </w:pPr>
      <w:r w:rsidRPr="00E55036">
        <w:rPr>
          <w:rFonts w:asciiTheme="minorEastAsia" w:hAnsiTheme="minorEastAsia" w:hint="eastAsia"/>
          <w:bCs/>
          <w:sz w:val="30"/>
          <w:szCs w:val="30"/>
        </w:rPr>
        <w:t>上述资产组合中，银行存款、</w:t>
      </w:r>
      <w:r w:rsidR="00D111AE" w:rsidRPr="00E55036">
        <w:rPr>
          <w:rFonts w:asciiTheme="minorEastAsia" w:hAnsiTheme="minorEastAsia" w:hint="eastAsia"/>
          <w:bCs/>
          <w:sz w:val="30"/>
          <w:szCs w:val="30"/>
        </w:rPr>
        <w:t>债券逆回购、货币基金、</w:t>
      </w:r>
      <w:r w:rsidRPr="00E55036">
        <w:rPr>
          <w:rFonts w:asciiTheme="minorEastAsia" w:hAnsiTheme="minorEastAsia" w:hint="eastAsia"/>
          <w:bCs/>
          <w:sz w:val="30"/>
          <w:szCs w:val="30"/>
        </w:rPr>
        <w:t>同业存单、利率债等具有高流动性资产投资占比</w:t>
      </w:r>
      <w:r w:rsidR="00493F89" w:rsidRPr="00E55036">
        <w:rPr>
          <w:rFonts w:asciiTheme="minorEastAsia" w:hAnsiTheme="minorEastAsia" w:hint="eastAsia"/>
          <w:bCs/>
          <w:sz w:val="30"/>
          <w:szCs w:val="30"/>
        </w:rPr>
        <w:t>61.14%</w:t>
      </w:r>
      <w:r w:rsidRPr="00E55036">
        <w:rPr>
          <w:rFonts w:asciiTheme="minorEastAsia" w:hAnsiTheme="minorEastAsia" w:hint="eastAsia"/>
          <w:bCs/>
          <w:sz w:val="30"/>
          <w:szCs w:val="30"/>
        </w:rPr>
        <w:t>，</w:t>
      </w:r>
      <w:r w:rsidR="00CD4799" w:rsidRPr="00E55036">
        <w:rPr>
          <w:rFonts w:asciiTheme="minorEastAsia" w:hAnsiTheme="minorEastAsia" w:hint="eastAsia"/>
          <w:bCs/>
          <w:sz w:val="30"/>
          <w:szCs w:val="30"/>
        </w:rPr>
        <w:t>符合产品协议对于本产品流动性资产最低投资比例（30%）的要求。</w:t>
      </w:r>
      <w:r w:rsidR="00D111AE" w:rsidRPr="00E55036">
        <w:rPr>
          <w:rFonts w:asciiTheme="minorEastAsia" w:hAnsiTheme="minorEastAsia" w:hint="eastAsia"/>
          <w:bCs/>
          <w:sz w:val="30"/>
          <w:szCs w:val="30"/>
        </w:rPr>
        <w:t>AAA级以下债券及其他固定收益类资产投资占比合计</w:t>
      </w:r>
      <w:r w:rsidR="00493F89" w:rsidRPr="00E55036">
        <w:rPr>
          <w:rFonts w:asciiTheme="minorEastAsia" w:hAnsiTheme="minorEastAsia" w:hint="eastAsia"/>
          <w:bCs/>
          <w:sz w:val="30"/>
          <w:szCs w:val="30"/>
        </w:rPr>
        <w:t>29.21</w:t>
      </w:r>
      <w:r w:rsidR="00D111AE" w:rsidRPr="00E55036">
        <w:rPr>
          <w:rFonts w:asciiTheme="minorEastAsia" w:hAnsiTheme="minorEastAsia" w:hint="eastAsia"/>
          <w:bCs/>
          <w:sz w:val="30"/>
          <w:szCs w:val="30"/>
        </w:rPr>
        <w:t>%，符合产品协议中对此类资产不高于70%的要求。投资组合剩余加权平均期限</w:t>
      </w:r>
      <w:r w:rsidR="008F4C79" w:rsidRPr="00E55036">
        <w:rPr>
          <w:rFonts w:asciiTheme="minorEastAsia" w:hAnsiTheme="minorEastAsia" w:hint="eastAsia"/>
          <w:bCs/>
          <w:sz w:val="30"/>
          <w:szCs w:val="30"/>
        </w:rPr>
        <w:t>1.0</w:t>
      </w:r>
      <w:r w:rsidR="00493F89" w:rsidRPr="00E55036">
        <w:rPr>
          <w:rFonts w:asciiTheme="minorEastAsia" w:hAnsiTheme="minorEastAsia" w:hint="eastAsia"/>
          <w:bCs/>
          <w:sz w:val="30"/>
          <w:szCs w:val="30"/>
        </w:rPr>
        <w:t>6</w:t>
      </w:r>
      <w:r w:rsidR="008F4C79" w:rsidRPr="00E55036">
        <w:rPr>
          <w:rFonts w:asciiTheme="minorEastAsia" w:hAnsiTheme="minorEastAsia" w:hint="eastAsia"/>
          <w:bCs/>
          <w:sz w:val="30"/>
          <w:szCs w:val="30"/>
        </w:rPr>
        <w:t>年</w:t>
      </w:r>
      <w:r w:rsidR="00D111AE" w:rsidRPr="00E55036">
        <w:rPr>
          <w:rFonts w:asciiTheme="minorEastAsia" w:hAnsiTheme="minorEastAsia" w:hint="eastAsia"/>
          <w:bCs/>
          <w:sz w:val="30"/>
          <w:szCs w:val="30"/>
        </w:rPr>
        <w:t>，符合产品协议</w:t>
      </w:r>
      <w:r w:rsidR="008F4C79" w:rsidRPr="00E55036">
        <w:rPr>
          <w:rFonts w:asciiTheme="minorEastAsia" w:hAnsiTheme="minorEastAsia" w:hint="eastAsia"/>
          <w:bCs/>
          <w:sz w:val="30"/>
          <w:szCs w:val="30"/>
        </w:rPr>
        <w:t>“不超过2年”的</w:t>
      </w:r>
      <w:r w:rsidR="00D111AE" w:rsidRPr="00E55036">
        <w:rPr>
          <w:rFonts w:asciiTheme="minorEastAsia" w:hAnsiTheme="minorEastAsia" w:hint="eastAsia"/>
          <w:bCs/>
          <w:sz w:val="30"/>
          <w:szCs w:val="30"/>
        </w:rPr>
        <w:t>要求。</w:t>
      </w:r>
    </w:p>
    <w:p w:rsidR="0079015F" w:rsidRPr="00E55036" w:rsidRDefault="0079015F" w:rsidP="0079015F">
      <w:pPr>
        <w:rPr>
          <w:rFonts w:asciiTheme="minorEastAsia" w:hAnsiTheme="minorEastAsia"/>
          <w:bCs/>
          <w:sz w:val="30"/>
          <w:szCs w:val="30"/>
        </w:rPr>
      </w:pPr>
    </w:p>
    <w:p w:rsidR="005C70BA" w:rsidRPr="00E55036" w:rsidRDefault="007B501B" w:rsidP="001449A0">
      <w:pPr>
        <w:pStyle w:val="a8"/>
        <w:numPr>
          <w:ilvl w:val="0"/>
          <w:numId w:val="3"/>
        </w:numPr>
        <w:ind w:firstLineChars="0"/>
        <w:outlineLvl w:val="1"/>
        <w:rPr>
          <w:rFonts w:asciiTheme="minorEastAsia" w:hAnsiTheme="minorEastAsia"/>
          <w:b/>
          <w:sz w:val="30"/>
          <w:szCs w:val="30"/>
        </w:rPr>
      </w:pPr>
      <w:bookmarkStart w:id="11" w:name="_Toc6410282"/>
      <w:r w:rsidRPr="00E55036">
        <w:rPr>
          <w:rFonts w:asciiTheme="minorEastAsia" w:hAnsiTheme="minorEastAsia" w:hint="eastAsia"/>
          <w:b/>
          <w:sz w:val="30"/>
          <w:szCs w:val="30"/>
        </w:rPr>
        <w:t>报告期末</w:t>
      </w:r>
      <w:r w:rsidR="00D72610" w:rsidRPr="00E55036">
        <w:rPr>
          <w:rFonts w:asciiTheme="minorEastAsia" w:hAnsiTheme="minorEastAsia" w:hint="eastAsia"/>
          <w:b/>
          <w:sz w:val="30"/>
          <w:szCs w:val="30"/>
        </w:rPr>
        <w:t>杠杆</w:t>
      </w:r>
      <w:r w:rsidRPr="00E55036">
        <w:rPr>
          <w:rFonts w:asciiTheme="minorEastAsia" w:hAnsiTheme="minorEastAsia" w:hint="eastAsia"/>
          <w:b/>
          <w:sz w:val="30"/>
          <w:szCs w:val="30"/>
        </w:rPr>
        <w:t>融资情况</w:t>
      </w:r>
      <w:bookmarkEnd w:id="11"/>
    </w:p>
    <w:tbl>
      <w:tblPr>
        <w:tblW w:w="7197" w:type="dxa"/>
        <w:jc w:val="center"/>
        <w:tblInd w:w="-164" w:type="dxa"/>
        <w:tblLook w:val="04A0"/>
      </w:tblPr>
      <w:tblGrid>
        <w:gridCol w:w="3317"/>
        <w:gridCol w:w="1560"/>
        <w:gridCol w:w="2320"/>
      </w:tblGrid>
      <w:tr w:rsidR="00934839" w:rsidRPr="00E55036" w:rsidTr="001B78B7">
        <w:trPr>
          <w:trHeight w:val="270"/>
          <w:jc w:val="center"/>
        </w:trPr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34839" w:rsidRPr="00E55036" w:rsidRDefault="00934839" w:rsidP="0093483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lastRenderedPageBreak/>
              <w:t>项目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34839" w:rsidRPr="00E55036" w:rsidRDefault="00934839" w:rsidP="0093483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金额（亿元）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34839" w:rsidRPr="00E55036" w:rsidRDefault="00934839" w:rsidP="0093483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占净资产比例</w:t>
            </w:r>
          </w:p>
        </w:tc>
      </w:tr>
      <w:tr w:rsidR="00934839" w:rsidRPr="00E55036" w:rsidTr="00F12467">
        <w:trPr>
          <w:trHeight w:val="270"/>
          <w:jc w:val="center"/>
        </w:trPr>
        <w:tc>
          <w:tcPr>
            <w:tcW w:w="3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E55036" w:rsidRDefault="00934839" w:rsidP="009348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报告期末债券回购融资余额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E55036" w:rsidRDefault="00493F89" w:rsidP="009348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70.95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4839" w:rsidRPr="00E55036" w:rsidRDefault="00493F89" w:rsidP="0093483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34.9</w:t>
            </w:r>
            <w:r w:rsidR="00934839"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%</w:t>
            </w:r>
          </w:p>
        </w:tc>
      </w:tr>
    </w:tbl>
    <w:p w:rsidR="0079015F" w:rsidRPr="00E55036" w:rsidRDefault="00493F89" w:rsidP="00F12467">
      <w:pPr>
        <w:ind w:firstLine="600"/>
        <w:rPr>
          <w:rFonts w:asciiTheme="minorEastAsia" w:hAnsiTheme="minorEastAsia"/>
          <w:sz w:val="30"/>
          <w:szCs w:val="30"/>
        </w:rPr>
      </w:pPr>
      <w:r w:rsidRPr="00E55036">
        <w:rPr>
          <w:rFonts w:asciiTheme="minorEastAsia" w:hAnsiTheme="minorEastAsia" w:hint="eastAsia"/>
          <w:sz w:val="30"/>
          <w:szCs w:val="30"/>
        </w:rPr>
        <w:t>产品季度末出现巨</w:t>
      </w:r>
      <w:r w:rsidR="0079015F" w:rsidRPr="00E55036">
        <w:rPr>
          <w:rFonts w:asciiTheme="minorEastAsia" w:hAnsiTheme="minorEastAsia" w:hint="eastAsia"/>
          <w:sz w:val="30"/>
          <w:szCs w:val="30"/>
        </w:rPr>
        <w:t>额赎回（净赎回份额超过前一开放日总份额的10%</w:t>
      </w:r>
      <w:r w:rsidRPr="00E55036">
        <w:rPr>
          <w:rFonts w:asciiTheme="minorEastAsia" w:hAnsiTheme="minorEastAsia" w:hint="eastAsia"/>
          <w:sz w:val="30"/>
          <w:szCs w:val="30"/>
        </w:rPr>
        <w:t>），产品以债券质押回购融资以保证客户的流动性需求，</w:t>
      </w:r>
      <w:r w:rsidR="0079015F" w:rsidRPr="00E55036">
        <w:rPr>
          <w:rFonts w:asciiTheme="minorEastAsia" w:hAnsiTheme="minorEastAsia" w:hint="eastAsia"/>
          <w:sz w:val="30"/>
          <w:szCs w:val="30"/>
        </w:rPr>
        <w:t>使得产品期末短时间内杠杆率较高</w:t>
      </w:r>
      <w:r w:rsidRPr="00E55036">
        <w:rPr>
          <w:rFonts w:asciiTheme="minorEastAsia" w:hAnsiTheme="minorEastAsia" w:hint="eastAsia"/>
          <w:sz w:val="30"/>
          <w:szCs w:val="30"/>
        </w:rPr>
        <w:t>，但符合产品协议</w:t>
      </w:r>
      <w:r w:rsidR="00C3675F" w:rsidRPr="00E55036">
        <w:rPr>
          <w:rFonts w:asciiTheme="minorEastAsia" w:hAnsiTheme="minorEastAsia" w:hint="eastAsia"/>
          <w:sz w:val="30"/>
          <w:szCs w:val="30"/>
        </w:rPr>
        <w:t>“</w:t>
      </w:r>
      <w:r w:rsidR="00C3675F" w:rsidRPr="00E55036">
        <w:rPr>
          <w:rFonts w:asciiTheme="minorEastAsia" w:hAnsiTheme="minorEastAsia" w:hint="eastAsia"/>
          <w:bCs/>
          <w:sz w:val="30"/>
          <w:szCs w:val="30"/>
        </w:rPr>
        <w:t>总资产不超过净资产的</w:t>
      </w:r>
      <w:r w:rsidR="00C3675F" w:rsidRPr="00E55036">
        <w:rPr>
          <w:rFonts w:asciiTheme="minorEastAsia" w:hAnsiTheme="minorEastAsia"/>
          <w:bCs/>
          <w:sz w:val="30"/>
          <w:szCs w:val="30"/>
        </w:rPr>
        <w:t>140%</w:t>
      </w:r>
      <w:r w:rsidR="00C3675F" w:rsidRPr="00E55036">
        <w:rPr>
          <w:rFonts w:asciiTheme="minorEastAsia" w:hAnsiTheme="minorEastAsia" w:hint="eastAsia"/>
          <w:sz w:val="30"/>
          <w:szCs w:val="30"/>
        </w:rPr>
        <w:t>”的要求，产品的正常运作不受影响。</w:t>
      </w:r>
      <w:r w:rsidR="00F12467" w:rsidRPr="00E55036">
        <w:rPr>
          <w:rFonts w:asciiTheme="minorEastAsia" w:hAnsiTheme="minorEastAsia" w:hint="eastAsia"/>
          <w:sz w:val="30"/>
          <w:szCs w:val="30"/>
        </w:rPr>
        <w:t>预计</w:t>
      </w:r>
      <w:r w:rsidR="00C3675F" w:rsidRPr="00E55036">
        <w:rPr>
          <w:rFonts w:asciiTheme="minorEastAsia" w:hAnsiTheme="minorEastAsia" w:hint="eastAsia"/>
          <w:sz w:val="30"/>
          <w:szCs w:val="30"/>
        </w:rPr>
        <w:t>季度末之后</w:t>
      </w:r>
      <w:r w:rsidR="00F12467" w:rsidRPr="00E55036">
        <w:rPr>
          <w:rFonts w:asciiTheme="minorEastAsia" w:hAnsiTheme="minorEastAsia" w:hint="eastAsia"/>
          <w:sz w:val="30"/>
          <w:szCs w:val="30"/>
        </w:rPr>
        <w:t>1个工作日</w:t>
      </w:r>
      <w:r w:rsidR="0079015F" w:rsidRPr="00E55036">
        <w:rPr>
          <w:rFonts w:asciiTheme="minorEastAsia" w:hAnsiTheme="minorEastAsia" w:hint="eastAsia"/>
          <w:sz w:val="30"/>
          <w:szCs w:val="30"/>
        </w:rPr>
        <w:t>正回购</w:t>
      </w:r>
      <w:r w:rsidR="00F12467" w:rsidRPr="00E55036">
        <w:rPr>
          <w:rFonts w:asciiTheme="minorEastAsia" w:hAnsiTheme="minorEastAsia" w:hint="eastAsia"/>
          <w:sz w:val="30"/>
          <w:szCs w:val="30"/>
        </w:rPr>
        <w:t>比例将降低至</w:t>
      </w:r>
      <w:r w:rsidR="00C3675F" w:rsidRPr="00E55036">
        <w:rPr>
          <w:rFonts w:asciiTheme="minorEastAsia" w:hAnsiTheme="minorEastAsia" w:hint="eastAsia"/>
          <w:sz w:val="30"/>
          <w:szCs w:val="30"/>
        </w:rPr>
        <w:t>2</w:t>
      </w:r>
      <w:r w:rsidR="00F12467" w:rsidRPr="00E55036">
        <w:rPr>
          <w:rFonts w:asciiTheme="minorEastAsia" w:hAnsiTheme="minorEastAsia" w:hint="eastAsia"/>
          <w:sz w:val="30"/>
          <w:szCs w:val="30"/>
        </w:rPr>
        <w:t>0%以内</w:t>
      </w:r>
      <w:r w:rsidR="0079015F" w:rsidRPr="00E55036">
        <w:rPr>
          <w:rFonts w:asciiTheme="minorEastAsia" w:hAnsiTheme="minorEastAsia" w:hint="eastAsia"/>
          <w:sz w:val="30"/>
          <w:szCs w:val="30"/>
        </w:rPr>
        <w:t>。</w:t>
      </w:r>
    </w:p>
    <w:p w:rsidR="00F12467" w:rsidRPr="00E55036" w:rsidRDefault="00F12467" w:rsidP="00F12467">
      <w:pPr>
        <w:rPr>
          <w:rFonts w:asciiTheme="minorEastAsia" w:hAnsiTheme="minorEastAsia"/>
          <w:sz w:val="30"/>
          <w:szCs w:val="30"/>
        </w:rPr>
      </w:pPr>
    </w:p>
    <w:p w:rsidR="005C70BA" w:rsidRPr="00E55036" w:rsidRDefault="0079015F" w:rsidP="001449A0">
      <w:pPr>
        <w:pStyle w:val="a8"/>
        <w:numPr>
          <w:ilvl w:val="0"/>
          <w:numId w:val="3"/>
        </w:numPr>
        <w:ind w:firstLineChars="0"/>
        <w:outlineLvl w:val="1"/>
        <w:rPr>
          <w:rFonts w:asciiTheme="minorEastAsia" w:hAnsiTheme="minorEastAsia"/>
          <w:b/>
          <w:sz w:val="30"/>
          <w:szCs w:val="30"/>
        </w:rPr>
      </w:pPr>
      <w:bookmarkStart w:id="12" w:name="_Toc6410283"/>
      <w:r w:rsidRPr="00E55036">
        <w:rPr>
          <w:rFonts w:asciiTheme="minorEastAsia" w:hAnsiTheme="minorEastAsia" w:hint="eastAsia"/>
          <w:b/>
          <w:sz w:val="30"/>
          <w:szCs w:val="30"/>
        </w:rPr>
        <w:t>报告期末投资组合平均剩余期限分布比例</w:t>
      </w:r>
      <w:bookmarkEnd w:id="12"/>
    </w:p>
    <w:tbl>
      <w:tblPr>
        <w:tblStyle w:val="a7"/>
        <w:tblW w:w="7441" w:type="dxa"/>
        <w:jc w:val="center"/>
        <w:tblLook w:val="04A0"/>
      </w:tblPr>
      <w:tblGrid>
        <w:gridCol w:w="2307"/>
        <w:gridCol w:w="3060"/>
        <w:gridCol w:w="2074"/>
      </w:tblGrid>
      <w:tr w:rsidR="0079015F" w:rsidRPr="00E55036" w:rsidTr="005C5C41">
        <w:trPr>
          <w:trHeight w:val="270"/>
          <w:jc w:val="center"/>
        </w:trPr>
        <w:tc>
          <w:tcPr>
            <w:tcW w:w="2307" w:type="dxa"/>
            <w:shd w:val="clear" w:color="auto" w:fill="C6D9F1" w:themeFill="text2" w:themeFillTint="33"/>
            <w:noWrap/>
            <w:hideMark/>
          </w:tcPr>
          <w:p w:rsidR="0079015F" w:rsidRPr="00E55036" w:rsidRDefault="0079015F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剩余期限</w:t>
            </w:r>
          </w:p>
        </w:tc>
        <w:tc>
          <w:tcPr>
            <w:tcW w:w="3060" w:type="dxa"/>
            <w:shd w:val="clear" w:color="auto" w:fill="C6D9F1" w:themeFill="text2" w:themeFillTint="33"/>
            <w:noWrap/>
            <w:hideMark/>
          </w:tcPr>
          <w:p w:rsidR="0079015F" w:rsidRPr="00E55036" w:rsidRDefault="0079015F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各期限资产占比</w:t>
            </w:r>
          </w:p>
        </w:tc>
        <w:tc>
          <w:tcPr>
            <w:tcW w:w="2074" w:type="dxa"/>
            <w:shd w:val="clear" w:color="auto" w:fill="C6D9F1" w:themeFill="text2" w:themeFillTint="33"/>
            <w:noWrap/>
            <w:hideMark/>
          </w:tcPr>
          <w:p w:rsidR="0079015F" w:rsidRPr="00E55036" w:rsidRDefault="0079015F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各期限负债占比</w:t>
            </w:r>
          </w:p>
        </w:tc>
      </w:tr>
      <w:tr w:rsidR="005C5C41" w:rsidRPr="00E55036" w:rsidTr="005C5C41">
        <w:trPr>
          <w:trHeight w:val="270"/>
          <w:jc w:val="center"/>
        </w:trPr>
        <w:tc>
          <w:tcPr>
            <w:tcW w:w="2307" w:type="dxa"/>
            <w:noWrap/>
            <w:hideMark/>
          </w:tcPr>
          <w:p w:rsidR="005C5C41" w:rsidRPr="00E55036" w:rsidRDefault="005C5C41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30天（含）以内</w:t>
            </w:r>
          </w:p>
        </w:tc>
        <w:tc>
          <w:tcPr>
            <w:tcW w:w="3060" w:type="dxa"/>
            <w:noWrap/>
            <w:hideMark/>
          </w:tcPr>
          <w:p w:rsidR="005C5C41" w:rsidRPr="00E55036" w:rsidRDefault="005C5C41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3.67%</w:t>
            </w:r>
          </w:p>
        </w:tc>
        <w:tc>
          <w:tcPr>
            <w:tcW w:w="2074" w:type="dxa"/>
            <w:noWrap/>
            <w:hideMark/>
          </w:tcPr>
          <w:p w:rsidR="005C5C41" w:rsidRPr="00E55036" w:rsidRDefault="005C5C41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100%</w:t>
            </w:r>
          </w:p>
        </w:tc>
      </w:tr>
      <w:tr w:rsidR="005C5C41" w:rsidRPr="00E55036" w:rsidTr="005C5C41">
        <w:trPr>
          <w:trHeight w:val="270"/>
          <w:jc w:val="center"/>
        </w:trPr>
        <w:tc>
          <w:tcPr>
            <w:tcW w:w="2307" w:type="dxa"/>
            <w:noWrap/>
            <w:hideMark/>
          </w:tcPr>
          <w:p w:rsidR="005C5C41" w:rsidRPr="00E55036" w:rsidRDefault="005C5C41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31天-90天（含）</w:t>
            </w:r>
          </w:p>
        </w:tc>
        <w:tc>
          <w:tcPr>
            <w:tcW w:w="3060" w:type="dxa"/>
            <w:noWrap/>
            <w:hideMark/>
          </w:tcPr>
          <w:p w:rsidR="005C5C41" w:rsidRPr="00E55036" w:rsidRDefault="005C5C41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16.96%</w:t>
            </w:r>
          </w:p>
        </w:tc>
        <w:tc>
          <w:tcPr>
            <w:tcW w:w="2074" w:type="dxa"/>
            <w:noWrap/>
            <w:hideMark/>
          </w:tcPr>
          <w:p w:rsidR="005C5C41" w:rsidRPr="00E55036" w:rsidRDefault="00B641E0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-</w:t>
            </w:r>
          </w:p>
        </w:tc>
      </w:tr>
      <w:tr w:rsidR="005C5C41" w:rsidRPr="00E55036" w:rsidTr="005C5C41">
        <w:trPr>
          <w:trHeight w:val="270"/>
          <w:jc w:val="center"/>
        </w:trPr>
        <w:tc>
          <w:tcPr>
            <w:tcW w:w="2307" w:type="dxa"/>
            <w:noWrap/>
            <w:hideMark/>
          </w:tcPr>
          <w:p w:rsidR="005C5C41" w:rsidRPr="00E55036" w:rsidRDefault="005C5C41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91天-180天（含）</w:t>
            </w:r>
          </w:p>
        </w:tc>
        <w:tc>
          <w:tcPr>
            <w:tcW w:w="3060" w:type="dxa"/>
            <w:noWrap/>
            <w:hideMark/>
          </w:tcPr>
          <w:p w:rsidR="005C5C41" w:rsidRPr="00E55036" w:rsidRDefault="005C5C41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7.22%</w:t>
            </w:r>
          </w:p>
        </w:tc>
        <w:tc>
          <w:tcPr>
            <w:tcW w:w="2074" w:type="dxa"/>
            <w:noWrap/>
            <w:hideMark/>
          </w:tcPr>
          <w:p w:rsidR="005C5C41" w:rsidRPr="00E55036" w:rsidRDefault="00B641E0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-</w:t>
            </w:r>
          </w:p>
        </w:tc>
      </w:tr>
      <w:tr w:rsidR="005C5C41" w:rsidRPr="00E55036" w:rsidTr="005C5C41">
        <w:trPr>
          <w:trHeight w:val="270"/>
          <w:jc w:val="center"/>
        </w:trPr>
        <w:tc>
          <w:tcPr>
            <w:tcW w:w="2307" w:type="dxa"/>
            <w:noWrap/>
            <w:hideMark/>
          </w:tcPr>
          <w:p w:rsidR="005C5C41" w:rsidRPr="00E55036" w:rsidRDefault="005C5C41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181天-365天（含）</w:t>
            </w:r>
          </w:p>
        </w:tc>
        <w:tc>
          <w:tcPr>
            <w:tcW w:w="3060" w:type="dxa"/>
            <w:noWrap/>
            <w:hideMark/>
          </w:tcPr>
          <w:p w:rsidR="005C5C41" w:rsidRPr="00E55036" w:rsidRDefault="005C5C41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38.71%</w:t>
            </w:r>
          </w:p>
        </w:tc>
        <w:tc>
          <w:tcPr>
            <w:tcW w:w="2074" w:type="dxa"/>
            <w:noWrap/>
            <w:hideMark/>
          </w:tcPr>
          <w:p w:rsidR="005C5C41" w:rsidRPr="00E55036" w:rsidRDefault="00B641E0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-</w:t>
            </w:r>
          </w:p>
        </w:tc>
      </w:tr>
      <w:tr w:rsidR="005C5C41" w:rsidRPr="00E55036" w:rsidTr="005C5C41">
        <w:trPr>
          <w:trHeight w:val="270"/>
          <w:jc w:val="center"/>
        </w:trPr>
        <w:tc>
          <w:tcPr>
            <w:tcW w:w="2307" w:type="dxa"/>
            <w:noWrap/>
            <w:hideMark/>
          </w:tcPr>
          <w:p w:rsidR="005C5C41" w:rsidRPr="00E55036" w:rsidRDefault="005C5C41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>1年-3年</w:t>
            </w:r>
          </w:p>
        </w:tc>
        <w:tc>
          <w:tcPr>
            <w:tcW w:w="3060" w:type="dxa"/>
            <w:noWrap/>
            <w:hideMark/>
          </w:tcPr>
          <w:p w:rsidR="005C5C41" w:rsidRPr="00E55036" w:rsidRDefault="005C5C41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33.43%</w:t>
            </w:r>
          </w:p>
        </w:tc>
        <w:tc>
          <w:tcPr>
            <w:tcW w:w="2074" w:type="dxa"/>
            <w:noWrap/>
            <w:hideMark/>
          </w:tcPr>
          <w:p w:rsidR="005C5C41" w:rsidRPr="00E55036" w:rsidRDefault="00B641E0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-</w:t>
            </w:r>
          </w:p>
        </w:tc>
      </w:tr>
      <w:tr w:rsidR="005C5C41" w:rsidRPr="00E55036" w:rsidTr="005C5C41">
        <w:trPr>
          <w:trHeight w:val="270"/>
          <w:jc w:val="center"/>
        </w:trPr>
        <w:tc>
          <w:tcPr>
            <w:tcW w:w="2307" w:type="dxa"/>
            <w:noWrap/>
            <w:hideMark/>
          </w:tcPr>
          <w:p w:rsidR="005C5C41" w:rsidRPr="00E55036" w:rsidRDefault="005C5C41" w:rsidP="0079015F">
            <w:pPr>
              <w:widowControl/>
              <w:jc w:val="left"/>
              <w:rPr>
                <w:rFonts w:asciiTheme="minorEastAsia" w:hAnsiTheme="minorEastAsia" w:cs="宋体"/>
                <w:b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</w:rPr>
              <w:t xml:space="preserve">　合计</w:t>
            </w:r>
          </w:p>
        </w:tc>
        <w:tc>
          <w:tcPr>
            <w:tcW w:w="3060" w:type="dxa"/>
            <w:noWrap/>
            <w:hideMark/>
          </w:tcPr>
          <w:p w:rsidR="005C5C41" w:rsidRPr="00E55036" w:rsidRDefault="005C5C41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100.00%</w:t>
            </w:r>
          </w:p>
        </w:tc>
        <w:tc>
          <w:tcPr>
            <w:tcW w:w="2074" w:type="dxa"/>
            <w:noWrap/>
            <w:hideMark/>
          </w:tcPr>
          <w:p w:rsidR="005C5C41" w:rsidRPr="00E55036" w:rsidRDefault="005C5C41" w:rsidP="00B641E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</w:rPr>
            </w:pPr>
            <w:r w:rsidRPr="00E55036">
              <w:rPr>
                <w:rFonts w:asciiTheme="minorEastAsia" w:hAnsiTheme="minorEastAsia" w:cs="宋体" w:hint="eastAsia"/>
                <w:color w:val="000000"/>
                <w:kern w:val="0"/>
                <w:sz w:val="24"/>
              </w:rPr>
              <w:t>100%</w:t>
            </w:r>
          </w:p>
        </w:tc>
      </w:tr>
    </w:tbl>
    <w:p w:rsidR="0079015F" w:rsidRPr="00E55036" w:rsidRDefault="0079015F" w:rsidP="00D957E4">
      <w:pPr>
        <w:rPr>
          <w:rFonts w:asciiTheme="minorEastAsia" w:hAnsiTheme="minorEastAsia"/>
          <w:sz w:val="30"/>
          <w:szCs w:val="30"/>
        </w:rPr>
      </w:pPr>
    </w:p>
    <w:p w:rsidR="005C70BA" w:rsidRPr="00E55036" w:rsidRDefault="0079015F" w:rsidP="001449A0">
      <w:pPr>
        <w:pStyle w:val="a8"/>
        <w:numPr>
          <w:ilvl w:val="0"/>
          <w:numId w:val="3"/>
        </w:numPr>
        <w:ind w:firstLineChars="0"/>
        <w:outlineLvl w:val="1"/>
        <w:rPr>
          <w:rFonts w:asciiTheme="minorEastAsia" w:hAnsiTheme="minorEastAsia"/>
          <w:b/>
          <w:sz w:val="30"/>
          <w:szCs w:val="30"/>
        </w:rPr>
      </w:pPr>
      <w:bookmarkStart w:id="13" w:name="_Toc6410284"/>
      <w:r w:rsidRPr="00E55036">
        <w:rPr>
          <w:rFonts w:asciiTheme="minorEastAsia" w:hAnsiTheme="minorEastAsia" w:hint="eastAsia"/>
          <w:b/>
          <w:sz w:val="30"/>
          <w:szCs w:val="30"/>
        </w:rPr>
        <w:t>报告期末</w:t>
      </w:r>
      <w:r w:rsidR="00F12467" w:rsidRPr="00E55036">
        <w:rPr>
          <w:rFonts w:asciiTheme="minorEastAsia" w:hAnsiTheme="minorEastAsia" w:hint="eastAsia"/>
          <w:b/>
          <w:sz w:val="30"/>
          <w:szCs w:val="30"/>
        </w:rPr>
        <w:t>持仓占比前十</w:t>
      </w:r>
      <w:r w:rsidRPr="00E55036">
        <w:rPr>
          <w:rFonts w:asciiTheme="minorEastAsia" w:hAnsiTheme="minorEastAsia" w:hint="eastAsia"/>
          <w:b/>
          <w:sz w:val="30"/>
          <w:szCs w:val="30"/>
        </w:rPr>
        <w:t>名</w:t>
      </w:r>
      <w:r w:rsidR="00065745">
        <w:rPr>
          <w:rFonts w:asciiTheme="minorEastAsia" w:hAnsiTheme="minorEastAsia" w:hint="eastAsia"/>
          <w:b/>
          <w:sz w:val="30"/>
          <w:szCs w:val="30"/>
        </w:rPr>
        <w:t>资产</w:t>
      </w:r>
      <w:r w:rsidRPr="00E55036">
        <w:rPr>
          <w:rFonts w:asciiTheme="minorEastAsia" w:hAnsiTheme="minorEastAsia" w:hint="eastAsia"/>
          <w:b/>
          <w:sz w:val="30"/>
          <w:szCs w:val="30"/>
        </w:rPr>
        <w:t>投资明细</w:t>
      </w:r>
      <w:bookmarkEnd w:id="13"/>
    </w:p>
    <w:tbl>
      <w:tblPr>
        <w:tblW w:w="8670" w:type="dxa"/>
        <w:jc w:val="center"/>
        <w:tblInd w:w="93" w:type="dxa"/>
        <w:tblLook w:val="04A0"/>
      </w:tblPr>
      <w:tblGrid>
        <w:gridCol w:w="1769"/>
        <w:gridCol w:w="3074"/>
        <w:gridCol w:w="2753"/>
        <w:gridCol w:w="1074"/>
      </w:tblGrid>
      <w:tr w:rsidR="005B4AFC" w:rsidRPr="005B4AFC" w:rsidTr="005B4AFC">
        <w:trPr>
          <w:trHeight w:val="285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5B4AF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资产类型</w:t>
            </w: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5B4AF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资产名称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5B4AF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 xml:space="preserve"> 资产面额 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22"/>
              </w:rPr>
            </w:pPr>
            <w:r w:rsidRPr="005B4AF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2"/>
              </w:rPr>
              <w:t>占比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农发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09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1,000,000,000.00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3.82%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同业借款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20180613-</w:t>
            </w:r>
            <w:proofErr w:type="gramStart"/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长城资管</w:t>
            </w:r>
            <w:proofErr w:type="gramEnd"/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-2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1,000,000,000.00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3.72%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现金及银行存款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存放同业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20181212001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1,000,000,000.00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3.68%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现金及银行存款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中原银行大额存单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20190321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1,000,000,000.00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3.68%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现金及银行存款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存放同业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20181130001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1,000,000,000.00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3.68%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现金及银行存款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存放同业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20190227001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   900,000,000.00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3.31%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债券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18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证金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D29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   650,000,000.00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2.42%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现金及银行存款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存放同业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20181107002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   600,000,000.00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2.21%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lastRenderedPageBreak/>
              <w:t>货币市场工具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同业借款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20180302011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   500,000,000.00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1.86%</w:t>
            </w:r>
          </w:p>
        </w:tc>
      </w:tr>
      <w:tr w:rsidR="005B4AFC" w:rsidRPr="005B4AFC" w:rsidTr="005B4AFC">
        <w:trPr>
          <w:trHeight w:val="300"/>
          <w:jc w:val="center"/>
        </w:trPr>
        <w:tc>
          <w:tcPr>
            <w:tcW w:w="1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货币市场工具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同业借款</w:t>
            </w: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>20180110001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2"/>
              </w:rPr>
            </w:pPr>
            <w:r w:rsidRPr="005B4AFC">
              <w:rPr>
                <w:rFonts w:ascii="Arial" w:eastAsia="宋体" w:hAnsi="Arial" w:cs="Arial"/>
                <w:color w:val="000000"/>
                <w:kern w:val="0"/>
                <w:sz w:val="22"/>
              </w:rPr>
              <w:t xml:space="preserve">           500,000,000.00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AFC" w:rsidRPr="005B4AFC" w:rsidRDefault="005B4AFC" w:rsidP="005B4AFC">
            <w:pPr>
              <w:widowControl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5B4AFC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1.86%</w:t>
            </w:r>
          </w:p>
        </w:tc>
      </w:tr>
    </w:tbl>
    <w:p w:rsidR="00E55036" w:rsidRPr="00E55036" w:rsidRDefault="00E55036" w:rsidP="00D957E4">
      <w:pPr>
        <w:rPr>
          <w:rFonts w:asciiTheme="minorEastAsia" w:hAnsiTheme="minorEastAsia"/>
          <w:sz w:val="30"/>
          <w:szCs w:val="30"/>
        </w:rPr>
      </w:pPr>
    </w:p>
    <w:p w:rsidR="00F12467" w:rsidRPr="00E55036" w:rsidRDefault="00F12467" w:rsidP="00F12467">
      <w:pPr>
        <w:jc w:val="right"/>
        <w:rPr>
          <w:rFonts w:asciiTheme="minorEastAsia" w:hAnsiTheme="minorEastAsia"/>
          <w:sz w:val="30"/>
          <w:szCs w:val="30"/>
        </w:rPr>
      </w:pPr>
      <w:r w:rsidRPr="00E55036">
        <w:rPr>
          <w:rFonts w:asciiTheme="minorEastAsia" w:hAnsiTheme="minorEastAsia" w:hint="eastAsia"/>
          <w:sz w:val="30"/>
          <w:szCs w:val="30"/>
        </w:rPr>
        <w:t>兴业银行股份有限公司</w:t>
      </w:r>
    </w:p>
    <w:p w:rsidR="00F12467" w:rsidRPr="00E55036" w:rsidRDefault="00F12467" w:rsidP="00F12467">
      <w:pPr>
        <w:jc w:val="right"/>
        <w:rPr>
          <w:rFonts w:asciiTheme="minorEastAsia" w:hAnsiTheme="minorEastAsia"/>
          <w:sz w:val="30"/>
          <w:szCs w:val="30"/>
        </w:rPr>
      </w:pPr>
      <w:r w:rsidRPr="00E55036">
        <w:rPr>
          <w:rFonts w:asciiTheme="minorEastAsia" w:hAnsiTheme="minorEastAsia" w:hint="eastAsia"/>
          <w:sz w:val="30"/>
          <w:szCs w:val="30"/>
        </w:rPr>
        <w:t>2019年</w:t>
      </w:r>
      <w:r w:rsidR="00B641E0" w:rsidRPr="00E55036">
        <w:rPr>
          <w:rFonts w:asciiTheme="minorEastAsia" w:hAnsiTheme="minorEastAsia" w:hint="eastAsia"/>
          <w:sz w:val="30"/>
          <w:szCs w:val="30"/>
        </w:rPr>
        <w:t>4</w:t>
      </w:r>
      <w:r w:rsidRPr="00E55036">
        <w:rPr>
          <w:rFonts w:asciiTheme="minorEastAsia" w:hAnsiTheme="minorEastAsia" w:hint="eastAsia"/>
          <w:sz w:val="30"/>
          <w:szCs w:val="30"/>
        </w:rPr>
        <w:t>月</w:t>
      </w:r>
      <w:r w:rsidR="005C70BA" w:rsidRPr="00E55036">
        <w:rPr>
          <w:rFonts w:asciiTheme="minorEastAsia" w:hAnsiTheme="minorEastAsia" w:hint="eastAsia"/>
          <w:sz w:val="30"/>
          <w:szCs w:val="30"/>
        </w:rPr>
        <w:t>9</w:t>
      </w:r>
      <w:r w:rsidRPr="00E55036">
        <w:rPr>
          <w:rFonts w:asciiTheme="minorEastAsia" w:hAnsiTheme="minorEastAsia" w:hint="eastAsia"/>
          <w:sz w:val="30"/>
          <w:szCs w:val="30"/>
        </w:rPr>
        <w:t>日</w:t>
      </w:r>
    </w:p>
    <w:p w:rsidR="00F12467" w:rsidRPr="00E55036" w:rsidRDefault="00F12467" w:rsidP="00F12467">
      <w:pPr>
        <w:rPr>
          <w:rFonts w:asciiTheme="minorEastAsia" w:hAnsiTheme="minorEastAsia"/>
          <w:sz w:val="30"/>
          <w:szCs w:val="30"/>
        </w:rPr>
      </w:pPr>
    </w:p>
    <w:p w:rsidR="00F12467" w:rsidRPr="00E55036" w:rsidRDefault="00F12467" w:rsidP="00F307C3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sectPr w:rsidR="00F12467" w:rsidRPr="00E55036" w:rsidSect="00E44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E81" w:rsidRDefault="00163E81" w:rsidP="00E42B11">
      <w:r>
        <w:separator/>
      </w:r>
    </w:p>
  </w:endnote>
  <w:endnote w:type="continuationSeparator" w:id="0">
    <w:p w:rsidR="00163E81" w:rsidRDefault="00163E81" w:rsidP="00E42B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E81" w:rsidRDefault="00163E81" w:rsidP="00E42B11">
      <w:r>
        <w:separator/>
      </w:r>
    </w:p>
  </w:footnote>
  <w:footnote w:type="continuationSeparator" w:id="0">
    <w:p w:rsidR="00163E81" w:rsidRDefault="00163E81" w:rsidP="00E42B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1610E"/>
    <w:multiLevelType w:val="hybridMultilevel"/>
    <w:tmpl w:val="09B4C314"/>
    <w:lvl w:ilvl="0" w:tplc="E7A402A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2C1B76"/>
    <w:multiLevelType w:val="hybridMultilevel"/>
    <w:tmpl w:val="DE96CAB2"/>
    <w:lvl w:ilvl="0" w:tplc="99C6E3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AE3E6D"/>
    <w:multiLevelType w:val="hybridMultilevel"/>
    <w:tmpl w:val="AD6EE8DE"/>
    <w:lvl w:ilvl="0" w:tplc="5A6A1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2B11"/>
    <w:rsid w:val="00033DCE"/>
    <w:rsid w:val="00034EB6"/>
    <w:rsid w:val="00065745"/>
    <w:rsid w:val="00076FD4"/>
    <w:rsid w:val="000A20E0"/>
    <w:rsid w:val="000E6B5D"/>
    <w:rsid w:val="00106702"/>
    <w:rsid w:val="001123E8"/>
    <w:rsid w:val="001449A0"/>
    <w:rsid w:val="0016001C"/>
    <w:rsid w:val="001610B6"/>
    <w:rsid w:val="00162D0A"/>
    <w:rsid w:val="00163E81"/>
    <w:rsid w:val="00165214"/>
    <w:rsid w:val="0018246E"/>
    <w:rsid w:val="001B78B7"/>
    <w:rsid w:val="001C2ABA"/>
    <w:rsid w:val="001D2F7A"/>
    <w:rsid w:val="001F1BB1"/>
    <w:rsid w:val="001F1FC7"/>
    <w:rsid w:val="001F2ACD"/>
    <w:rsid w:val="001F7B76"/>
    <w:rsid w:val="002168F3"/>
    <w:rsid w:val="002245B7"/>
    <w:rsid w:val="00256AC0"/>
    <w:rsid w:val="00295442"/>
    <w:rsid w:val="002979A4"/>
    <w:rsid w:val="002B5EE3"/>
    <w:rsid w:val="002E53B1"/>
    <w:rsid w:val="002E79A4"/>
    <w:rsid w:val="003323FF"/>
    <w:rsid w:val="00347423"/>
    <w:rsid w:val="003524F8"/>
    <w:rsid w:val="00364CEA"/>
    <w:rsid w:val="003732C3"/>
    <w:rsid w:val="003B3D31"/>
    <w:rsid w:val="003C4B09"/>
    <w:rsid w:val="003C6D13"/>
    <w:rsid w:val="003D0418"/>
    <w:rsid w:val="003D1418"/>
    <w:rsid w:val="0040293A"/>
    <w:rsid w:val="0041186A"/>
    <w:rsid w:val="00416ECC"/>
    <w:rsid w:val="00425B50"/>
    <w:rsid w:val="00430AE5"/>
    <w:rsid w:val="0044421C"/>
    <w:rsid w:val="00480C55"/>
    <w:rsid w:val="00491E10"/>
    <w:rsid w:val="00493F89"/>
    <w:rsid w:val="004A2989"/>
    <w:rsid w:val="004A6676"/>
    <w:rsid w:val="004B01BE"/>
    <w:rsid w:val="004B11FA"/>
    <w:rsid w:val="004B57EF"/>
    <w:rsid w:val="004C500E"/>
    <w:rsid w:val="00535C36"/>
    <w:rsid w:val="00545CE3"/>
    <w:rsid w:val="00550BC4"/>
    <w:rsid w:val="00557F6B"/>
    <w:rsid w:val="00564FAF"/>
    <w:rsid w:val="00565E65"/>
    <w:rsid w:val="0057579B"/>
    <w:rsid w:val="005978D1"/>
    <w:rsid w:val="005A241B"/>
    <w:rsid w:val="005B4AFC"/>
    <w:rsid w:val="005B583E"/>
    <w:rsid w:val="005C5C41"/>
    <w:rsid w:val="005C70BA"/>
    <w:rsid w:val="00616CAD"/>
    <w:rsid w:val="006300D0"/>
    <w:rsid w:val="00630450"/>
    <w:rsid w:val="00632F7D"/>
    <w:rsid w:val="0064387F"/>
    <w:rsid w:val="00682D6D"/>
    <w:rsid w:val="00692C11"/>
    <w:rsid w:val="006A0F9B"/>
    <w:rsid w:val="006B1D7F"/>
    <w:rsid w:val="006B61CA"/>
    <w:rsid w:val="006C7B48"/>
    <w:rsid w:val="007225B3"/>
    <w:rsid w:val="0073787C"/>
    <w:rsid w:val="00765D1B"/>
    <w:rsid w:val="00777D87"/>
    <w:rsid w:val="00784C3E"/>
    <w:rsid w:val="0079015F"/>
    <w:rsid w:val="007B501B"/>
    <w:rsid w:val="00814F26"/>
    <w:rsid w:val="008179D3"/>
    <w:rsid w:val="00845254"/>
    <w:rsid w:val="00894CA1"/>
    <w:rsid w:val="008A6B02"/>
    <w:rsid w:val="008B151B"/>
    <w:rsid w:val="008B6D9D"/>
    <w:rsid w:val="008F470E"/>
    <w:rsid w:val="008F4C79"/>
    <w:rsid w:val="008F69BF"/>
    <w:rsid w:val="00921320"/>
    <w:rsid w:val="00930F54"/>
    <w:rsid w:val="00933E0D"/>
    <w:rsid w:val="00934839"/>
    <w:rsid w:val="00995CFB"/>
    <w:rsid w:val="009B32A1"/>
    <w:rsid w:val="009F14C0"/>
    <w:rsid w:val="009F3A99"/>
    <w:rsid w:val="00A50646"/>
    <w:rsid w:val="00A74D90"/>
    <w:rsid w:val="00A7613E"/>
    <w:rsid w:val="00A856B5"/>
    <w:rsid w:val="00A86F3C"/>
    <w:rsid w:val="00AA3989"/>
    <w:rsid w:val="00AF165E"/>
    <w:rsid w:val="00B335AF"/>
    <w:rsid w:val="00B352EF"/>
    <w:rsid w:val="00B35CB3"/>
    <w:rsid w:val="00B36784"/>
    <w:rsid w:val="00B6221D"/>
    <w:rsid w:val="00B641E0"/>
    <w:rsid w:val="00B753EE"/>
    <w:rsid w:val="00B82B81"/>
    <w:rsid w:val="00B839B2"/>
    <w:rsid w:val="00B95A73"/>
    <w:rsid w:val="00BC36F4"/>
    <w:rsid w:val="00BF266A"/>
    <w:rsid w:val="00BF43E0"/>
    <w:rsid w:val="00BF55F4"/>
    <w:rsid w:val="00C017F2"/>
    <w:rsid w:val="00C21680"/>
    <w:rsid w:val="00C3675F"/>
    <w:rsid w:val="00C50155"/>
    <w:rsid w:val="00C6609A"/>
    <w:rsid w:val="00C86A89"/>
    <w:rsid w:val="00C873F1"/>
    <w:rsid w:val="00C9676B"/>
    <w:rsid w:val="00CA6663"/>
    <w:rsid w:val="00CB36F1"/>
    <w:rsid w:val="00CD2447"/>
    <w:rsid w:val="00CD4799"/>
    <w:rsid w:val="00CF2321"/>
    <w:rsid w:val="00D111AE"/>
    <w:rsid w:val="00D160E5"/>
    <w:rsid w:val="00D25460"/>
    <w:rsid w:val="00D437B8"/>
    <w:rsid w:val="00D6033F"/>
    <w:rsid w:val="00D72610"/>
    <w:rsid w:val="00D957E4"/>
    <w:rsid w:val="00DA0767"/>
    <w:rsid w:val="00DB17F1"/>
    <w:rsid w:val="00DC3C80"/>
    <w:rsid w:val="00DD6476"/>
    <w:rsid w:val="00DD74F2"/>
    <w:rsid w:val="00DE7B84"/>
    <w:rsid w:val="00DF6B41"/>
    <w:rsid w:val="00E155DB"/>
    <w:rsid w:val="00E42B11"/>
    <w:rsid w:val="00E44B19"/>
    <w:rsid w:val="00E46765"/>
    <w:rsid w:val="00E55036"/>
    <w:rsid w:val="00E73C20"/>
    <w:rsid w:val="00E91094"/>
    <w:rsid w:val="00E9356F"/>
    <w:rsid w:val="00EA4F76"/>
    <w:rsid w:val="00EB2CC2"/>
    <w:rsid w:val="00ED0764"/>
    <w:rsid w:val="00ED200B"/>
    <w:rsid w:val="00F12467"/>
    <w:rsid w:val="00F25B10"/>
    <w:rsid w:val="00F307C3"/>
    <w:rsid w:val="00F7783B"/>
    <w:rsid w:val="00FB2CE7"/>
    <w:rsid w:val="00FD0B11"/>
    <w:rsid w:val="00FF6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B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42B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2B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2B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2B1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2B1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2B11"/>
  </w:style>
  <w:style w:type="paragraph" w:styleId="a6">
    <w:name w:val="Balloon Text"/>
    <w:basedOn w:val="a"/>
    <w:link w:val="Char2"/>
    <w:uiPriority w:val="99"/>
    <w:semiHidden/>
    <w:unhideWhenUsed/>
    <w:rsid w:val="00ED0764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D0764"/>
    <w:rPr>
      <w:sz w:val="18"/>
      <w:szCs w:val="18"/>
    </w:rPr>
  </w:style>
  <w:style w:type="table" w:styleId="a7">
    <w:name w:val="Table Grid"/>
    <w:basedOn w:val="a1"/>
    <w:uiPriority w:val="59"/>
    <w:rsid w:val="00F12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D200B"/>
    <w:pPr>
      <w:ind w:firstLineChars="200" w:firstLine="420"/>
    </w:pPr>
  </w:style>
  <w:style w:type="paragraph" w:styleId="1">
    <w:name w:val="toc 1"/>
    <w:basedOn w:val="a"/>
    <w:next w:val="a"/>
    <w:autoRedefine/>
    <w:uiPriority w:val="39"/>
    <w:unhideWhenUsed/>
    <w:rsid w:val="001449A0"/>
  </w:style>
  <w:style w:type="paragraph" w:styleId="2">
    <w:name w:val="toc 2"/>
    <w:basedOn w:val="a"/>
    <w:next w:val="a"/>
    <w:autoRedefine/>
    <w:uiPriority w:val="39"/>
    <w:unhideWhenUsed/>
    <w:rsid w:val="001449A0"/>
    <w:pPr>
      <w:ind w:leftChars="200" w:left="420"/>
    </w:pPr>
  </w:style>
  <w:style w:type="character" w:styleId="a9">
    <w:name w:val="Hyperlink"/>
    <w:basedOn w:val="a0"/>
    <w:uiPriority w:val="99"/>
    <w:unhideWhenUsed/>
    <w:rsid w:val="001449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2045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59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3349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06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0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03.&#31867;&#36135;&#22522;&#20135;&#21697;\&#28155;&#21033;2&#21495;\&#23458;&#25143;&#30003;&#36141;&#36174;&#22238;&#25968;&#25454;\&#35268;&#27169;&#21450;&#25910;&#30410;&#2957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>
        <c:manualLayout>
          <c:layoutTarget val="inner"/>
          <c:xMode val="edge"/>
          <c:yMode val="edge"/>
          <c:x val="6.4450020018684134E-2"/>
          <c:y val="6.2858624153462564E-2"/>
          <c:w val="0.77762740529093066"/>
          <c:h val="0.69427930883639555"/>
        </c:manualLayout>
      </c:layout>
      <c:lineChart>
        <c:grouping val="standard"/>
        <c:ser>
          <c:idx val="0"/>
          <c:order val="0"/>
          <c:tx>
            <c:strRef>
              <c:f>添利快线总表!$C$1</c:f>
              <c:strCache>
                <c:ptCount val="1"/>
                <c:pt idx="0">
                  <c:v>添利快线</c:v>
                </c:pt>
              </c:strCache>
            </c:strRef>
          </c:tx>
          <c:marker>
            <c:symbol val="none"/>
          </c:marker>
          <c:cat>
            <c:numRef>
              <c:f>添利快线总表!$A$2:$A$244</c:f>
              <c:numCache>
                <c:formatCode>yy/m/d;@</c:formatCode>
                <c:ptCount val="90"/>
                <c:pt idx="0">
                  <c:v>43466</c:v>
                </c:pt>
                <c:pt idx="1">
                  <c:v>43467</c:v>
                </c:pt>
                <c:pt idx="2">
                  <c:v>43468</c:v>
                </c:pt>
                <c:pt idx="3">
                  <c:v>43469</c:v>
                </c:pt>
                <c:pt idx="4">
                  <c:v>43470</c:v>
                </c:pt>
                <c:pt idx="5">
                  <c:v>43471</c:v>
                </c:pt>
                <c:pt idx="6">
                  <c:v>43472</c:v>
                </c:pt>
                <c:pt idx="7">
                  <c:v>43473</c:v>
                </c:pt>
                <c:pt idx="8">
                  <c:v>43474</c:v>
                </c:pt>
                <c:pt idx="9">
                  <c:v>43475</c:v>
                </c:pt>
                <c:pt idx="10">
                  <c:v>43476</c:v>
                </c:pt>
                <c:pt idx="11">
                  <c:v>43477</c:v>
                </c:pt>
                <c:pt idx="12">
                  <c:v>43478</c:v>
                </c:pt>
                <c:pt idx="13">
                  <c:v>43479</c:v>
                </c:pt>
                <c:pt idx="14">
                  <c:v>43480</c:v>
                </c:pt>
                <c:pt idx="15">
                  <c:v>43481</c:v>
                </c:pt>
                <c:pt idx="16">
                  <c:v>43482</c:v>
                </c:pt>
                <c:pt idx="17">
                  <c:v>43483</c:v>
                </c:pt>
                <c:pt idx="18">
                  <c:v>43484</c:v>
                </c:pt>
                <c:pt idx="19">
                  <c:v>43485</c:v>
                </c:pt>
                <c:pt idx="20">
                  <c:v>43486</c:v>
                </c:pt>
                <c:pt idx="21">
                  <c:v>43487</c:v>
                </c:pt>
                <c:pt idx="22">
                  <c:v>43488</c:v>
                </c:pt>
                <c:pt idx="23">
                  <c:v>43489</c:v>
                </c:pt>
                <c:pt idx="24">
                  <c:v>43490</c:v>
                </c:pt>
                <c:pt idx="25">
                  <c:v>43491</c:v>
                </c:pt>
                <c:pt idx="26">
                  <c:v>43492</c:v>
                </c:pt>
                <c:pt idx="27">
                  <c:v>43493</c:v>
                </c:pt>
                <c:pt idx="28">
                  <c:v>43494</c:v>
                </c:pt>
                <c:pt idx="29">
                  <c:v>43495</c:v>
                </c:pt>
                <c:pt idx="30">
                  <c:v>43496</c:v>
                </c:pt>
                <c:pt idx="31">
                  <c:v>43497</c:v>
                </c:pt>
                <c:pt idx="32">
                  <c:v>43498</c:v>
                </c:pt>
                <c:pt idx="33">
                  <c:v>43499</c:v>
                </c:pt>
                <c:pt idx="34">
                  <c:v>43500</c:v>
                </c:pt>
                <c:pt idx="35">
                  <c:v>43501</c:v>
                </c:pt>
                <c:pt idx="36">
                  <c:v>43502</c:v>
                </c:pt>
                <c:pt idx="37">
                  <c:v>43503</c:v>
                </c:pt>
                <c:pt idx="38">
                  <c:v>43504</c:v>
                </c:pt>
                <c:pt idx="39">
                  <c:v>43505</c:v>
                </c:pt>
                <c:pt idx="40">
                  <c:v>43506</c:v>
                </c:pt>
                <c:pt idx="41">
                  <c:v>43507</c:v>
                </c:pt>
                <c:pt idx="42">
                  <c:v>43508</c:v>
                </c:pt>
                <c:pt idx="43">
                  <c:v>43509</c:v>
                </c:pt>
                <c:pt idx="44">
                  <c:v>43510</c:v>
                </c:pt>
                <c:pt idx="45">
                  <c:v>43511</c:v>
                </c:pt>
                <c:pt idx="46">
                  <c:v>43512</c:v>
                </c:pt>
                <c:pt idx="47">
                  <c:v>43513</c:v>
                </c:pt>
                <c:pt idx="48">
                  <c:v>43514</c:v>
                </c:pt>
                <c:pt idx="49">
                  <c:v>43515</c:v>
                </c:pt>
                <c:pt idx="50">
                  <c:v>43516</c:v>
                </c:pt>
                <c:pt idx="51">
                  <c:v>43517</c:v>
                </c:pt>
                <c:pt idx="52">
                  <c:v>43518</c:v>
                </c:pt>
                <c:pt idx="53">
                  <c:v>43519</c:v>
                </c:pt>
                <c:pt idx="54">
                  <c:v>43520</c:v>
                </c:pt>
                <c:pt idx="55">
                  <c:v>43521</c:v>
                </c:pt>
                <c:pt idx="56">
                  <c:v>43522</c:v>
                </c:pt>
                <c:pt idx="57">
                  <c:v>43523</c:v>
                </c:pt>
                <c:pt idx="58">
                  <c:v>43524</c:v>
                </c:pt>
                <c:pt idx="59">
                  <c:v>43525</c:v>
                </c:pt>
                <c:pt idx="60">
                  <c:v>43526</c:v>
                </c:pt>
                <c:pt idx="61">
                  <c:v>43527</c:v>
                </c:pt>
                <c:pt idx="62">
                  <c:v>43528</c:v>
                </c:pt>
                <c:pt idx="63">
                  <c:v>43529</c:v>
                </c:pt>
                <c:pt idx="64">
                  <c:v>43530</c:v>
                </c:pt>
                <c:pt idx="65">
                  <c:v>43531</c:v>
                </c:pt>
                <c:pt idx="66">
                  <c:v>43532</c:v>
                </c:pt>
                <c:pt idx="67">
                  <c:v>43533</c:v>
                </c:pt>
                <c:pt idx="68">
                  <c:v>43534</c:v>
                </c:pt>
                <c:pt idx="69">
                  <c:v>43535</c:v>
                </c:pt>
                <c:pt idx="70">
                  <c:v>43536</c:v>
                </c:pt>
                <c:pt idx="71">
                  <c:v>43537</c:v>
                </c:pt>
                <c:pt idx="72">
                  <c:v>43538</c:v>
                </c:pt>
                <c:pt idx="73">
                  <c:v>43539</c:v>
                </c:pt>
                <c:pt idx="74">
                  <c:v>43540</c:v>
                </c:pt>
                <c:pt idx="75">
                  <c:v>43541</c:v>
                </c:pt>
                <c:pt idx="76">
                  <c:v>43542</c:v>
                </c:pt>
                <c:pt idx="77">
                  <c:v>43543</c:v>
                </c:pt>
                <c:pt idx="78">
                  <c:v>43544</c:v>
                </c:pt>
                <c:pt idx="79">
                  <c:v>43545</c:v>
                </c:pt>
                <c:pt idx="80">
                  <c:v>43546</c:v>
                </c:pt>
                <c:pt idx="81">
                  <c:v>43547</c:v>
                </c:pt>
                <c:pt idx="82">
                  <c:v>43548</c:v>
                </c:pt>
                <c:pt idx="83">
                  <c:v>43549</c:v>
                </c:pt>
                <c:pt idx="84">
                  <c:v>43550</c:v>
                </c:pt>
                <c:pt idx="85">
                  <c:v>43551</c:v>
                </c:pt>
                <c:pt idx="86">
                  <c:v>43552</c:v>
                </c:pt>
                <c:pt idx="87">
                  <c:v>43553</c:v>
                </c:pt>
                <c:pt idx="88">
                  <c:v>43554</c:v>
                </c:pt>
                <c:pt idx="89">
                  <c:v>43555</c:v>
                </c:pt>
              </c:numCache>
            </c:numRef>
          </c:cat>
          <c:val>
            <c:numRef>
              <c:f>添利快线总表!$C$2:$C$244</c:f>
              <c:numCache>
                <c:formatCode>0.00%</c:formatCode>
                <c:ptCount val="90"/>
                <c:pt idx="0">
                  <c:v>3.6590000000000011E-2</c:v>
                </c:pt>
                <c:pt idx="1">
                  <c:v>3.6330000000000015E-2</c:v>
                </c:pt>
                <c:pt idx="2">
                  <c:v>3.5620000000000006E-2</c:v>
                </c:pt>
                <c:pt idx="3">
                  <c:v>3.5850000000000028E-2</c:v>
                </c:pt>
                <c:pt idx="4">
                  <c:v>3.5990000000000001E-2</c:v>
                </c:pt>
                <c:pt idx="5">
                  <c:v>3.6270000000000066E-2</c:v>
                </c:pt>
                <c:pt idx="6">
                  <c:v>3.6620000000000028E-2</c:v>
                </c:pt>
                <c:pt idx="7">
                  <c:v>3.6630000000000107E-2</c:v>
                </c:pt>
                <c:pt idx="8">
                  <c:v>3.7270000000000109E-2</c:v>
                </c:pt>
                <c:pt idx="9">
                  <c:v>3.7670000000000134E-2</c:v>
                </c:pt>
                <c:pt idx="10">
                  <c:v>3.832E-2</c:v>
                </c:pt>
                <c:pt idx="11">
                  <c:v>3.842000000000001E-2</c:v>
                </c:pt>
                <c:pt idx="12">
                  <c:v>3.8519999999999999E-2</c:v>
                </c:pt>
                <c:pt idx="13">
                  <c:v>3.8590000000000006E-2</c:v>
                </c:pt>
                <c:pt idx="14">
                  <c:v>3.8730000000000007E-2</c:v>
                </c:pt>
                <c:pt idx="15">
                  <c:v>3.8620000000000002E-2</c:v>
                </c:pt>
                <c:pt idx="16">
                  <c:v>3.8340000000000006E-2</c:v>
                </c:pt>
                <c:pt idx="17">
                  <c:v>3.8210000000000008E-2</c:v>
                </c:pt>
                <c:pt idx="18">
                  <c:v>3.8080000000000024E-2</c:v>
                </c:pt>
                <c:pt idx="19">
                  <c:v>3.7960000000000015E-2</c:v>
                </c:pt>
                <c:pt idx="20">
                  <c:v>3.7960000000000015E-2</c:v>
                </c:pt>
                <c:pt idx="21">
                  <c:v>3.791000000000002E-2</c:v>
                </c:pt>
                <c:pt idx="22">
                  <c:v>3.806000000000001E-2</c:v>
                </c:pt>
                <c:pt idx="23">
                  <c:v>3.8359999999999998E-2</c:v>
                </c:pt>
                <c:pt idx="24">
                  <c:v>3.8660000000000007E-2</c:v>
                </c:pt>
                <c:pt idx="25">
                  <c:v>3.8990000000000004E-2</c:v>
                </c:pt>
                <c:pt idx="26">
                  <c:v>3.9320000000000001E-2</c:v>
                </c:pt>
                <c:pt idx="27">
                  <c:v>3.9620000000000002E-2</c:v>
                </c:pt>
                <c:pt idx="28">
                  <c:v>3.9840000000000028E-2</c:v>
                </c:pt>
                <c:pt idx="29">
                  <c:v>4.0050000000000009E-2</c:v>
                </c:pt>
                <c:pt idx="30">
                  <c:v>4.037000000000001E-2</c:v>
                </c:pt>
                <c:pt idx="31">
                  <c:v>4.0139999999999995E-2</c:v>
                </c:pt>
                <c:pt idx="32">
                  <c:v>3.9640000000000016E-2</c:v>
                </c:pt>
                <c:pt idx="33">
                  <c:v>3.8980000000000008E-2</c:v>
                </c:pt>
                <c:pt idx="34">
                  <c:v>3.815000000000001E-2</c:v>
                </c:pt>
                <c:pt idx="35">
                  <c:v>3.7110000000000011E-2</c:v>
                </c:pt>
                <c:pt idx="36">
                  <c:v>3.6240000000000029E-2</c:v>
                </c:pt>
                <c:pt idx="37">
                  <c:v>3.5150000000000001E-2</c:v>
                </c:pt>
                <c:pt idx="38">
                  <c:v>3.4580000000000014E-2</c:v>
                </c:pt>
                <c:pt idx="39">
                  <c:v>3.4390000000000004E-2</c:v>
                </c:pt>
                <c:pt idx="40">
                  <c:v>3.4369999999999998E-2</c:v>
                </c:pt>
                <c:pt idx="41">
                  <c:v>3.4430000000000016E-2</c:v>
                </c:pt>
                <c:pt idx="42">
                  <c:v>3.4770000000000002E-2</c:v>
                </c:pt>
                <c:pt idx="43">
                  <c:v>3.491000000000001E-2</c:v>
                </c:pt>
                <c:pt idx="44">
                  <c:v>3.4960000000000005E-2</c:v>
                </c:pt>
                <c:pt idx="45">
                  <c:v>3.5120000000000005E-2</c:v>
                </c:pt>
                <c:pt idx="46">
                  <c:v>3.5270000000000065E-2</c:v>
                </c:pt>
                <c:pt idx="47">
                  <c:v>3.5420000000000014E-2</c:v>
                </c:pt>
                <c:pt idx="48">
                  <c:v>3.5550000000000005E-2</c:v>
                </c:pt>
                <c:pt idx="49">
                  <c:v>3.552000000000001E-2</c:v>
                </c:pt>
                <c:pt idx="50">
                  <c:v>3.563000000000003E-2</c:v>
                </c:pt>
                <c:pt idx="51">
                  <c:v>3.5900000000000008E-2</c:v>
                </c:pt>
                <c:pt idx="52">
                  <c:v>3.6000000000000011E-2</c:v>
                </c:pt>
                <c:pt idx="53">
                  <c:v>3.605000000000002E-2</c:v>
                </c:pt>
                <c:pt idx="54">
                  <c:v>3.611000000000001E-2</c:v>
                </c:pt>
                <c:pt idx="55">
                  <c:v>3.6290000000000024E-2</c:v>
                </c:pt>
                <c:pt idx="56">
                  <c:v>3.644000000000007E-2</c:v>
                </c:pt>
                <c:pt idx="57">
                  <c:v>3.6740000000000016E-2</c:v>
                </c:pt>
                <c:pt idx="58">
                  <c:v>3.7190000000000015E-2</c:v>
                </c:pt>
                <c:pt idx="59">
                  <c:v>3.7340000000000012E-2</c:v>
                </c:pt>
                <c:pt idx="60">
                  <c:v>3.7400000000000107E-2</c:v>
                </c:pt>
                <c:pt idx="61">
                  <c:v>3.7460000000000028E-2</c:v>
                </c:pt>
                <c:pt idx="62">
                  <c:v>3.7310000000000024E-2</c:v>
                </c:pt>
                <c:pt idx="63">
                  <c:v>3.7030000000000111E-2</c:v>
                </c:pt>
                <c:pt idx="64">
                  <c:v>3.6710000000000013E-2</c:v>
                </c:pt>
                <c:pt idx="65">
                  <c:v>3.6160000000000005E-2</c:v>
                </c:pt>
                <c:pt idx="66">
                  <c:v>3.7570000000000013E-2</c:v>
                </c:pt>
                <c:pt idx="67">
                  <c:v>3.7580000000000016E-2</c:v>
                </c:pt>
                <c:pt idx="68">
                  <c:v>3.7580000000000016E-2</c:v>
                </c:pt>
                <c:pt idx="69">
                  <c:v>3.7700000000000025E-2</c:v>
                </c:pt>
                <c:pt idx="70">
                  <c:v>3.7920000000000002E-2</c:v>
                </c:pt>
                <c:pt idx="71">
                  <c:v>3.8000000000000006E-2</c:v>
                </c:pt>
                <c:pt idx="72">
                  <c:v>3.806000000000001E-2</c:v>
                </c:pt>
                <c:pt idx="73">
                  <c:v>3.6630000000000107E-2</c:v>
                </c:pt>
                <c:pt idx="74">
                  <c:v>3.6700000000000024E-2</c:v>
                </c:pt>
                <c:pt idx="75">
                  <c:v>3.6770000000000011E-2</c:v>
                </c:pt>
                <c:pt idx="76">
                  <c:v>3.6800000000000013E-2</c:v>
                </c:pt>
                <c:pt idx="77">
                  <c:v>3.6880000000000066E-2</c:v>
                </c:pt>
                <c:pt idx="78">
                  <c:v>3.6990000000000009E-2</c:v>
                </c:pt>
                <c:pt idx="79">
                  <c:v>3.7110000000000011E-2</c:v>
                </c:pt>
                <c:pt idx="80">
                  <c:v>3.7100000000000015E-2</c:v>
                </c:pt>
                <c:pt idx="81">
                  <c:v>3.7060000000000023E-2</c:v>
                </c:pt>
                <c:pt idx="82">
                  <c:v>3.7020000000000018E-2</c:v>
                </c:pt>
                <c:pt idx="83">
                  <c:v>3.7000000000000012E-2</c:v>
                </c:pt>
                <c:pt idx="84">
                  <c:v>3.6930000000000011E-2</c:v>
                </c:pt>
                <c:pt idx="85">
                  <c:v>3.6870000000000104E-2</c:v>
                </c:pt>
                <c:pt idx="86">
                  <c:v>3.7010000000000029E-2</c:v>
                </c:pt>
                <c:pt idx="87">
                  <c:v>3.7610000000000025E-2</c:v>
                </c:pt>
                <c:pt idx="88">
                  <c:v>3.8300000000000001E-2</c:v>
                </c:pt>
                <c:pt idx="89">
                  <c:v>3.8980000000000008E-2</c:v>
                </c:pt>
              </c:numCache>
            </c:numRef>
          </c:val>
        </c:ser>
        <c:ser>
          <c:idx val="2"/>
          <c:order val="2"/>
          <c:tx>
            <c:strRef>
              <c:f>添利快线总表!$G$1</c:f>
              <c:strCache>
                <c:ptCount val="1"/>
                <c:pt idx="0">
                  <c:v>工银添利宝</c:v>
                </c:pt>
              </c:strCache>
            </c:strRef>
          </c:tx>
          <c:marker>
            <c:symbol val="none"/>
          </c:marker>
          <c:cat>
            <c:numRef>
              <c:f>添利快线总表!$A$2:$A$244</c:f>
              <c:numCache>
                <c:formatCode>yy/m/d;@</c:formatCode>
                <c:ptCount val="90"/>
                <c:pt idx="0">
                  <c:v>43466</c:v>
                </c:pt>
                <c:pt idx="1">
                  <c:v>43467</c:v>
                </c:pt>
                <c:pt idx="2">
                  <c:v>43468</c:v>
                </c:pt>
                <c:pt idx="3">
                  <c:v>43469</c:v>
                </c:pt>
                <c:pt idx="4">
                  <c:v>43470</c:v>
                </c:pt>
                <c:pt idx="5">
                  <c:v>43471</c:v>
                </c:pt>
                <c:pt idx="6">
                  <c:v>43472</c:v>
                </c:pt>
                <c:pt idx="7">
                  <c:v>43473</c:v>
                </c:pt>
                <c:pt idx="8">
                  <c:v>43474</c:v>
                </c:pt>
                <c:pt idx="9">
                  <c:v>43475</c:v>
                </c:pt>
                <c:pt idx="10">
                  <c:v>43476</c:v>
                </c:pt>
                <c:pt idx="11">
                  <c:v>43477</c:v>
                </c:pt>
                <c:pt idx="12">
                  <c:v>43478</c:v>
                </c:pt>
                <c:pt idx="13">
                  <c:v>43479</c:v>
                </c:pt>
                <c:pt idx="14">
                  <c:v>43480</c:v>
                </c:pt>
                <c:pt idx="15">
                  <c:v>43481</c:v>
                </c:pt>
                <c:pt idx="16">
                  <c:v>43482</c:v>
                </c:pt>
                <c:pt idx="17">
                  <c:v>43483</c:v>
                </c:pt>
                <c:pt idx="18">
                  <c:v>43484</c:v>
                </c:pt>
                <c:pt idx="19">
                  <c:v>43485</c:v>
                </c:pt>
                <c:pt idx="20">
                  <c:v>43486</c:v>
                </c:pt>
                <c:pt idx="21">
                  <c:v>43487</c:v>
                </c:pt>
                <c:pt idx="22">
                  <c:v>43488</c:v>
                </c:pt>
                <c:pt idx="23">
                  <c:v>43489</c:v>
                </c:pt>
                <c:pt idx="24">
                  <c:v>43490</c:v>
                </c:pt>
                <c:pt idx="25">
                  <c:v>43491</c:v>
                </c:pt>
                <c:pt idx="26">
                  <c:v>43492</c:v>
                </c:pt>
                <c:pt idx="27">
                  <c:v>43493</c:v>
                </c:pt>
                <c:pt idx="28">
                  <c:v>43494</c:v>
                </c:pt>
                <c:pt idx="29">
                  <c:v>43495</c:v>
                </c:pt>
                <c:pt idx="30">
                  <c:v>43496</c:v>
                </c:pt>
                <c:pt idx="31">
                  <c:v>43497</c:v>
                </c:pt>
                <c:pt idx="32">
                  <c:v>43498</c:v>
                </c:pt>
                <c:pt idx="33">
                  <c:v>43499</c:v>
                </c:pt>
                <c:pt idx="34">
                  <c:v>43500</c:v>
                </c:pt>
                <c:pt idx="35">
                  <c:v>43501</c:v>
                </c:pt>
                <c:pt idx="36">
                  <c:v>43502</c:v>
                </c:pt>
                <c:pt idx="37">
                  <c:v>43503</c:v>
                </c:pt>
                <c:pt idx="38">
                  <c:v>43504</c:v>
                </c:pt>
                <c:pt idx="39">
                  <c:v>43505</c:v>
                </c:pt>
                <c:pt idx="40">
                  <c:v>43506</c:v>
                </c:pt>
                <c:pt idx="41">
                  <c:v>43507</c:v>
                </c:pt>
                <c:pt idx="42">
                  <c:v>43508</c:v>
                </c:pt>
                <c:pt idx="43">
                  <c:v>43509</c:v>
                </c:pt>
                <c:pt idx="44">
                  <c:v>43510</c:v>
                </c:pt>
                <c:pt idx="45">
                  <c:v>43511</c:v>
                </c:pt>
                <c:pt idx="46">
                  <c:v>43512</c:v>
                </c:pt>
                <c:pt idx="47">
                  <c:v>43513</c:v>
                </c:pt>
                <c:pt idx="48">
                  <c:v>43514</c:v>
                </c:pt>
                <c:pt idx="49">
                  <c:v>43515</c:v>
                </c:pt>
                <c:pt idx="50">
                  <c:v>43516</c:v>
                </c:pt>
                <c:pt idx="51">
                  <c:v>43517</c:v>
                </c:pt>
                <c:pt idx="52">
                  <c:v>43518</c:v>
                </c:pt>
                <c:pt idx="53">
                  <c:v>43519</c:v>
                </c:pt>
                <c:pt idx="54">
                  <c:v>43520</c:v>
                </c:pt>
                <c:pt idx="55">
                  <c:v>43521</c:v>
                </c:pt>
                <c:pt idx="56">
                  <c:v>43522</c:v>
                </c:pt>
                <c:pt idx="57">
                  <c:v>43523</c:v>
                </c:pt>
                <c:pt idx="58">
                  <c:v>43524</c:v>
                </c:pt>
                <c:pt idx="59">
                  <c:v>43525</c:v>
                </c:pt>
                <c:pt idx="60">
                  <c:v>43526</c:v>
                </c:pt>
                <c:pt idx="61">
                  <c:v>43527</c:v>
                </c:pt>
                <c:pt idx="62">
                  <c:v>43528</c:v>
                </c:pt>
                <c:pt idx="63">
                  <c:v>43529</c:v>
                </c:pt>
                <c:pt idx="64">
                  <c:v>43530</c:v>
                </c:pt>
                <c:pt idx="65">
                  <c:v>43531</c:v>
                </c:pt>
                <c:pt idx="66">
                  <c:v>43532</c:v>
                </c:pt>
                <c:pt idx="67">
                  <c:v>43533</c:v>
                </c:pt>
                <c:pt idx="68">
                  <c:v>43534</c:v>
                </c:pt>
                <c:pt idx="69">
                  <c:v>43535</c:v>
                </c:pt>
                <c:pt idx="70">
                  <c:v>43536</c:v>
                </c:pt>
                <c:pt idx="71">
                  <c:v>43537</c:v>
                </c:pt>
                <c:pt idx="72">
                  <c:v>43538</c:v>
                </c:pt>
                <c:pt idx="73">
                  <c:v>43539</c:v>
                </c:pt>
                <c:pt idx="74">
                  <c:v>43540</c:v>
                </c:pt>
                <c:pt idx="75">
                  <c:v>43541</c:v>
                </c:pt>
                <c:pt idx="76">
                  <c:v>43542</c:v>
                </c:pt>
                <c:pt idx="77">
                  <c:v>43543</c:v>
                </c:pt>
                <c:pt idx="78">
                  <c:v>43544</c:v>
                </c:pt>
                <c:pt idx="79">
                  <c:v>43545</c:v>
                </c:pt>
                <c:pt idx="80">
                  <c:v>43546</c:v>
                </c:pt>
                <c:pt idx="81">
                  <c:v>43547</c:v>
                </c:pt>
                <c:pt idx="82">
                  <c:v>43548</c:v>
                </c:pt>
                <c:pt idx="83">
                  <c:v>43549</c:v>
                </c:pt>
                <c:pt idx="84">
                  <c:v>43550</c:v>
                </c:pt>
                <c:pt idx="85">
                  <c:v>43551</c:v>
                </c:pt>
                <c:pt idx="86">
                  <c:v>43552</c:v>
                </c:pt>
                <c:pt idx="87">
                  <c:v>43553</c:v>
                </c:pt>
                <c:pt idx="88">
                  <c:v>43554</c:v>
                </c:pt>
                <c:pt idx="89">
                  <c:v>43555</c:v>
                </c:pt>
              </c:numCache>
            </c:numRef>
          </c:cat>
          <c:val>
            <c:numRef>
              <c:f>添利快线总表!$G$2:$G$244</c:f>
            </c:numRef>
          </c:val>
        </c:ser>
        <c:marker val="1"/>
        <c:axId val="192411904"/>
        <c:axId val="192413696"/>
      </c:lineChart>
      <c:lineChart>
        <c:grouping val="standard"/>
        <c:ser>
          <c:idx val="1"/>
          <c:order val="1"/>
          <c:tx>
            <c:strRef>
              <c:f>添利快线总表!$D$1</c:f>
              <c:strCache>
                <c:ptCount val="1"/>
                <c:pt idx="0">
                  <c:v>业绩基准</c:v>
                </c:pt>
              </c:strCache>
            </c:strRef>
          </c:tx>
          <c:marker>
            <c:symbol val="none"/>
          </c:marker>
          <c:cat>
            <c:numRef>
              <c:f>添利快线总表!$A$2:$A$244</c:f>
              <c:numCache>
                <c:formatCode>yy/m/d;@</c:formatCode>
                <c:ptCount val="90"/>
                <c:pt idx="0">
                  <c:v>43466</c:v>
                </c:pt>
                <c:pt idx="1">
                  <c:v>43467</c:v>
                </c:pt>
                <c:pt idx="2">
                  <c:v>43468</c:v>
                </c:pt>
                <c:pt idx="3">
                  <c:v>43469</c:v>
                </c:pt>
                <c:pt idx="4">
                  <c:v>43470</c:v>
                </c:pt>
                <c:pt idx="5">
                  <c:v>43471</c:v>
                </c:pt>
                <c:pt idx="6">
                  <c:v>43472</c:v>
                </c:pt>
                <c:pt idx="7">
                  <c:v>43473</c:v>
                </c:pt>
                <c:pt idx="8">
                  <c:v>43474</c:v>
                </c:pt>
                <c:pt idx="9">
                  <c:v>43475</c:v>
                </c:pt>
                <c:pt idx="10">
                  <c:v>43476</c:v>
                </c:pt>
                <c:pt idx="11">
                  <c:v>43477</c:v>
                </c:pt>
                <c:pt idx="12">
                  <c:v>43478</c:v>
                </c:pt>
                <c:pt idx="13">
                  <c:v>43479</c:v>
                </c:pt>
                <c:pt idx="14">
                  <c:v>43480</c:v>
                </c:pt>
                <c:pt idx="15">
                  <c:v>43481</c:v>
                </c:pt>
                <c:pt idx="16">
                  <c:v>43482</c:v>
                </c:pt>
                <c:pt idx="17">
                  <c:v>43483</c:v>
                </c:pt>
                <c:pt idx="18">
                  <c:v>43484</c:v>
                </c:pt>
                <c:pt idx="19">
                  <c:v>43485</c:v>
                </c:pt>
                <c:pt idx="20">
                  <c:v>43486</c:v>
                </c:pt>
                <c:pt idx="21">
                  <c:v>43487</c:v>
                </c:pt>
                <c:pt idx="22">
                  <c:v>43488</c:v>
                </c:pt>
                <c:pt idx="23">
                  <c:v>43489</c:v>
                </c:pt>
                <c:pt idx="24">
                  <c:v>43490</c:v>
                </c:pt>
                <c:pt idx="25">
                  <c:v>43491</c:v>
                </c:pt>
                <c:pt idx="26">
                  <c:v>43492</c:v>
                </c:pt>
                <c:pt idx="27">
                  <c:v>43493</c:v>
                </c:pt>
                <c:pt idx="28">
                  <c:v>43494</c:v>
                </c:pt>
                <c:pt idx="29">
                  <c:v>43495</c:v>
                </c:pt>
                <c:pt idx="30">
                  <c:v>43496</c:v>
                </c:pt>
                <c:pt idx="31">
                  <c:v>43497</c:v>
                </c:pt>
                <c:pt idx="32">
                  <c:v>43498</c:v>
                </c:pt>
                <c:pt idx="33">
                  <c:v>43499</c:v>
                </c:pt>
                <c:pt idx="34">
                  <c:v>43500</c:v>
                </c:pt>
                <c:pt idx="35">
                  <c:v>43501</c:v>
                </c:pt>
                <c:pt idx="36">
                  <c:v>43502</c:v>
                </c:pt>
                <c:pt idx="37">
                  <c:v>43503</c:v>
                </c:pt>
                <c:pt idx="38">
                  <c:v>43504</c:v>
                </c:pt>
                <c:pt idx="39">
                  <c:v>43505</c:v>
                </c:pt>
                <c:pt idx="40">
                  <c:v>43506</c:v>
                </c:pt>
                <c:pt idx="41">
                  <c:v>43507</c:v>
                </c:pt>
                <c:pt idx="42">
                  <c:v>43508</c:v>
                </c:pt>
                <c:pt idx="43">
                  <c:v>43509</c:v>
                </c:pt>
                <c:pt idx="44">
                  <c:v>43510</c:v>
                </c:pt>
                <c:pt idx="45">
                  <c:v>43511</c:v>
                </c:pt>
                <c:pt idx="46">
                  <c:v>43512</c:v>
                </c:pt>
                <c:pt idx="47">
                  <c:v>43513</c:v>
                </c:pt>
                <c:pt idx="48">
                  <c:v>43514</c:v>
                </c:pt>
                <c:pt idx="49">
                  <c:v>43515</c:v>
                </c:pt>
                <c:pt idx="50">
                  <c:v>43516</c:v>
                </c:pt>
                <c:pt idx="51">
                  <c:v>43517</c:v>
                </c:pt>
                <c:pt idx="52">
                  <c:v>43518</c:v>
                </c:pt>
                <c:pt idx="53">
                  <c:v>43519</c:v>
                </c:pt>
                <c:pt idx="54">
                  <c:v>43520</c:v>
                </c:pt>
                <c:pt idx="55">
                  <c:v>43521</c:v>
                </c:pt>
                <c:pt idx="56">
                  <c:v>43522</c:v>
                </c:pt>
                <c:pt idx="57">
                  <c:v>43523</c:v>
                </c:pt>
                <c:pt idx="58">
                  <c:v>43524</c:v>
                </c:pt>
                <c:pt idx="59">
                  <c:v>43525</c:v>
                </c:pt>
                <c:pt idx="60">
                  <c:v>43526</c:v>
                </c:pt>
                <c:pt idx="61">
                  <c:v>43527</c:v>
                </c:pt>
                <c:pt idx="62">
                  <c:v>43528</c:v>
                </c:pt>
                <c:pt idx="63">
                  <c:v>43529</c:v>
                </c:pt>
                <c:pt idx="64">
                  <c:v>43530</c:v>
                </c:pt>
                <c:pt idx="65">
                  <c:v>43531</c:v>
                </c:pt>
                <c:pt idx="66">
                  <c:v>43532</c:v>
                </c:pt>
                <c:pt idx="67">
                  <c:v>43533</c:v>
                </c:pt>
                <c:pt idx="68">
                  <c:v>43534</c:v>
                </c:pt>
                <c:pt idx="69">
                  <c:v>43535</c:v>
                </c:pt>
                <c:pt idx="70">
                  <c:v>43536</c:v>
                </c:pt>
                <c:pt idx="71">
                  <c:v>43537</c:v>
                </c:pt>
                <c:pt idx="72">
                  <c:v>43538</c:v>
                </c:pt>
                <c:pt idx="73">
                  <c:v>43539</c:v>
                </c:pt>
                <c:pt idx="74">
                  <c:v>43540</c:v>
                </c:pt>
                <c:pt idx="75">
                  <c:v>43541</c:v>
                </c:pt>
                <c:pt idx="76">
                  <c:v>43542</c:v>
                </c:pt>
                <c:pt idx="77">
                  <c:v>43543</c:v>
                </c:pt>
                <c:pt idx="78">
                  <c:v>43544</c:v>
                </c:pt>
                <c:pt idx="79">
                  <c:v>43545</c:v>
                </c:pt>
                <c:pt idx="80">
                  <c:v>43546</c:v>
                </c:pt>
                <c:pt idx="81">
                  <c:v>43547</c:v>
                </c:pt>
                <c:pt idx="82">
                  <c:v>43548</c:v>
                </c:pt>
                <c:pt idx="83">
                  <c:v>43549</c:v>
                </c:pt>
                <c:pt idx="84">
                  <c:v>43550</c:v>
                </c:pt>
                <c:pt idx="85">
                  <c:v>43551</c:v>
                </c:pt>
                <c:pt idx="86">
                  <c:v>43552</c:v>
                </c:pt>
                <c:pt idx="87">
                  <c:v>43553</c:v>
                </c:pt>
                <c:pt idx="88">
                  <c:v>43554</c:v>
                </c:pt>
                <c:pt idx="89">
                  <c:v>43555</c:v>
                </c:pt>
              </c:numCache>
            </c:numRef>
          </c:cat>
          <c:val>
            <c:numRef>
              <c:f>添利快线总表!$D$2:$D$244</c:f>
              <c:numCache>
                <c:formatCode>0.00%</c:formatCode>
                <c:ptCount val="90"/>
                <c:pt idx="0">
                  <c:v>1.350000000000004E-2</c:v>
                </c:pt>
                <c:pt idx="1">
                  <c:v>1.350000000000004E-2</c:v>
                </c:pt>
                <c:pt idx="2">
                  <c:v>1.350000000000004E-2</c:v>
                </c:pt>
                <c:pt idx="3">
                  <c:v>1.350000000000004E-2</c:v>
                </c:pt>
                <c:pt idx="4">
                  <c:v>1.350000000000004E-2</c:v>
                </c:pt>
                <c:pt idx="5">
                  <c:v>1.350000000000004E-2</c:v>
                </c:pt>
                <c:pt idx="6">
                  <c:v>1.350000000000004E-2</c:v>
                </c:pt>
                <c:pt idx="7">
                  <c:v>1.350000000000004E-2</c:v>
                </c:pt>
                <c:pt idx="8">
                  <c:v>1.350000000000004E-2</c:v>
                </c:pt>
                <c:pt idx="9">
                  <c:v>1.350000000000004E-2</c:v>
                </c:pt>
                <c:pt idx="10">
                  <c:v>1.350000000000004E-2</c:v>
                </c:pt>
                <c:pt idx="11">
                  <c:v>1.350000000000004E-2</c:v>
                </c:pt>
                <c:pt idx="12">
                  <c:v>1.350000000000004E-2</c:v>
                </c:pt>
                <c:pt idx="13">
                  <c:v>1.350000000000004E-2</c:v>
                </c:pt>
                <c:pt idx="14">
                  <c:v>1.350000000000004E-2</c:v>
                </c:pt>
                <c:pt idx="15">
                  <c:v>1.350000000000004E-2</c:v>
                </c:pt>
                <c:pt idx="16">
                  <c:v>1.350000000000004E-2</c:v>
                </c:pt>
                <c:pt idx="17">
                  <c:v>1.350000000000004E-2</c:v>
                </c:pt>
                <c:pt idx="18">
                  <c:v>1.350000000000004E-2</c:v>
                </c:pt>
                <c:pt idx="19">
                  <c:v>1.350000000000004E-2</c:v>
                </c:pt>
                <c:pt idx="20">
                  <c:v>1.350000000000004E-2</c:v>
                </c:pt>
                <c:pt idx="21">
                  <c:v>1.350000000000004E-2</c:v>
                </c:pt>
                <c:pt idx="22">
                  <c:v>1.350000000000004E-2</c:v>
                </c:pt>
                <c:pt idx="23">
                  <c:v>1.350000000000004E-2</c:v>
                </c:pt>
                <c:pt idx="24">
                  <c:v>1.350000000000004E-2</c:v>
                </c:pt>
                <c:pt idx="25">
                  <c:v>1.350000000000004E-2</c:v>
                </c:pt>
                <c:pt idx="26">
                  <c:v>1.350000000000004E-2</c:v>
                </c:pt>
                <c:pt idx="27">
                  <c:v>1.350000000000004E-2</c:v>
                </c:pt>
                <c:pt idx="28">
                  <c:v>1.350000000000004E-2</c:v>
                </c:pt>
                <c:pt idx="29">
                  <c:v>1.350000000000004E-2</c:v>
                </c:pt>
                <c:pt idx="30">
                  <c:v>1.350000000000004E-2</c:v>
                </c:pt>
                <c:pt idx="31">
                  <c:v>1.350000000000004E-2</c:v>
                </c:pt>
                <c:pt idx="32">
                  <c:v>1.350000000000004E-2</c:v>
                </c:pt>
                <c:pt idx="33">
                  <c:v>1.350000000000004E-2</c:v>
                </c:pt>
                <c:pt idx="34">
                  <c:v>1.350000000000004E-2</c:v>
                </c:pt>
                <c:pt idx="35">
                  <c:v>1.350000000000004E-2</c:v>
                </c:pt>
                <c:pt idx="36">
                  <c:v>1.350000000000004E-2</c:v>
                </c:pt>
                <c:pt idx="37">
                  <c:v>1.350000000000004E-2</c:v>
                </c:pt>
                <c:pt idx="38">
                  <c:v>1.350000000000004E-2</c:v>
                </c:pt>
                <c:pt idx="39">
                  <c:v>1.350000000000004E-2</c:v>
                </c:pt>
                <c:pt idx="40">
                  <c:v>1.350000000000004E-2</c:v>
                </c:pt>
                <c:pt idx="41">
                  <c:v>1.350000000000004E-2</c:v>
                </c:pt>
                <c:pt idx="42">
                  <c:v>1.350000000000004E-2</c:v>
                </c:pt>
                <c:pt idx="43">
                  <c:v>1.350000000000004E-2</c:v>
                </c:pt>
                <c:pt idx="44">
                  <c:v>1.350000000000004E-2</c:v>
                </c:pt>
                <c:pt idx="45">
                  <c:v>1.350000000000004E-2</c:v>
                </c:pt>
                <c:pt idx="46">
                  <c:v>1.350000000000004E-2</c:v>
                </c:pt>
                <c:pt idx="47">
                  <c:v>1.350000000000004E-2</c:v>
                </c:pt>
                <c:pt idx="48">
                  <c:v>1.350000000000004E-2</c:v>
                </c:pt>
                <c:pt idx="49">
                  <c:v>1.350000000000004E-2</c:v>
                </c:pt>
                <c:pt idx="50">
                  <c:v>1.350000000000004E-2</c:v>
                </c:pt>
                <c:pt idx="51">
                  <c:v>1.350000000000004E-2</c:v>
                </c:pt>
                <c:pt idx="52">
                  <c:v>1.350000000000004E-2</c:v>
                </c:pt>
                <c:pt idx="53">
                  <c:v>1.350000000000004E-2</c:v>
                </c:pt>
                <c:pt idx="54">
                  <c:v>1.350000000000004E-2</c:v>
                </c:pt>
                <c:pt idx="55">
                  <c:v>1.350000000000004E-2</c:v>
                </c:pt>
                <c:pt idx="56">
                  <c:v>1.350000000000004E-2</c:v>
                </c:pt>
                <c:pt idx="57">
                  <c:v>1.350000000000004E-2</c:v>
                </c:pt>
                <c:pt idx="58">
                  <c:v>1.350000000000004E-2</c:v>
                </c:pt>
                <c:pt idx="59">
                  <c:v>1.350000000000004E-2</c:v>
                </c:pt>
                <c:pt idx="60">
                  <c:v>1.350000000000004E-2</c:v>
                </c:pt>
                <c:pt idx="61">
                  <c:v>1.350000000000004E-2</c:v>
                </c:pt>
                <c:pt idx="62">
                  <c:v>1.350000000000004E-2</c:v>
                </c:pt>
                <c:pt idx="63">
                  <c:v>1.350000000000004E-2</c:v>
                </c:pt>
                <c:pt idx="64">
                  <c:v>1.350000000000004E-2</c:v>
                </c:pt>
                <c:pt idx="65">
                  <c:v>1.350000000000004E-2</c:v>
                </c:pt>
                <c:pt idx="66">
                  <c:v>1.350000000000004E-2</c:v>
                </c:pt>
                <c:pt idx="67">
                  <c:v>1.350000000000004E-2</c:v>
                </c:pt>
                <c:pt idx="68">
                  <c:v>1.350000000000004E-2</c:v>
                </c:pt>
                <c:pt idx="69">
                  <c:v>1.350000000000004E-2</c:v>
                </c:pt>
                <c:pt idx="70">
                  <c:v>1.350000000000004E-2</c:v>
                </c:pt>
                <c:pt idx="71">
                  <c:v>1.350000000000004E-2</c:v>
                </c:pt>
                <c:pt idx="72">
                  <c:v>1.350000000000004E-2</c:v>
                </c:pt>
                <c:pt idx="73">
                  <c:v>1.350000000000004E-2</c:v>
                </c:pt>
                <c:pt idx="74">
                  <c:v>1.350000000000004E-2</c:v>
                </c:pt>
                <c:pt idx="75">
                  <c:v>1.350000000000004E-2</c:v>
                </c:pt>
                <c:pt idx="76">
                  <c:v>1.350000000000004E-2</c:v>
                </c:pt>
                <c:pt idx="77">
                  <c:v>1.350000000000004E-2</c:v>
                </c:pt>
                <c:pt idx="78">
                  <c:v>1.350000000000004E-2</c:v>
                </c:pt>
                <c:pt idx="79">
                  <c:v>1.350000000000004E-2</c:v>
                </c:pt>
                <c:pt idx="80">
                  <c:v>1.350000000000004E-2</c:v>
                </c:pt>
                <c:pt idx="81">
                  <c:v>1.350000000000004E-2</c:v>
                </c:pt>
                <c:pt idx="82">
                  <c:v>1.350000000000004E-2</c:v>
                </c:pt>
                <c:pt idx="83">
                  <c:v>1.350000000000004E-2</c:v>
                </c:pt>
                <c:pt idx="84">
                  <c:v>1.350000000000004E-2</c:v>
                </c:pt>
                <c:pt idx="85">
                  <c:v>1.350000000000004E-2</c:v>
                </c:pt>
                <c:pt idx="86">
                  <c:v>1.350000000000004E-2</c:v>
                </c:pt>
                <c:pt idx="87">
                  <c:v>1.350000000000004E-2</c:v>
                </c:pt>
                <c:pt idx="88">
                  <c:v>1.350000000000004E-2</c:v>
                </c:pt>
                <c:pt idx="89">
                  <c:v>1.350000000000004E-2</c:v>
                </c:pt>
              </c:numCache>
            </c:numRef>
          </c:val>
        </c:ser>
        <c:marker val="1"/>
        <c:axId val="192416768"/>
        <c:axId val="192415232"/>
      </c:lineChart>
      <c:dateAx>
        <c:axId val="192411904"/>
        <c:scaling>
          <c:orientation val="minMax"/>
        </c:scaling>
        <c:axPos val="b"/>
        <c:numFmt formatCode="yy/m/d;@" sourceLinked="1"/>
        <c:tickLblPos val="nextTo"/>
        <c:spPr>
          <a:ln w="19050"/>
        </c:spPr>
        <c:crossAx val="192413696"/>
        <c:crosses val="autoZero"/>
        <c:auto val="1"/>
        <c:lblOffset val="100"/>
      </c:dateAx>
      <c:valAx>
        <c:axId val="192413696"/>
        <c:scaling>
          <c:orientation val="minMax"/>
          <c:max val="5.0000000000000017E-2"/>
          <c:min val="1.0000000000000007E-2"/>
        </c:scaling>
        <c:axPos val="r"/>
        <c:majorGridlines>
          <c:spPr>
            <a:ln w="12700"/>
          </c:spPr>
        </c:majorGridlines>
        <c:numFmt formatCode="0.00%" sourceLinked="1"/>
        <c:majorTickMark val="in"/>
        <c:tickLblPos val="high"/>
        <c:spPr>
          <a:ln w="12700"/>
        </c:spPr>
        <c:crossAx val="192411904"/>
        <c:crosses val="max"/>
        <c:crossBetween val="between"/>
      </c:valAx>
      <c:valAx>
        <c:axId val="192415232"/>
        <c:scaling>
          <c:orientation val="minMax"/>
          <c:max val="5.0000000000000017E-2"/>
          <c:min val="1.0000000000000007E-2"/>
        </c:scaling>
        <c:axPos val="l"/>
        <c:numFmt formatCode="0.00%" sourceLinked="1"/>
        <c:majorTickMark val="in"/>
        <c:tickLblPos val="nextTo"/>
        <c:crossAx val="192416768"/>
        <c:crosses val="autoZero"/>
        <c:crossBetween val="between"/>
      </c:valAx>
      <c:dateAx>
        <c:axId val="192416768"/>
        <c:scaling>
          <c:orientation val="minMax"/>
        </c:scaling>
        <c:delete val="1"/>
        <c:axPos val="b"/>
        <c:numFmt formatCode="yy/m/d;@" sourceLinked="1"/>
        <c:tickLblPos val="none"/>
        <c:crossAx val="192415232"/>
        <c:crosses val="autoZero"/>
        <c:auto val="1"/>
        <c:lblOffset val="100"/>
      </c:dateAx>
      <c:spPr>
        <a:ln w="19050"/>
      </c:spPr>
    </c:plotArea>
    <c:legend>
      <c:legendPos val="r"/>
      <c:layout>
        <c:manualLayout>
          <c:xMode val="edge"/>
          <c:yMode val="edge"/>
          <c:x val="0.14106982714326621"/>
          <c:y val="5.3372975253375161E-4"/>
          <c:w val="0.54679152344098303"/>
          <c:h val="0.23130728920868177"/>
        </c:manualLayout>
      </c:layout>
    </c:legend>
    <c:plotVisOnly val="1"/>
    <c:dispBlanksAs val="span"/>
  </c:chart>
  <c:txPr>
    <a:bodyPr/>
    <a:lstStyle/>
    <a:p>
      <a:pPr>
        <a:defRPr>
          <a:latin typeface="仿宋" pitchFamily="49" charset="-122"/>
          <a:ea typeface="仿宋" pitchFamily="49" charset="-122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6DCA9-7D09-4727-B549-CF26235DD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9</Pages>
  <Words>1149</Words>
  <Characters>6550</Characters>
  <Application>Microsoft Office Word</Application>
  <DocSecurity>0</DocSecurity>
  <Lines>54</Lines>
  <Paragraphs>15</Paragraphs>
  <ScaleCrop>false</ScaleCrop>
  <Company>Microsoft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闫思聪</dc:creator>
  <cp:keywords/>
  <dc:description/>
  <cp:lastModifiedBy>吴姗</cp:lastModifiedBy>
  <cp:revision>126</cp:revision>
  <cp:lastPrinted>2018-07-13T10:01:00Z</cp:lastPrinted>
  <dcterms:created xsi:type="dcterms:W3CDTF">2018-07-12T02:58:00Z</dcterms:created>
  <dcterms:modified xsi:type="dcterms:W3CDTF">2019-06-28T06:51:00Z</dcterms:modified>
</cp:coreProperties>
</file>