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产品9K218071自起息日以来，累计净值增长率为4.9830%，年化累计净值增长率为4.6280%。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1.04983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1.04983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3,845,137,146.70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郝彦君先生，自2018年4月加入兴业银行以来，先后在固定收益投资部门从事利率债交易组合管理、理财产品管理工作，拥有4年债券投资和交易经验。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58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20鄂湖北联投ZR001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华润信托-浙江省浙商资产管理有限公司四期（杭州分行）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 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20滇投资控股ZR002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华润信托-兴业中建四局应收账款5号-中国建筑第四工程局有限公司（广州分行）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3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16渝保税港MTN001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20兰花CP001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20胶州港CP001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18桂交投MTN001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