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兴银理财灵动全天候2号净值型理财产品</w:t>
              <w:br/>
              <w:t xml:space="preserve">2021年第一季度报告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Z7002020000181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10,206,889,461.24份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灵动陆陆通1号A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8,392,398,037.99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灵动陆陆通1号B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1,814,491,423.25</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兴银理财灵动全天候2号净值型理财产品2021年第一季度报告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产品9K212052自起息日以来，累计净值增长率为1.2850%，年化累计净值增长率为2.9132%。</w:t>
              <w:br/>
              <w:t xml:space="preserve">产品9K212152自起息日以来，累计净值增长率为1.2780%，年化累计净值增长率为2.8973%。</w:t>
              <w:br/>
              <w:t xml:space="preserve">产品9K212252自起息日以来，累计净值增长率为1.3200%，年化累计净值增长率为2.9925%。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10,338,096,575.81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8,499,647,008.93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1,838,449,566.88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b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br/>
              <w:t xml:space="preserve">    </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全天候系列半年期产品，债券维持中性配置，权益低配，控制风险为主。</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兴银理财灵动全天候2号净值型理财产品2021年第一季度报告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Z京-同业借款20201127001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Z沪-同业借款20201127001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Z京-同业借款20201209001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20浦发银行CD469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20农业银行CD128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20光大银行CD266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兴银理财灵动全天候2号净值型理财产品2021年第一季度报告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20浦发银行CD483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20浦发银行CD466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20浦发银行CD482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8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20港闸国资MTN001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20芙蓉城投MTN001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20汉江国资MTN002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18徐矿MTN002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19鄂州城投MTN002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20临空港投MTN002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18滁州城投MTN001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20湖北文旅(疫情防控债)CP001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20未来科技SCP001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17徐州高新MTN001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20张江高科MTN001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20株洲城建MTN002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兴银理财灵动全天候2号净值型理财产品2021年第一季度报告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051010100101097621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2021年4月22日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