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兴银理财灵动全天候3号净值型理财产品</w:t>
              <w:br/>
              <w:t xml:space="preserve">2021年第一季度报告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5,918,187,413.66份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灵动3号年年升A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4,806,092,069.50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灵动3号年年升B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1,112,095,344.16</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兴银理财灵动全天候3号净值型理财产品2021年第一季度报告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产品9K212053自起息日以来，累计净值增长率为1.4940%，年化累计净值增长率为3.6845%。</w:t>
              <w:br/>
              <w:t xml:space="preserve">产品9K212153自起息日以来，累计净值增长率为1.4870%，年化累计净值增长率为3.6673%。</w:t>
              <w:br/>
              <w:t xml:space="preserve">产品9K212253自起息日以来，累计净值增长率为1.5260%，年化累计净值增长率为3.7634%。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6,006,618,284.01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4,877,552,228.22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1,129,066,055.79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予璋先生，复旦大学金融数学专业硕士和信息与计算机科学专业本科，具备金融和计算机双重背景。15年银行自营和公募基金从业经验，历任兴业银行资金营运中心汇率利率及债券交易处负责人、浙商基金总经理助理，专户投资委员会主席和固收总监、兴银理财多资产投资负责人，投资经验覆盖境内外债券、境内股票、汇率及全球衍生品。</w:t>
              <w:br/>
              <w:t xml:space="preserve">    高翰昆先生，英国诺丁汉大学理学硕士毕业，华东理工大学工科理学本科毕业。9年固收、权益投资交易经验，2年固收分析工具设计开发经验。历任万家基金管理有限公司股票交易员、债券交易员、交易部副总监、基金经理。森浦资讯固收专家。2020年7月加入兴业银行理财子公司，现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第一季度，经济基本面继续修复，海内外需求共振向上。货币政策边际收紧，但维持稳定。全球疫情得到控制后，全球流动性及对华政策重回视野。资本市场走势如去年四季度预判，A股出现倒V走势，抱团股在疯狂后出现瓦解。债券市场则出现U形走势，抢跑下半年行情意味渐浓。本报告期内，本组合积极对权益资产择机做了对冲并做好了行业均衡，避免了较大的波动。同时本组合根据债券市场期限结构及各利差变化情况，在控制整体久期及信用风险的前提下，积极主动择优配置各类债券类属子资产。</w:t>
              <w:br/>
              <w:t xml:space="preserve">    展望二季度，在美国超量规模的刺激政策及疫苗的普及后，海内外需求共振期可能延长，导致经济基本面可能超预期，所谓经济顶还将延续。在供给缺口增大的情况下，通胀风险上升。货币政策相机抉择而缓慢转弯。考虑到目前的股债风险溢价率及股债分别的估值情况，未来短期有利权益而存在反弹可能，有利商品价格上涨，长期有利于债券类资产。本组合将积极主动管理好大类资产的配置策略并精细化选择类属资产。</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兴银理财灵动全天候3号净值型理财产品2021年第一季度报告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Z京-同业借款20201209003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455,954,769.29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8.56</w:t>
                        </w:r>
                      </w:p>
                    </w:tc>
                  </w:tr>
                </w:tbl>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兴银理财灵动全天候3号净值型理财产品2021年第一季度报告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Z京-同业借款20201208004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东方财富证券吉祥161号收益凭证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易方达兴荣1号集合资产管理计划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284,873,231.41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20民生银行CD518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20中信银行CD284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粤财信托-嵊州市投资控股有限公司（杭州分行）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20中国银行CD100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20浦发银行CD486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17徐州高新MTN001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20南平武夷MTN001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兴银理财灵动全天候3号净值型理财产品2021年第一季度报告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051010100101105570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2021年4月22日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