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兴银理财灵动全天候5号净值型理财产品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2,860,060,078.34份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2,402,707,945.75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457,352,132.59</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产品9K212055自起息日以来，累计净值增长率为1.0520%，年化累计净值增长率为3.0475%。</w:t>
              <w:br/>
              <w:t xml:space="preserve">产品9K212155自起息日以来，累计净值增长率为1.0460%，年化累计净值增长率为3.0301%。</w:t>
              <w:br/>
              <w:t xml:space="preserve">产品9K212255自起息日以来，累计净值增长率为1.0810%，年化累计净值增长率为3.1315%。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2,890,144,381.55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2,427,849,701.32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462,294,680.23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按照风险平价模型，债券久期在1.5年左右，略微超配一些债券，权益仓位控制在5%以内。</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Z沪-同业借款20201215001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20中国银行CD100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20广发12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21华泰G1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21穗交01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19TCL01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20横店SCP003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20汉光谷SCP002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