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1,105,583,104.60份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产品9H910001自起息日以来，累计净值增长率为39.1020%，年化累计净值增长率为45.8914%。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1.39102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1.39102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1,537,889,105.50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兴全合宜A（163417.OF）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46,912,285.92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34,642,370.40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易方达蓝筹精选（005827.OF）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25,984,012.63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交银内核驱动 ( 008507.OF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45,463,560.89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泓德战略转型（001705.OF）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30,539,886.90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上投摩根慧选成长A（008314.OF）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32,065,640.51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泓德臻远回报（005395.OF）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28,756,885.84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国富沪港深成长精选（001605.OF）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21,174,343.74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工银瑞信文体产业（001714.OF）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16,109,787.26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