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兴银理财天天万利宝稳利月月盈净值型理财产品（01款）2020年年度报告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兴银理财天天万利宝稳利月月盈净值型理财产品（01款）</w:t>
              <w:br/>
              <w:t xml:space="preserve">2020年年度报告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报告送出日期：2021年5月14日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兴银理财天天万利宝稳利月月盈净值型理财产品（01款）2020年年度报告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740"/>
        <w:gridCol w:w="1260"/>
        <w:gridCol w:w="2000"/>
        <w:gridCol w:w="2840"/>
        <w:gridCol w:w="46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兴银理财天天万利宝稳利月月盈净值型理财产品（01款）2020年年度报告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7"/>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兴银理财天天万利宝稳利月月盈净值型理财产品（01款）</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9K200010</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Z7002020000169</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607,794,543.25份</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3.30%</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兴银月月盈1号</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9K200011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607,794,543.25</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2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产品9K200010自起息日以来，累计净值增长率为0.9160%，年化累计净值增长率为3.5568%。</w:t>
              <w:br/>
              <w:t xml:space="preserve">产品9K200011自起息日以来，累计净值增长率为0.9160%，年化累计净值增长率为3.5568%。</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兴银理财天天万利宝稳利月月盈净值型理财产品（01款）2020年年度报告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613,364,437.55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613,364,437.55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赵天然女士，复旦大学经济学（数理经济方向）学士；复旦大学国际经济学硕士。具有六年固定收益领域投资交易经验。自2015年8月加入兴业银行以来，一直在资产管理事业部任投资经理，债券交易量近数千亿，交易能力出众；牵头固定收益投资部的利率债交易盘和信用债二级投资，擅长利率债波段和信用债价值挖掘；牵头固定收益投资部的宏观利率研究工作，对债券市场走势有深刻的理解。</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6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宏观展望：2021年，预计出口和消费改善带动经济回暖，市场对GDP增速反弹预期在9%左右，出口增长有望达11-12%，随着经济复苏，居民收入和信心进一步好转，提振国内消费。考虑到明年政策支持力度减弱，房地产和基建投资走弱，但企业营收改善有望拉动制造业投资明显反弹。政策更加关注防风险和控杠杆，宽松政策逐步退出。在经济逐渐回升以后，信用政策已经有所控制，房地产调控进一步收紧，利率大幅抬升。2021年大概率会延续这一趋势，政策偏向防风险、控杠杆，经济基本面见顶回落。政策收缩后，之前信用宽松“盖住”的债务风险会有增加，推升的资产价格会有回调压力，内生利率水平会逐渐趋于回落。</w:t>
              <w:br/>
              <w:t xml:space="preserve">    2021年债券展望：2021年顺周期力量接棒推动经济修复是主背景，资金不缺不溢，利率供求有所好转，债市在短期逆风中孕育中期转机，从社融、经济、通胀等走势看，债市转折机会尚需等待，等待存单“锚”切换到资金“锚”，2021年债市可能重演2019年走势，波动空间有限，1季度末到2季度是转机敏感时点，全年10年国债区间3-3.4%；信用面临低利差难度。</w:t>
              <w:br/>
              <w:t xml:space="preserve">    2021年投资展望：（1）久期策略：2021年经济和利率大概率前高后低。稳利产品在上半年会采取较为保守的票息策略，应对市场的调整；若基本面出现复苏乏力的迹象，产品将左侧布局，拉长久期，以把握下半年的交易性机会。（2）杠杆策略：全年资金宽松空间不大，但考虑到目前套息效果尚可，2021年杠杆将维持中性水平。（3）信用挖掘策略：2020年信用利差具有调整压力，稳利产品信用债投资将向中高等级倾斜。</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18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兴银理财天天万利宝稳利月月盈净值型理财产品（01款）2020年年度报告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2020年12月31日的资产负债表，自成立日至2020年12月31日止期间利润表和理财产品净值变动表以及相关财务报表附注进行了审计，并出具了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无。</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17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兴银理财天天万利宝稳利月月盈净值型理财产品（01款）2020年年度报告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Z存放同业20201023003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20浦发银行CD366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20江苏银行CD007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18宁河西MTN001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17中投F2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18太钢MTN002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18柯建04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18先导02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18陕集01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18常新02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3.29</w:t>
                        </w:r>
                      </w:p>
                    </w:tc>
                  </w:tr>
                </w:tbl>
                <w:p>
                  <w:pPr>
                    <w:pStyle w:val="EMPTY_CELL_STYLE"/>
                  </w:pPr>
                </w:p>
              </w:tc>
            </w:tr>
          </w:tbl>
          <w:p>
            <w:pPr>
              <w:pStyle w:val="EMPTY_CELL_STYLE"/>
            </w:pPr>
          </w:p>
        </w:tc>
        <w:tc>
          <w:tcPr>
     </w:tcPr>
          <w:p>
            <w:pPr>
              <w:pStyle w:val="EMPTY_CELL_STYLE"/>
            </w:pPr>
          </w:p>
        </w:tc>
      </w:tr>
      <w:tr>
        <w:trPr>
          <w:trHeight w:hRule="exact" w:val="5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兴银理财天天万利宝稳利月月盈净值型理财产品（01款）2020年年度报告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18太钢MTN002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051010100101097745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兴银理财天天万利宝稳利月月盈净值型理财产品01款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2021年5月14日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