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536,744,263.97份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产品9K211010自起息日以来，累计净值增长率为1.4340%，年化累计净值增长率为3.3768%。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544,439,759.98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所管产品主要采用大类配置资产思路，主要通过非标和部分低波债券打底，剩余部分采用风险平价模型，按照产品期限和最大回撤对股债进行合理配比，具体而言，2年产品按照85%债券和15%股票，1年产品按照90%债券和10%股票，半年产品按照95%债券和5%股票。所有产品可通过利率衍生品进行套保以规避债券较大程度下跌，部分产品可采用更为灵活的衍生品交易策略以增强收益，这些策略包括利率衍生品跨品种套利、利率衍生品的跨期套利、股指衍生品的基差交易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19大横琴MTN001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24,525,031.47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20浏城02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