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兴银理财安愉乐享2号混合类净值型理财产品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229,563,481.13份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报酬计提起点   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安愉乐享2号A（业绩报酬计提起点4.5%）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194,686,481.13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安愉乐享2号B（业绩报酬计提起点4.5%）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34,877,000.00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产品9K212002自起息日以来，累计净值增长率为1.2270%，年化累计净值增长率为4.5238%。</w:t>
              <w:br/>
              <w:t xml:space="preserve">产品9K212102自起息日以来，累计净值增长率为1.2220%，年化累计净值增长率为4.5054%。</w:t>
              <w:br/>
              <w:t xml:space="preserve">产品9K212202自起息日以来，累计净值增长率为1.2500%，年化累计净值增长率为4.6086%。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232,379,168.83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197,066,349.85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35,312,818.98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回顾2020年四季度，市场整体流动性相对较为紧平衡，但12月下旬开始边际变松，12月15日央行续作MLF 9500亿到12月18日中央经济工作会议明确政策不急转弯，固收方面利率债下行幅度较为明显，10年期国债从11月份年底的高点3.35%回落到3.14%。权益方面11月和12月风格发生转变，10月和11月还是价值风格主导，但12月随着流动性宽松，以创业板为代表的成长风格大幅跑赢价值风格，从行业层面，有色金属单季度上涨30%居所有行业首位，电气设备、食品饮料、家用电器、汽车等行业涨幅超过20%，但商业贸易和TMT行业下跌6%-11%左右。</w:t>
              <w:br/>
              <w:t xml:space="preserve">    展望2021年一季度，市场迎来政策集中期，同时叠加一季报行情，权益市场整体震荡上行的概率仍较高，风格可能也更偏向于成长，对于债券市场而言，考虑到近期央行态度边际转松、呵护跨年时节流动性的政策操作短期有望延续，长久期利率债下行趋势的逻辑并未改变。总体而言，产品会积极把握一季度的权益市场和债券市场的机会，为投资者提供稳健的收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20华夏银行CD125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47,514,967.21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永赢沪深300A（007538.OF）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7,883,710.98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3,517,945.11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3,214,997.75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永赢鑫享（008723.OF）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4,894,664.71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上投摩根安裕回报A（004823.OF）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3,769,700.63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3,843,906.19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3,987,715.38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