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5,213,798,279.34份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产品9K212017自起息日以来，累计净值增长率为12.4670%，年化累计净值增长率为16.1364%。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1.12467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1.12467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5,863,818,047.89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399,912,203.69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175,130,472.85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20浦发银行CD160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29,772,951.00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汇添富绝对收益策略A（000762）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112,527,381.85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53,905,699.29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54,958,095.01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99,700,897.31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18五矿MTN001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20长江出版CP001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20闽轻纺(疫情防控债)SCP001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