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兴银理财和鑫财富悦享1号A款净值型理财产品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产品9B214110自起息日以来，累计净值增长率为1.1630%，年化累计净值增长率为3.6913%。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606,978,324.13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Z沪-同业借款20210308001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051010100101118940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