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兴银理财和鑫财富悦享1号B款净值型理财产品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产品9B214120自起息日以来，累计净值增长率为1.1090%，年化累计净值增长率为3.5822%。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1.01109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1.01109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1,213,308,196.89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Z沪-同业借款20210310001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