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兴银理财和鑫财富悦享1号C款净值型理财产品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Z7002020A000104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产品9B214130自起息日以来，累计净值增长率为2.3790%，年化累计净值增长率为4.0767%。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1.02379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1.02379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1,023,787,415.11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Z京-同业借款20201130002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20平安银行CD309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20光大银行CD313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20民生银行CD532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3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