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兴银理财和鑫财富悦享1号D款净值型理财产品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Z7002020A000105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产品9B214140自起息日以来，累计净值增长率为2.3700%，年化累计净值增长率为4.0804%。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1.02370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1.02370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1,023,701,483.66</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1、市场观点   </w:t>
              <w:br/>
              <w:t xml:space="preserve">    2021年上半年，债券市场收益率呈现区间震荡的格局，大致可以分为三个阶段： 1、春节前，永煤事件后信用债市场情绪逐渐平复，但债市杠杆率上升触发政策调整，MLF缩量续作、跨节流动性安排不及预期、资金面明显收紧，引发市场对货币政策转向担忧，带动收益率大幅上行，10Y国债收益率一度升至年内高点；2、春节后，虽经济延续修复态势，但货币政策维持宽松、政府债券供给压力迟迟未至，市场对基本面利空的反应钝化，在资金面推动下收益率持续震荡下行，10Y国债收益率一度创年内新低；3、五月中下旬至今，随着地方债发行提速、资金价格中枢上移，市场预期后续资金面波动加大，利率区间震荡。</w:t>
              <w:br/>
              <w:t xml:space="preserve">    回顾上半年，无论是国内金融、经济、通胀数据的超预期变动，还是全球再通胀预期升温、美债收益率一度大幅上行，都未能引起国内债市的较大反应，货币政策与财政节奏是债市运行的主线逻辑。利率分别经历了春节前资金收紧担忧导致的上行、节后持续宽松叠加财政迟未发力的下行，及年中地方债开启放量、资金面边际收紧但仍显宽松背景下的震荡。</w:t>
              <w:br/>
              <w:t xml:space="preserve">    展望三季度，对于债券市场，我们维持弱势震荡、利率趋势性机会还需等待的判断,整体持中性态度，继续注重票息行情。 在“经济复苏放缓，货币政策稳健，紧信用趋势延续”的环境下，利率债行情并不悲观，但收益率预计延续区间震荡态势，不能盲目博弈利率单边下行。从节奏上看，需要关注扰动因素的冲击，主要包括地方债供给压力的阶段性上升和美联储Taper信号的释放。国内经济虽复苏放缓但韧性仍然不低，消费、制造业缓慢修复背景下，出口、地产投资拉动作用虽然逐渐减弱但回落幅度有限，因此基本面仍有韧性。整体流动性预计仍将维持相对平稳，也难以出现政策基于基本面因素的再度相应调整。所以我们建议三季度逢低做多，更加注重较为稳定的票息策略，同时，适当参与波段行情。</w:t>
              <w:br/>
              <w:t xml:space="preserve">    2、 上半年运作回顾   </w:t>
              <w:br/>
              <w:t xml:space="preserve">    2021年上半年，债券市场区间震荡。随着春节前资金面波动，债券市场收益率出现了上行，产品择机加仓了NCD，春节后市场回暖，产品继续拉长久期，整体获得较好的资本利得。五月下旬资金面波动加大，获利了结了利差</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压缩至低位的资产，降低组合久期和杠杆，继续转为中性票息策略。</w:t>
              <w:br/>
              <w:t xml:space="preserve">    3、 三季度投资策略   </w:t>
              <w:br/>
              <w:t xml:space="preserve">    展望三季度，产品将继续保持稳健的投资风格，以票息策略为主，维持中性的杠杆水平与组合久期，严控集中度和个券风险，优化持仓结构，提升组合静态收益。交易方面，围绕资金利率和政策利率的利差波动进行操作。</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20平安银行CD309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20光大银行CD313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20民生银行CD532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3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