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兴银理财和鑫财富悦享1号E款净值型理财产品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兴银理财和鑫财富悦享1号E款净值型理财产品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Z7002020A000106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产品9B214150自起息日以来，累计净值增长率为1.1730%，年化累计净值增长率为4.0776%。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1.01173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1.01173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212,462,651.64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Z京-同业借款20210319002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兴银理财和鑫财富悦享1号E款净值型理财产品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