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9,584,638,537.86份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产品9C212002自起息日以来，累计净值增长率为3.1450%，年化累计净值增长率为4.0137%。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1.03145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9,886,029,831.28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周伟君先生，浙江大学经济学硕士， FRM，具有银行间本币交易员资格、上海证券交易所交易员资格，7年金融领域投资经验。2014年起历任浙商银行投资经理、ABS投资经理；曾借调至上海证券交易所参与信用债和ABS发行审核。2020年加入兴银理财，负责多款开放式纯债产品和封闭式产品投资管理。投资风格稳健，根据市场研判灵活调整投资策略，擅长信用债和ABS投资价值挖掘，注重衡量各类投资标的风险收益比。曾在《债券》、《金融市场研究》等专业期刊发表研究论文。</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NCD，春节后市场回暖，产品继续拉长久期，整体获得较好的资本利得。五月下旬资金面波动加大，获利了结了利差压缩至低位的资产，降低组合久期和杠杆，继续转为中性票息策略。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1,199,940,006.00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699,860,097.93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Z存放同业（线上）20210202001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21南电SCP005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21宁波银行CD100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21厦门国际银行CD065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20江苏银行CD214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19宜城F1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20乐清国投CP003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18福新能源MTN001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21华鲁控股SCP003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21瑞安国投PPN001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21高淳建设SCP002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21龙岩汇金SCP006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21龙岩汇金SCP006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