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兴银理财金雪球稳利1号C款净值型理财产品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8,416,509,223.31份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产品9C212003自起息日以来，累计净值增长率为1.7990%，年化累计净值增长率为3.4927%。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1.01799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1.01799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8,567,880,571.87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899,409,052.24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Z存放同业（线上）20210622003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21中广核SCP001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21重庆农村商行CD120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21南电SCP007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21大连银行CD110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21宝钢SCP009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20闽高速SCP005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21太仓港SCP006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21华鑫证券CP003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21中文天地SCP001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21昆山高新SCP003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21苏州园林SCP004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21苏州高新SCP008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21夏商SCP006(乡村振兴)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