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536,744,263.97份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产品9K211010自起息日以来，累计净值增长率为4.7900%，年化累计净值增长率为5.2034%。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1.04790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1.04790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562,456,720.98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本产品底仓为较高收益的债券，同时配以部分利率衍生品套利策略，力争在确保确定性收益的情况下，增厚产品收益。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10"/>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33,863,843.57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19豫水利MTN001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21荆门城投PPN001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20曲控一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19TCL03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21郴福01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20云工投SCP003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21柳州东通SCP001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21铜梁金龙MTN001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