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兴银理财天天万利宝稳利3号净值型理财产品T款2021年第二季度报告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兴银理财天天万利宝稳利3号净值型理财产品T款</w:t>
              <w:br/>
              <w:t xml:space="preserve">2021年第二季度报告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兴银理财天天万利宝稳利3号净值型理财产品T款2021年第二季度报告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兴银理财天天万利宝稳利3号净值型理财产品T款2021年第二季度报告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兴银理财天天万利宝稳利3号净值型理财产品T款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9K212017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Z7002020000064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5,085,736,375.95份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兴银理财天天万利宝稳利3号净值型理财产品T款2021年第二季度报告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产品9K212017自起息日以来，累计净值增长率为14.5560%，年化累计净值增长率为11.4750%。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1.08556</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1.14556</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5,520,895,658.15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沈方威先生，中国人民大学金融学硕士，中央财经大学投资学学士，拥有4年多的债券投资交易经验，曾任职于中国农业银行金融市场部交易员，于2020年7月加入兴银资管，担任固定收益部投资经理，投资交易经验丰富，注重基本面和政策研究，关注资产性价比，追求稳定回报。</w:t>
              <w:br/>
              <w:t xml:space="preserve">    周宇先生，复旦大学金融学硕士、北京大学金融学学士，7年FOF/MOM从业经验。2016年加入兴业银行资产管理部权益投资团队担任投资经理。曾任工商银行私人银行部权益投资经理。</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6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固收方面，2021年上半年，债券市场大致分为三个阶段：1、春节前流动性意外收紧打击多头情绪，从积极转向谨慎；2、春节后，一方面大宗商品价格持续上涨、美债收益率加速反弹、投资者担忧二季度地方政府债供给放量，市场延续看空情绪，另一方面权益市场回落、机构持续扩表、资金面比预期宽松、政府债发行迟迟未能上量，投资者“看空做多”，利率走出震荡下行行情；3、6月央行等量续作MLF，半年末流动性收紧，叠加美联储退出量宽预期牵引，利率月内出现阶段性反弹，月末迅速回落。当前利率水平呈现绝对收益不高，形态较为陡峭，优质资产信用利差偏低的状态。</w:t>
              <w:br/>
              <w:t xml:space="preserve">    展望下半年，对于债券市场，我们整体持中性乐观的态度。宏观经济方面，随着内需回落叠加大宗涨价带来成本冲击，经济增速或有趋缓，但目前看不到失速风险，因此下半年稳增长压力是否增大仍尚待观察，社融增速可能延续放缓态势。国内CPI涨势温和，不构成对货币政策的压力。利率估值方面，当前绝对水平并不高，考虑到利率中枢下降，尚在合理范围之内，但也反应出了投资者情绪从谨慎再次转变为积极。我们关注1、在宏观趋势延续、财政后置维持、流动性松紧适度的状态下，利率有平坦化下行的可能。2、相对而言，若经济走弱，逆周期调节力度有所增大，或美联储进一步讨论退出QE，均可能带来收益率调整的配置机会。</w:t>
              <w:br/>
              <w:t xml:space="preserve">    权益方面，二季度A股市场震荡走高，但上行仍受制于前期高点。2021年上半年分板块看，钢铁、采掘、化工、银行、有色、电气设备等板块表现较强，而非银金融、军工、家电、农业、地产、通信等板块表现较弱。从经济基本面来看，上半年国内外疫情虽有局部的反复，但整体都处在全球共振复苏的趋势之中。中国经济表现亮点较多，1-5月出口同比增长40.2%，出口的旺盛需求带动相应制造业产业链不断复苏，1-5月工业增加值增速达到17.8%，制造业投资增速达到20.4%，都已经超过或接近2019年疫情前的水平。同时，随着疫苗接种不断提速，受到疫情冲击最大的消费也在持续温和修复。</w:t>
              <w:br/>
              <w:t xml:space="preserve">    二、上半年运作回顾</w:t>
              <w:br/>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兴银理财天天万利宝稳利3号净值型理财产品T款2021年第二季度报告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上半年，债券市场震荡偏强。货币政策稳定、政府债券发现偏缓、局部信用环境收缩推动二季度曲线下行走陡。产品一季度以较为稳定的票息策略为主，在二季度辅以杠杆策略和交易策略，抓住了存单、金融债、高等级中长期债券的行情，赚取了稳定的票息收益的同时，资本利得方面亦有收获。</w:t>
              <w:br/>
              <w:t xml:space="preserve">    三、下半年投资策略</w:t>
              <w:br/>
              <w:t xml:space="preserve">    固收方面，展望下半年，产品将继续保持稳健的投资风格。1、发挥票息策略优势，同时维持中性的杠杆水平与中性的组合久期。2、震荡思路对待，把握住利率反弹时的配置机会。3、关注收益率曲线平坦化的可能。</w:t>
              <w:br/>
              <w:t xml:space="preserve">    权益方面，展望2021年下半年，我们认为经济量价齐升，恢复斜率最快的阶段已经过去，整体将进入平稳发展的阶段。流动性从中性转紧，反应在下半年的股市上，意味着盈利向上加上估值向下，体现出明显的结构性特征，整体呈现宽幅震荡走势，股市的预期回报仍然不高，需要继续进行估值、行业、风格上的均衡，把握结构性机会。展望长期，我们对于中国经济、对于A股市场充满信心，这次疫情大背景下中国经济、尤其是中国制造业展现出了强劲的韧性和全球竞争力。同时，制造业为代表的产业升级必将扩大中产阶级群体，更多人追求更健康及更高质量的生活方式，叠加技术创新下的效率提升以及基础设施完备后的商业模式进化，都对国内大消费带来不可多得的机会。因此，对于绝对收益的产品，一方面我们将以更严苛的要求选择基金，另一方面我们将在大波动中择机把握结构性机会。对于相对收益产品，我们更多通过选择优秀基金实现持续稳定的Alpha。</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64.65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28.72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19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兴银理财天天万利宝稳利3号净值型理财产品T款2021年第二季度报告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136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21金茂投资MTN001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18广开01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21温州城建MTN002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21广州金融MTN002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易方达安心回馈 ( 001182.OF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54,506,918.24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20陕高速MTN001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21广州资管MTN001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21中信银行CD052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21洪市政MTN001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中欧创新成长A ( 005275.OF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45,438,031.95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w:t>
                        </w:r>
                      </w:p>
                    </w:tc>
                  </w:tr>
                </w:tbl>
                <w:p>
                  <w:pPr>
                    <w:pStyle w:val="EMPTY_CELL_STYLE"/>
                  </w:pPr>
                </w:p>
              </w:tc>
            </w:tr>
          </w:tbl>
          <w:p>
            <w:pPr>
              <w:pStyle w:val="EMPTY_CELL_STYLE"/>
            </w:pPr>
          </w:p>
        </w:tc>
        <w:tc>
          <w:tcPr>
     </w:tcPr>
          <w:p>
            <w:pPr>
              <w:pStyle w:val="EMPTY_CELL_STYLE"/>
            </w:pPr>
          </w:p>
        </w:tc>
      </w:tr>
      <w:tr>
        <w:trPr>
          <w:trHeight w:hRule="exact" w:val="57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兴银理财天天万利宝稳利3号净值型理财产品T款2021年第二季度报告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96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21金地MTN004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21乌城投MTN001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21江阴公MTN001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21泰交通MTN001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21赣国资MTN001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21福新能源GN001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21东南国资MTN001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21中交城投SCP001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21保利发展MTN002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21嘉善国资MTN001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21国际港务MTN001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21广州资管MTN001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21广州金融MTN002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21柯桥国资MTN001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21粤财投资MTN001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18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20宜城01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宜兴市城市发展投资有限公司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20宜城01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宜兴市城市发展投资有限公司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兴银理财天天万利宝稳利3号净值型理财产品T款2021年第二季度报告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051010100100994764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兴银理财天天万利宝稳利3号净值型理财产品T款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2021年7月21日</w:t>
            </w:r>
          </w:p>
        </w:tc>
        <w:tc>
          <w:tcPr>
     </w:tcPr>
          <w:p>
            <w:pPr>
              <w:pStyle w:val="EMPTY_CELL_STYLE"/>
            </w:pPr>
          </w:p>
        </w:tc>
        <w:tc>
          <w:tcPr>
     </w:tcPr>
          <w:p>
            <w:pPr>
              <w:pStyle w:val="EMPTY_CELL_STYLE"/>
            </w:pPr>
          </w:p>
        </w:tc>
      </w:tr>
      <w:tr>
        <w:trPr>
          <w:trHeight w:hRule="exact" w:val="108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