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1,298,810,299.84份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1,112,897,774.66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185,912,525.18</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产品9K212152自起息日以来，累计净值增长率为2.3980%，年化累计净值增长率为3.4733%。</w:t>
              <w:br/>
              <w:t xml:space="preserve">产品9K212252自起息日以来，累计净值增长率为2.4480%，年化累计净值增长率为3.5457%。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1,330,051,715.84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1,139,587,433.38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190,464,282.46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b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整体看多债券、权益维持中性的判断，操作策略上跟观点一致。其中，债券投资方面，债券资产组合3-4月份维持高久期和杠杆，5月份以来略降杠杆和久期获利部分债券收益，主要考虑到历史上5月份债券表现一般不好，同时有供给压力、通胀压力和资金收紧的压力，结果来看部分利空没有出现，部分利空没有很好反应在价格上，更加体现短期债券价格的强势表现；目前债券水平和估值来看，处于历史中位数水平，短期涨幅较大遇到关键阻力位较难突破，同时考虑到之前的一些利空例如通胀没有完全体现在价格之中，后期价格走势较难判断，预计将维持震荡，所以整体产品策略是略降久期和杠杆，主要采取票息和波段操作策略。权益投资方面，预计接下来一段时间还是结构性行情，不确定性会下降，波动可能会偏大，基金选择方面倾向于平衡型、自下而上选股能力较强的基金经理，仓位择时方面，不宜过分乐观也不悲观，仓位维持整体产品中枢水平较合适。本产品底仓为较高收益的债券，同时配以小仓位权益基金，力争在确保确定性收益的情况下，增厚产品收益。</w:t>
            </w: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47,572,787.82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35,570,224.47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兴业聚盈灵活配置混合型证券投资基金（002494）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21,613,112.39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万家瑞祥A( 001633.OF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26,739,459.84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23,688,408.09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