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兴银理财灵动全天候19号净值型理财产品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1,559,483,572.7份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1,272,351,156.36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202,586,090.69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金雪球灵动19号年年升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84,546,325.65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产品9K212169自起息日以来，累计净值增长率为1.4490%，年化累计净值增长率为4.1644%。</w:t>
              <w:br/>
              <w:t xml:space="preserve">产品9K212269自起息日以来，累计净值增长率为1.4750%，年化累计净值增长率为4.2392%。</w:t>
              <w:br/>
              <w:t xml:space="preserve">产品9K212369自起息日以来，累计净值增长率为1.4830%，年化累计净值增长率为4.2622%。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1,582,163,762.92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1,290,788,306.27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205,575,196.79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85,800,259.86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21浙之江城投ZR001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43,350,095.37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24,389,634.15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21,643,782.57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