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3,662,639,884.68份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产品9K218071自起息日以来，累计净值增长率为8.9460%，年化累计净值增长率为5.6887%。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1.08946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1.08946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3,990,301,788.04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华润信托-浙江省浙商资产管理有限公司四期（杭州分行）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20苏滨湖建设ZR001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7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厦门信托-三明交建信托贷款单一资金信托计划（三明市交通建设发展集团有限公司 三明分行）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20建设银行二级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粤财信托·肇庆国联项目单一资金信托（肇庆市国联投资控股有限公司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19光明房产MTN002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