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兴业银行天天万利宝稳利5号U款净值型理财产品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兴业银行天天万利宝稳利5号U款净值型理财产品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8,424,317,626.83份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产品9K219063自起息日以来，累计净值增长率为12.5110%，年化累计净值增长率为9.4741%。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1.05511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1.12511</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8,888,589,316.87</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周宇先生，复旦大学金融学硕士、北京大学金融学学士，7年FOF/MOM从业经验。2016年加入兴业银行资产管理部权益投资团队担任投资经理。曾任工商银行私人银行部权益投资经理。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固收方面，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权益方面，二季度A股市场震荡走高，但上行仍受制于前期高点。2021年上半年分板块看，钢铁、采掘、化工、银行、有色、电气设备等板块表现较强，而非银金融、军工、家电、农业、地产、通信等板块表现较弱。从经济基本面来看，上半年国内外疫情虽有局部的反复，但整体都处在全球共振复苏的趋势之中。中国经济表现亮点较多，1-5月出口同比增长40.2%，出口的旺盛需求带动相应制造业产业链不断复苏，1-5月工业增加值增速达到17.8%，制造业投资增速达到20.4%，都已经超过或接近2019年疫情前的水平。同时，随着疫苗接种不断提速，受到疫情冲击最大的消费也在持续温和修复。</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二、上半年运作回顾</w:t>
              <w:b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固收方面，展望下半年，产品将继续保持稳健的投资风格。1、发挥票息策略优势，同时维持中性的杠杆水平与中性的组合久期。2、震荡思路对待，把握住利率反弹时的配置机会。3、关注收益率曲线平坦化的可能。</w:t>
              <w:br/>
              <w:t xml:space="preserve">    权益方面，展望2021年下半年，我们认为经济量价齐升，恢复斜率最快的阶段已经过去，整体将进入平稳发展的阶段。流动性从中性转紧，反应在下半年的股市上，意味着盈利向上加上估值向下，体现出明显的结构性特征，整体呈现宽幅震荡走势，股市的预期回报仍然不高，需要继续进行估值、行业、风格上的均衡，把握结构性机会。展望长期，我们对于中国经济、对于A股市场充满信心，这次疫情大背景下中国经济、尤其是中国制造业展现出了强劲的韧性和全球竞争力。同时，制造业为代表的产业升级必将扩大中产阶级群体，更多人追求更健康及更高质量的生活方式，叠加技术创新下的效率提升以及基础设施完备后的商业模式进化，都对国内大消费带来不可多得的机会。因此，对于绝对收益的产品，一方面我们将以更严苛的要求选择基金，另一方面我们将在大波动中择机把握结构性机会。对于相对收益产品，我们更多通过选择优秀基金实现持续稳定的Alpha。</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Z京-同业借款20210325001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海富通阿尔法对冲A(519062.OF)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334,067,404.78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21浦发银行CD163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21浦发银行CD118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21光大银行CD062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兴业银行天天万利宝稳利5号U款净值型理财产品2021年第二季度报告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20江苏铁路GN001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9K219063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051010100100956949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