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兴银理财睿盈优选平衡6号混合类净值型理财产品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兴银理财睿盈优选平衡6号混合类净值型理财产品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8,501,510,737.02份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产品9K220006自起息日以来，累计净值增长率为7.1350%，年化累计净值增长率为8.4281%。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1.07135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1.07135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9,108,063,467.75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br/>
              <w:t xml:space="preserve">    吕承应女士，北京大学统计学学士、经济学双学士，北京大学经济学硕士、新加坡国立大学金融工程硕士，2017年加入兴业银行，具有4年FOF/MOM投资研究经验。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Z浙-同业借款20200910001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20重庆银行CD149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21民生银行CD152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工银瑞信圆兴（009076.OF）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136,963,865.31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Z沪-同业借款20200909001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兴银理财睿盈优选平衡6号混合类净值型理财产品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