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兴银理财睿盈年年升5号净值型理财产品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8,679,677,144.15份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睿盈年年升5号A（股债轮动）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6,814,415,113.01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睿盈年年升5号B（股债轮动）</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9K220215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1,865,262,031.14</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产品9K220115自起息日以来，累计净值增长率为4.7240%，年化累计净值增长率为5.0124%。</w:t>
              <w:br/>
              <w:t xml:space="preserve">产品9K220215自起息日以来，累计净值增长率为4.8190%，年化累计净值增长率为5.1132%。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9,091,461,463.31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7,136,314,964.67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1,955,146,498.64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二季度，国内经济增速回落。政策方面，货币政策偏松，银行间资金利率明显回落。债市方面，债券市场收益下行为主。股市方面，有所反弹，成长表现相对较好。本报告期内，本组合增持了部分固收资产，有效增厚了组合收益。</w:t>
              <w:br/>
              <w:t xml:space="preserve">    展望2021年三季度，经济回落概率较大。货币政策方面，预计维持紧平衡。综合来看，债券市场的配置价值不错，但趋势性机会仍需观察。股市方面，总体仍处于结构性牛市。</w:t>
              <w:br/>
              <w:t xml:space="preserve">    从子板块而言，中短信用债的票息价值值得挖掘，成长股部分行业景气度较高。下一阶段，我们将继续保持审慎严谨的态度，进一步优化投资组合，争取为投资人提供稳健的投资收益。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Z京-同业借款20200924001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Z京-同业借款20201022001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190,458,051.61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21陆嘴02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景顺长城新兴成长（260108.OF）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56,933,162.45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18京国资MTN002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兴银理财睿盈年年升5号净值型理财产品2021年第二季度报告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21长沙城投MTN001A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