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产品9K220921自起息日以来，累计净值增长率为4.0140%，年化累计净值增长率为5.2513%。</w:t>
              <w:br/>
              <w:t xml:space="preserve">产品9K220931自起息日以来，累计净值增长率为4.0930%，年化累计净值增长率为5.3546%。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753,936,607.94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518,005,329.89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235,931,278.05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G20新昌1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