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13,224,550,395.96份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产品9K816013自起息日以来，累计净值增长率为22.3370%，年化累计净值增长率为4.6429%。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1.22337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1.22337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16,178,470,205.29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4,998,897,622.91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599,940,006.00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300,038,502.96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19漳龙02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