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29,615,003.47份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18,664,760.68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10,950,242.79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产品9W210211自起息日以来，累计净值增长率为0.6660%，年化累计净值增长率为2.4555%。</w:t>
              <w:br/>
              <w:t xml:space="preserve">产品9W210212自起息日以来，累计净值增长率为0.6790%，年化累计净值增长率为2.5034%。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29,813,617.72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18,789,016.74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11,024,600.98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汇盈首款产品于3月初运作，从运作至半年末，产品业绩震荡上行，产品业绩达到业绩基准。上半年投资经理以高资质、短久期为产品运作主策略。市场受 “华融”事件冲击，四月投资级债券利差有所扩大，加之10年期无风险收益率处于1.6%以上，投资经理认为无风险利率和信用利差均为买入时点，逢低买入债券，基本满仓。</w:t>
              <w:br/>
              <w:t xml:space="preserve">    6月由于无风险收益率处于上半年中枢偏下，且高等级信用利差达到上半年低点，个别涨幅较大债券实现获利了结。</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CQNANA4.6606/04/24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