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兴银理财灵动全天候2号净值型理财产品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Z7002020000181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2,737,702,828.14份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灵动陆陆通1号A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2,095,406,427.88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灵动陆陆通1号B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642,296,400.26</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产品9K212152自起息日以来，累计净值增长率为4.8560%，年化累计净值增长率为4.0652%。</w:t>
              <w:br/>
              <w:t xml:space="preserve">产品9K212252自起息日以来，累计净值增长率为4.9550%，年化累计净值增长率为4.1481%。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1.04879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1.04879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2,871,286,275.83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1.04856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1.04856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2,197,165,977.72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674,120,298.11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全球疫情反复、房地产周期压制经济，通胀PPI见顶回落，CPI有一定压力。国内流动性可能维持宽松但是海外已经有收紧的一定预期，至少边际上是变弱的，边际变化来看对资产价格绝对表现不是太有利。</w:t>
              <w:br/>
              <w:t xml:space="preserve">    大类资产中，随着供给端和流动性问题解决，后期利率和商品的联动性会增强，权益受预期和风险情绪影响较大。债券类资产区间震荡依旧有机会，短期确实看不到太确定性的机会。</w:t>
              <w:br/>
              <w:t xml:space="preserve">    权益类资产相对比较谨慎，虽然没有大幅下行的风险暂时看不到，但是有一定回调压力。近期市场风格轮动加快，结构化行情继续，涨个股不涨指数，结构化抱团由前几年价值消费等切换至新能源、芯片等高成长性板块市场，预期打的比较满，如果有调整可能会比消费蓝筹抱团调整要剧烈，波动会放大，值得引起警惕。</w:t>
              <w:br/>
              <w:t xml:space="preserve">    大宗商品行情正式进入下半场，波动率下行，暴涨暴跌行情结束，后续也是结构化行情，价格驱动下游品种会强于上游，产业链利润会有所修复。所以虽然整体商品价格上对通胀预期的压力大大降低，但是要警惕压力从上游端向下游端的传导（PPI至CPI）。</w:t>
              <w:br/>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44.33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Z浙-同业借款20211126004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中国光大银行郑州分行大额存单20210330001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21民生银行CD323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248,401,750.00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21贴债59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197,750,200.00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130,460,423.49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4.54</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易方达稳健收益B（110008.OF）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101,393,942.67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21水发优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80,128,000.00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20连云交通MTN001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60,695,280.00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安信稳健增值A ( 001316.OF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53,632,784.46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21绍交02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50,592,950.00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21云能投SCP013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21广投能源SCP004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21金霞新城SCP002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051010100101097621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